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6875AE" w14:textId="77777777" w:rsidR="00DB27F1" w:rsidRPr="00DB27F1" w:rsidRDefault="00DB27F1" w:rsidP="00DB27F1">
      <w:pPr>
        <w:jc w:val="center"/>
        <w:rPr>
          <w:rFonts w:ascii="Book Antiqua" w:eastAsia="Book Antiqua" w:hAnsi="Book Antiqua" w:cs="Book Antiqua"/>
          <w:b/>
          <w:bCs/>
          <w:color w:val="000000" w:themeColor="text1"/>
        </w:rPr>
      </w:pPr>
      <w:bookmarkStart w:id="0" w:name="_Hlk138253982"/>
      <w:r w:rsidRPr="00DB27F1">
        <w:rPr>
          <w:rFonts w:ascii="Book Antiqua" w:eastAsia="Book Antiqua" w:hAnsi="Book Antiqua" w:cs="Book Antiqua"/>
          <w:b/>
          <w:bCs/>
          <w:color w:val="000000" w:themeColor="text1"/>
        </w:rPr>
        <w:t>(TEXTO DE APROBACIÓN FINAL POR LA CÁMARA)</w:t>
      </w:r>
      <w:r w:rsidRPr="00DB27F1">
        <w:rPr>
          <w:rFonts w:ascii="Book Antiqua" w:eastAsia="Book Antiqua" w:hAnsi="Book Antiqua" w:cs="Book Antiqua"/>
          <w:b/>
          <w:color w:val="000000" w:themeColor="text1"/>
          <w:lang w:val="es-ES"/>
        </w:rPr>
        <w:fldChar w:fldCharType="begin"/>
      </w:r>
      <w:r w:rsidRPr="00DB27F1">
        <w:rPr>
          <w:rFonts w:ascii="Book Antiqua" w:eastAsia="Book Antiqua" w:hAnsi="Book Antiqua" w:cs="Book Antiqua"/>
          <w:b/>
          <w:bCs/>
          <w:color w:val="000000" w:themeColor="text1"/>
        </w:rPr>
        <w:instrText xml:space="preserve">PRIVATE </w:instrText>
      </w:r>
      <w:r w:rsidRPr="00DB27F1">
        <w:rPr>
          <w:rFonts w:ascii="Book Antiqua" w:eastAsia="Book Antiqua" w:hAnsi="Book Antiqua" w:cs="Book Antiqua"/>
          <w:b/>
          <w:color w:val="000000" w:themeColor="text1"/>
          <w:lang w:val="es-ES"/>
        </w:rPr>
        <w:fldChar w:fldCharType="end"/>
      </w:r>
    </w:p>
    <w:p w14:paraId="47777937" w14:textId="6D595CB5" w:rsidR="00DB27F1" w:rsidRPr="00DB27F1" w:rsidRDefault="00DB27F1" w:rsidP="00DB27F1">
      <w:pPr>
        <w:jc w:val="center"/>
        <w:rPr>
          <w:rFonts w:ascii="Book Antiqua" w:eastAsia="Book Antiqua" w:hAnsi="Book Antiqua" w:cs="Book Antiqua"/>
          <w:b/>
          <w:bCs/>
          <w:color w:val="000000" w:themeColor="text1"/>
        </w:rPr>
      </w:pPr>
      <w:r w:rsidRPr="00DB27F1">
        <w:rPr>
          <w:rFonts w:ascii="Book Antiqua" w:eastAsia="Book Antiqua" w:hAnsi="Book Antiqua" w:cs="Book Antiqua"/>
          <w:b/>
          <w:bCs/>
          <w:color w:val="000000" w:themeColor="text1"/>
        </w:rPr>
        <w:t>(</w:t>
      </w:r>
      <w:r w:rsidR="00B84189">
        <w:rPr>
          <w:rFonts w:ascii="Book Antiqua" w:eastAsia="Book Antiqua" w:hAnsi="Book Antiqua" w:cs="Book Antiqua"/>
          <w:b/>
          <w:bCs/>
          <w:color w:val="000000" w:themeColor="text1"/>
        </w:rPr>
        <w:t>11</w:t>
      </w:r>
      <w:r w:rsidRPr="00DB27F1">
        <w:rPr>
          <w:rFonts w:ascii="Book Antiqua" w:eastAsia="Book Antiqua" w:hAnsi="Book Antiqua" w:cs="Book Antiqua"/>
          <w:b/>
          <w:bCs/>
          <w:color w:val="000000" w:themeColor="text1"/>
        </w:rPr>
        <w:t xml:space="preserve"> DE </w:t>
      </w:r>
      <w:r w:rsidR="00B84189">
        <w:rPr>
          <w:rFonts w:ascii="Book Antiqua" w:eastAsia="Book Antiqua" w:hAnsi="Book Antiqua" w:cs="Book Antiqua"/>
          <w:b/>
          <w:bCs/>
          <w:color w:val="000000" w:themeColor="text1"/>
        </w:rPr>
        <w:t xml:space="preserve">SEPTIEMBRE </w:t>
      </w:r>
      <w:r w:rsidRPr="00DB27F1">
        <w:rPr>
          <w:rFonts w:ascii="Book Antiqua" w:eastAsia="Book Antiqua" w:hAnsi="Book Antiqua" w:cs="Book Antiqua"/>
          <w:b/>
          <w:bCs/>
          <w:color w:val="000000" w:themeColor="text1"/>
        </w:rPr>
        <w:t>DE 2025)</w:t>
      </w:r>
    </w:p>
    <w:p w14:paraId="4D720720" w14:textId="68ECF860" w:rsidR="00DB27F1" w:rsidRPr="00DB27F1" w:rsidRDefault="00DB27F1" w:rsidP="00DB27F1">
      <w:pPr>
        <w:jc w:val="center"/>
        <w:rPr>
          <w:rFonts w:ascii="Book Antiqua" w:eastAsia="Book Antiqua" w:hAnsi="Book Antiqua" w:cs="Book Antiqua"/>
          <w:b/>
          <w:bCs/>
          <w:color w:val="000000" w:themeColor="text1"/>
          <w:sz w:val="28"/>
          <w:szCs w:val="28"/>
          <w:lang w:val="es-ES_tradnl"/>
        </w:rPr>
      </w:pPr>
      <w:r w:rsidRPr="00DB27F1">
        <w:rPr>
          <w:rFonts w:ascii="Book Antiqua" w:eastAsia="Book Antiqua" w:hAnsi="Book Antiqua" w:cs="Book Antiqua"/>
          <w:b/>
          <w:noProof/>
          <w:color w:val="000000" w:themeColor="text1"/>
          <w:sz w:val="28"/>
          <w:szCs w:val="28"/>
          <w:lang w:val="es-ES"/>
        </w:rPr>
        <mc:AlternateContent>
          <mc:Choice Requires="wps">
            <w:drawing>
              <wp:anchor distT="0" distB="0" distL="114300" distR="114300" simplePos="0" relativeHeight="251659264" behindDoc="1" locked="0" layoutInCell="0" allowOverlap="1" wp14:anchorId="1070909C" wp14:editId="0C350427">
                <wp:simplePos x="0" y="0"/>
                <wp:positionH relativeFrom="margin">
                  <wp:posOffset>0</wp:posOffset>
                </wp:positionH>
                <wp:positionV relativeFrom="paragraph">
                  <wp:posOffset>0</wp:posOffset>
                </wp:positionV>
                <wp:extent cx="5943600" cy="22860"/>
                <wp:effectExtent l="0" t="0" r="0" b="0"/>
                <wp:wrapNone/>
                <wp:docPr id="114284668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4228BE" id="Rectángulo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79550656" w14:textId="1C27FBC7" w:rsidR="00FF2214" w:rsidRPr="00F7635D" w:rsidRDefault="00850770">
      <w:pPr>
        <w:jc w:val="center"/>
        <w:rPr>
          <w:rFonts w:ascii="Book Antiqua" w:eastAsia="Book Antiqua" w:hAnsi="Book Antiqua" w:cs="Book Antiqua"/>
          <w:bCs/>
          <w:color w:val="000000" w:themeColor="text1"/>
          <w:sz w:val="28"/>
          <w:szCs w:val="28"/>
        </w:rPr>
      </w:pPr>
      <w:r w:rsidRPr="00F7635D">
        <w:rPr>
          <w:rFonts w:ascii="Book Antiqua" w:eastAsia="Book Antiqua" w:hAnsi="Book Antiqua" w:cs="Book Antiqua"/>
          <w:bCs/>
          <w:color w:val="000000" w:themeColor="text1"/>
          <w:sz w:val="28"/>
          <w:szCs w:val="28"/>
        </w:rPr>
        <w:t xml:space="preserve">GOBIERNO DE </w:t>
      </w:r>
      <w:sdt>
        <w:sdtPr>
          <w:rPr>
            <w:bCs/>
            <w:color w:val="000000" w:themeColor="text1"/>
            <w:sz w:val="28"/>
            <w:szCs w:val="28"/>
          </w:rPr>
          <w:tag w:val="goog_rdk_0"/>
          <w:id w:val="-2063775325"/>
        </w:sdtPr>
        <w:sdtEndPr/>
        <w:sdtContent/>
      </w:sdt>
      <w:r w:rsidRPr="00F7635D">
        <w:rPr>
          <w:rFonts w:ascii="Book Antiqua" w:eastAsia="Book Antiqua" w:hAnsi="Book Antiqua" w:cs="Book Antiqua"/>
          <w:bCs/>
          <w:color w:val="000000" w:themeColor="text1"/>
          <w:sz w:val="28"/>
          <w:szCs w:val="28"/>
        </w:rPr>
        <w:t>PUERTO RICO</w:t>
      </w:r>
    </w:p>
    <w:p w14:paraId="79550657" w14:textId="77777777" w:rsidR="00FF2214" w:rsidRPr="007F2135" w:rsidRDefault="00FF2214">
      <w:pPr>
        <w:jc w:val="center"/>
        <w:rPr>
          <w:rFonts w:ascii="Book Antiqua" w:eastAsia="Book Antiqua" w:hAnsi="Book Antiqua" w:cs="Book Antiqua"/>
          <w:color w:val="000000" w:themeColor="text1"/>
        </w:rPr>
      </w:pPr>
    </w:p>
    <w:p w14:paraId="79550658" w14:textId="0777BF47" w:rsidR="00FF2214" w:rsidRPr="00DB27F1" w:rsidRDefault="00DB27F1" w:rsidP="00DB27F1">
      <w:pPr>
        <w:rPr>
          <w:rFonts w:ascii="Book Antiqua" w:eastAsia="Book Antiqua" w:hAnsi="Book Antiqua" w:cs="Book Antiqua"/>
          <w:color w:val="000000" w:themeColor="text1"/>
          <w:lang w:val="it-IT"/>
        </w:rPr>
      </w:pPr>
      <w:r>
        <w:rPr>
          <w:rFonts w:ascii="Book Antiqua" w:eastAsia="Book Antiqua" w:hAnsi="Book Antiqua" w:cs="Book Antiqua"/>
          <w:color w:val="000000" w:themeColor="text1"/>
          <w:lang w:val="it-IT"/>
        </w:rPr>
        <w:t>20ma.</w:t>
      </w:r>
      <w:r w:rsidR="00850770" w:rsidRPr="00DB27F1">
        <w:rPr>
          <w:rFonts w:ascii="Book Antiqua" w:eastAsia="Book Antiqua" w:hAnsi="Book Antiqua" w:cs="Book Antiqua"/>
          <w:color w:val="000000" w:themeColor="text1"/>
          <w:lang w:val="it-IT"/>
        </w:rPr>
        <w:tab/>
      </w:r>
      <w:r>
        <w:rPr>
          <w:rFonts w:ascii="Book Antiqua" w:eastAsia="Book Antiqua" w:hAnsi="Book Antiqua" w:cs="Book Antiqua"/>
          <w:color w:val="000000" w:themeColor="text1"/>
          <w:lang w:val="it-IT"/>
        </w:rPr>
        <w:t xml:space="preserve"> </w:t>
      </w:r>
      <w:r w:rsidR="00850770" w:rsidRPr="00DB27F1">
        <w:rPr>
          <w:rFonts w:ascii="Book Antiqua" w:eastAsia="Book Antiqua" w:hAnsi="Book Antiqua" w:cs="Book Antiqua"/>
          <w:color w:val="000000" w:themeColor="text1"/>
          <w:lang w:val="it-IT"/>
        </w:rPr>
        <w:t>Asamblea</w:t>
      </w:r>
      <w:r w:rsidR="00850770" w:rsidRPr="00DB27F1">
        <w:rPr>
          <w:rFonts w:ascii="Book Antiqua" w:eastAsia="Book Antiqua" w:hAnsi="Book Antiqua" w:cs="Book Antiqua"/>
          <w:color w:val="000000" w:themeColor="text1"/>
          <w:lang w:val="it-IT"/>
        </w:rPr>
        <w:tab/>
      </w:r>
      <w:r>
        <w:rPr>
          <w:rFonts w:ascii="Book Antiqua" w:eastAsia="Book Antiqua" w:hAnsi="Book Antiqua" w:cs="Book Antiqua"/>
          <w:color w:val="000000" w:themeColor="text1"/>
          <w:lang w:val="it-IT"/>
        </w:rPr>
        <w:t xml:space="preserve">    </w:t>
      </w:r>
      <w:r>
        <w:rPr>
          <w:rFonts w:ascii="Book Antiqua" w:eastAsia="Book Antiqua" w:hAnsi="Book Antiqua" w:cs="Book Antiqua"/>
          <w:color w:val="000000" w:themeColor="text1"/>
          <w:lang w:val="it-IT"/>
        </w:rPr>
        <w:tab/>
      </w:r>
      <w:r>
        <w:rPr>
          <w:rFonts w:ascii="Book Antiqua" w:eastAsia="Book Antiqua" w:hAnsi="Book Antiqua" w:cs="Book Antiqua"/>
          <w:color w:val="000000" w:themeColor="text1"/>
          <w:lang w:val="it-IT"/>
        </w:rPr>
        <w:tab/>
      </w:r>
      <w:r>
        <w:rPr>
          <w:rFonts w:ascii="Book Antiqua" w:eastAsia="Book Antiqua" w:hAnsi="Book Antiqua" w:cs="Book Antiqua"/>
          <w:color w:val="000000" w:themeColor="text1"/>
          <w:lang w:val="it-IT"/>
        </w:rPr>
        <w:tab/>
      </w:r>
      <w:r>
        <w:rPr>
          <w:rFonts w:ascii="Book Antiqua" w:eastAsia="Book Antiqua" w:hAnsi="Book Antiqua" w:cs="Book Antiqua"/>
          <w:color w:val="000000" w:themeColor="text1"/>
          <w:lang w:val="it-IT"/>
        </w:rPr>
        <w:tab/>
      </w:r>
      <w:r>
        <w:rPr>
          <w:rFonts w:ascii="Book Antiqua" w:eastAsia="Book Antiqua" w:hAnsi="Book Antiqua" w:cs="Book Antiqua"/>
          <w:color w:val="000000" w:themeColor="text1"/>
          <w:lang w:val="it-IT"/>
        </w:rPr>
        <w:tab/>
      </w:r>
      <w:r>
        <w:rPr>
          <w:rFonts w:ascii="Book Antiqua" w:eastAsia="Book Antiqua" w:hAnsi="Book Antiqua" w:cs="Book Antiqua"/>
          <w:color w:val="000000" w:themeColor="text1"/>
          <w:lang w:val="it-IT"/>
        </w:rPr>
        <w:tab/>
        <w:t xml:space="preserve">                      1ra.</w:t>
      </w:r>
      <w:r>
        <w:rPr>
          <w:rFonts w:ascii="Book Antiqua" w:eastAsia="Book Antiqua" w:hAnsi="Book Antiqua" w:cs="Book Antiqua"/>
          <w:color w:val="000000" w:themeColor="text1"/>
          <w:vertAlign w:val="superscript"/>
          <w:lang w:val="it-IT"/>
        </w:rPr>
        <w:t xml:space="preserve">  </w:t>
      </w:r>
      <w:r w:rsidR="00850770" w:rsidRPr="00DB27F1">
        <w:rPr>
          <w:rFonts w:ascii="Book Antiqua" w:eastAsia="Book Antiqua" w:hAnsi="Book Antiqua" w:cs="Book Antiqua"/>
          <w:color w:val="000000" w:themeColor="text1"/>
          <w:lang w:val="it-IT"/>
        </w:rPr>
        <w:t>Sesión</w:t>
      </w:r>
    </w:p>
    <w:p w14:paraId="79550659" w14:textId="30CD9DAB" w:rsidR="00FF2214" w:rsidRPr="00DB27F1" w:rsidRDefault="00850770" w:rsidP="00DB27F1">
      <w:pPr>
        <w:rPr>
          <w:rFonts w:ascii="Book Antiqua" w:eastAsia="Book Antiqua" w:hAnsi="Book Antiqua" w:cs="Book Antiqua"/>
          <w:color w:val="000000" w:themeColor="text1"/>
          <w:lang w:val="it-IT"/>
        </w:rPr>
      </w:pPr>
      <w:r w:rsidRPr="00DB27F1">
        <w:rPr>
          <w:rFonts w:ascii="Book Antiqua" w:eastAsia="Book Antiqua" w:hAnsi="Book Antiqua" w:cs="Book Antiqua"/>
          <w:color w:val="000000" w:themeColor="text1"/>
          <w:lang w:val="it-IT"/>
        </w:rPr>
        <w:tab/>
      </w:r>
      <w:r w:rsidR="00DB27F1">
        <w:rPr>
          <w:rFonts w:ascii="Book Antiqua" w:eastAsia="Book Antiqua" w:hAnsi="Book Antiqua" w:cs="Book Antiqua"/>
          <w:color w:val="000000" w:themeColor="text1"/>
          <w:lang w:val="it-IT"/>
        </w:rPr>
        <w:t xml:space="preserve"> </w:t>
      </w:r>
      <w:r w:rsidRPr="00DB27F1">
        <w:rPr>
          <w:rFonts w:ascii="Book Antiqua" w:eastAsia="Book Antiqua" w:hAnsi="Book Antiqua" w:cs="Book Antiqua"/>
          <w:color w:val="000000" w:themeColor="text1"/>
          <w:lang w:val="it-IT"/>
        </w:rPr>
        <w:t>Legislativa</w:t>
      </w:r>
      <w:r w:rsidRPr="00DB27F1">
        <w:rPr>
          <w:rFonts w:ascii="Book Antiqua" w:eastAsia="Book Antiqua" w:hAnsi="Book Antiqua" w:cs="Book Antiqua"/>
          <w:color w:val="000000" w:themeColor="text1"/>
          <w:lang w:val="it-IT"/>
        </w:rPr>
        <w:tab/>
      </w:r>
      <w:r w:rsidRPr="00DB27F1">
        <w:rPr>
          <w:rFonts w:ascii="Book Antiqua" w:eastAsia="Book Antiqua" w:hAnsi="Book Antiqua" w:cs="Book Antiqua"/>
          <w:color w:val="000000" w:themeColor="text1"/>
          <w:lang w:val="it-IT"/>
        </w:rPr>
        <w:tab/>
      </w:r>
      <w:r w:rsidR="00DB27F1">
        <w:rPr>
          <w:rFonts w:ascii="Book Antiqua" w:eastAsia="Book Antiqua" w:hAnsi="Book Antiqua" w:cs="Book Antiqua"/>
          <w:color w:val="000000" w:themeColor="text1"/>
          <w:lang w:val="it-IT"/>
        </w:rPr>
        <w:t xml:space="preserve">       </w:t>
      </w:r>
      <w:r w:rsidR="00DB27F1">
        <w:rPr>
          <w:rFonts w:ascii="Book Antiqua" w:eastAsia="Book Antiqua" w:hAnsi="Book Antiqua" w:cs="Book Antiqua"/>
          <w:color w:val="000000" w:themeColor="text1"/>
          <w:lang w:val="it-IT"/>
        </w:rPr>
        <w:tab/>
      </w:r>
      <w:r w:rsidR="00DB27F1">
        <w:rPr>
          <w:rFonts w:ascii="Book Antiqua" w:eastAsia="Book Antiqua" w:hAnsi="Book Antiqua" w:cs="Book Antiqua"/>
          <w:color w:val="000000" w:themeColor="text1"/>
          <w:lang w:val="it-IT"/>
        </w:rPr>
        <w:tab/>
      </w:r>
      <w:r w:rsidR="00DB27F1">
        <w:rPr>
          <w:rFonts w:ascii="Book Antiqua" w:eastAsia="Book Antiqua" w:hAnsi="Book Antiqua" w:cs="Book Antiqua"/>
          <w:color w:val="000000" w:themeColor="text1"/>
          <w:lang w:val="it-IT"/>
        </w:rPr>
        <w:tab/>
      </w:r>
      <w:r w:rsidR="00DB27F1">
        <w:rPr>
          <w:rFonts w:ascii="Book Antiqua" w:eastAsia="Book Antiqua" w:hAnsi="Book Antiqua" w:cs="Book Antiqua"/>
          <w:color w:val="000000" w:themeColor="text1"/>
          <w:lang w:val="it-IT"/>
        </w:rPr>
        <w:tab/>
      </w:r>
      <w:r w:rsidR="00DB27F1">
        <w:rPr>
          <w:rFonts w:ascii="Book Antiqua" w:eastAsia="Book Antiqua" w:hAnsi="Book Antiqua" w:cs="Book Antiqua"/>
          <w:color w:val="000000" w:themeColor="text1"/>
          <w:lang w:val="it-IT"/>
        </w:rPr>
        <w:tab/>
      </w:r>
      <w:r w:rsidR="00DB27F1">
        <w:rPr>
          <w:rFonts w:ascii="Book Antiqua" w:eastAsia="Book Antiqua" w:hAnsi="Book Antiqua" w:cs="Book Antiqua"/>
          <w:color w:val="000000" w:themeColor="text1"/>
          <w:lang w:val="it-IT"/>
        </w:rPr>
        <w:tab/>
      </w:r>
      <w:r w:rsidR="00DB27F1">
        <w:rPr>
          <w:rFonts w:ascii="Book Antiqua" w:eastAsia="Book Antiqua" w:hAnsi="Book Antiqua" w:cs="Book Antiqua"/>
          <w:color w:val="000000" w:themeColor="text1"/>
          <w:lang w:val="it-IT"/>
        </w:rPr>
        <w:tab/>
        <w:t xml:space="preserve">      </w:t>
      </w:r>
      <w:r w:rsidRPr="00DB27F1">
        <w:rPr>
          <w:rFonts w:ascii="Book Antiqua" w:eastAsia="Book Antiqua" w:hAnsi="Book Antiqua" w:cs="Book Antiqua"/>
          <w:color w:val="000000" w:themeColor="text1"/>
          <w:lang w:val="it-IT"/>
        </w:rPr>
        <w:t>Ordinaria</w:t>
      </w:r>
    </w:p>
    <w:p w14:paraId="7955065A" w14:textId="77777777" w:rsidR="00FF2214" w:rsidRPr="00DB27F1" w:rsidRDefault="00FF2214">
      <w:pPr>
        <w:rPr>
          <w:rFonts w:ascii="Book Antiqua" w:eastAsia="Book Antiqua" w:hAnsi="Book Antiqua" w:cs="Book Antiqua"/>
          <w:color w:val="000000" w:themeColor="text1"/>
          <w:lang w:val="it-IT"/>
        </w:rPr>
      </w:pPr>
    </w:p>
    <w:p w14:paraId="32A931BE" w14:textId="77777777" w:rsidR="00950505" w:rsidRPr="007F2135" w:rsidRDefault="00950505" w:rsidP="00950505">
      <w:pPr>
        <w:jc w:val="center"/>
        <w:rPr>
          <w:rFonts w:ascii="Book Antiqua" w:hAnsi="Book Antiqua"/>
          <w:b/>
          <w:color w:val="000000" w:themeColor="text1"/>
          <w:sz w:val="36"/>
          <w:szCs w:val="36"/>
        </w:rPr>
      </w:pPr>
      <w:r w:rsidRPr="007F2135">
        <w:rPr>
          <w:rFonts w:ascii="Book Antiqua" w:hAnsi="Book Antiqua"/>
          <w:b/>
          <w:color w:val="000000" w:themeColor="text1"/>
          <w:sz w:val="36"/>
          <w:szCs w:val="36"/>
        </w:rPr>
        <w:t>CÁMARA DE REPRESENTANTES</w:t>
      </w:r>
    </w:p>
    <w:p w14:paraId="1FE61380" w14:textId="77777777" w:rsidR="00950505" w:rsidRPr="007F2135" w:rsidRDefault="00950505" w:rsidP="00950505">
      <w:pPr>
        <w:jc w:val="center"/>
        <w:rPr>
          <w:rFonts w:ascii="Book Antiqua" w:hAnsi="Book Antiqua"/>
          <w:color w:val="000000" w:themeColor="text1"/>
        </w:rPr>
      </w:pPr>
    </w:p>
    <w:p w14:paraId="5886E84B" w14:textId="210F87D4" w:rsidR="00950505" w:rsidRPr="007F2135" w:rsidRDefault="00950505" w:rsidP="00950505">
      <w:pPr>
        <w:jc w:val="center"/>
        <w:rPr>
          <w:rFonts w:ascii="Book Antiqua" w:hAnsi="Book Antiqua"/>
          <w:b/>
          <w:color w:val="000000" w:themeColor="text1"/>
          <w:sz w:val="52"/>
          <w:szCs w:val="52"/>
        </w:rPr>
      </w:pPr>
      <w:r w:rsidRPr="007F2135">
        <w:rPr>
          <w:rFonts w:ascii="Book Antiqua" w:hAnsi="Book Antiqua"/>
          <w:b/>
          <w:color w:val="000000" w:themeColor="text1"/>
          <w:sz w:val="52"/>
          <w:szCs w:val="52"/>
        </w:rPr>
        <w:t>P. de la C.</w:t>
      </w:r>
      <w:r w:rsidR="00910321">
        <w:rPr>
          <w:rFonts w:ascii="Book Antiqua" w:hAnsi="Book Antiqua"/>
          <w:b/>
          <w:color w:val="000000" w:themeColor="text1"/>
          <w:sz w:val="52"/>
          <w:szCs w:val="52"/>
        </w:rPr>
        <w:t xml:space="preserve"> 502</w:t>
      </w:r>
    </w:p>
    <w:p w14:paraId="4A8A7A6F" w14:textId="77777777" w:rsidR="00950505" w:rsidRPr="007F2135" w:rsidRDefault="00950505" w:rsidP="00950505">
      <w:pPr>
        <w:jc w:val="center"/>
        <w:rPr>
          <w:rFonts w:ascii="Book Antiqua" w:hAnsi="Book Antiqua"/>
          <w:color w:val="000000" w:themeColor="text1"/>
        </w:rPr>
      </w:pPr>
    </w:p>
    <w:p w14:paraId="3D87D176" w14:textId="3DCA32B5" w:rsidR="00950505" w:rsidRPr="007F2135" w:rsidRDefault="00910321" w:rsidP="00950505">
      <w:pPr>
        <w:jc w:val="center"/>
        <w:rPr>
          <w:rFonts w:ascii="Book Antiqua" w:hAnsi="Book Antiqua"/>
          <w:b/>
          <w:color w:val="000000" w:themeColor="text1"/>
          <w:sz w:val="48"/>
        </w:rPr>
      </w:pPr>
      <w:r>
        <w:rPr>
          <w:rFonts w:ascii="Book Antiqua" w:hAnsi="Book Antiqua"/>
          <w:caps/>
          <w:color w:val="000000" w:themeColor="text1"/>
        </w:rPr>
        <w:t xml:space="preserve">4 </w:t>
      </w:r>
      <w:r w:rsidR="00950505" w:rsidRPr="007F2135">
        <w:rPr>
          <w:rFonts w:ascii="Book Antiqua" w:hAnsi="Book Antiqua"/>
          <w:caps/>
          <w:color w:val="000000" w:themeColor="text1"/>
        </w:rPr>
        <w:t xml:space="preserve">de </w:t>
      </w:r>
      <w:r w:rsidR="00864305" w:rsidRPr="007F2135">
        <w:rPr>
          <w:rFonts w:ascii="Book Antiqua" w:hAnsi="Book Antiqua"/>
          <w:caps/>
          <w:color w:val="000000" w:themeColor="text1"/>
        </w:rPr>
        <w:t>abril</w:t>
      </w:r>
      <w:r w:rsidR="00950505" w:rsidRPr="007F2135">
        <w:rPr>
          <w:rFonts w:ascii="Book Antiqua" w:hAnsi="Book Antiqua"/>
          <w:caps/>
          <w:color w:val="000000" w:themeColor="text1"/>
        </w:rPr>
        <w:t xml:space="preserve"> de</w:t>
      </w:r>
      <w:r w:rsidR="00950505" w:rsidRPr="007F2135">
        <w:rPr>
          <w:rFonts w:ascii="Book Antiqua" w:hAnsi="Book Antiqua"/>
          <w:color w:val="000000" w:themeColor="text1"/>
          <w:sz w:val="22"/>
          <w:szCs w:val="22"/>
        </w:rPr>
        <w:t xml:space="preserve"> </w:t>
      </w:r>
      <w:r w:rsidR="00950505" w:rsidRPr="007F2135">
        <w:rPr>
          <w:rFonts w:ascii="Book Antiqua" w:hAnsi="Book Antiqua"/>
          <w:color w:val="000000" w:themeColor="text1"/>
        </w:rPr>
        <w:t>2025</w:t>
      </w:r>
    </w:p>
    <w:p w14:paraId="1E7B6D3E" w14:textId="77777777" w:rsidR="00950505" w:rsidRPr="007F2135" w:rsidRDefault="00950505" w:rsidP="00950505">
      <w:pPr>
        <w:jc w:val="center"/>
        <w:rPr>
          <w:rFonts w:ascii="Book Antiqua" w:hAnsi="Book Antiqua"/>
          <w:color w:val="000000" w:themeColor="text1"/>
        </w:rPr>
      </w:pPr>
    </w:p>
    <w:p w14:paraId="001AA10B" w14:textId="2388B596" w:rsidR="00950505" w:rsidRPr="007F2135" w:rsidRDefault="00950505" w:rsidP="00DB27F1">
      <w:pPr>
        <w:ind w:left="720" w:hanging="720"/>
        <w:jc w:val="both"/>
        <w:rPr>
          <w:rFonts w:ascii="Book Antiqua" w:eastAsia="Aptos" w:hAnsi="Book Antiqua"/>
          <w:i/>
          <w:iCs/>
          <w:kern w:val="2"/>
          <w14:ligatures w14:val="standardContextual"/>
        </w:rPr>
      </w:pPr>
      <w:r w:rsidRPr="007F2135">
        <w:rPr>
          <w:rFonts w:ascii="Book Antiqua" w:hAnsi="Book Antiqua"/>
          <w:color w:val="000000" w:themeColor="text1"/>
        </w:rPr>
        <w:t xml:space="preserve">Presentado </w:t>
      </w:r>
      <w:r w:rsidR="00B02CD9" w:rsidRPr="007F2135">
        <w:rPr>
          <w:rFonts w:ascii="Book Antiqua" w:eastAsia="Book Antiqua" w:hAnsi="Book Antiqua" w:cs="Book Antiqua"/>
          <w:color w:val="000000" w:themeColor="text1"/>
        </w:rPr>
        <w:t xml:space="preserve">por </w:t>
      </w:r>
      <w:r w:rsidR="00B02CD9" w:rsidRPr="007F2135">
        <w:rPr>
          <w:rFonts w:ascii="Book Antiqua" w:hAnsi="Book Antiqua"/>
        </w:rPr>
        <w:t xml:space="preserve">el representante </w:t>
      </w:r>
      <w:r w:rsidR="00B02CD9" w:rsidRPr="007F2135">
        <w:rPr>
          <w:rFonts w:ascii="Book Antiqua" w:hAnsi="Book Antiqua"/>
          <w:i/>
          <w:iCs/>
        </w:rPr>
        <w:t xml:space="preserve">Méndez Núñez; </w:t>
      </w:r>
      <w:r w:rsidR="00B02CD9" w:rsidRPr="007F2135">
        <w:rPr>
          <w:rFonts w:ascii="Book Antiqua" w:eastAsia="Aptos" w:hAnsi="Book Antiqua"/>
          <w:kern w:val="2"/>
          <w14:ligatures w14:val="standardContextual"/>
        </w:rPr>
        <w:t>la representante</w:t>
      </w:r>
      <w:r w:rsidR="00B02CD9" w:rsidRPr="007F2135">
        <w:rPr>
          <w:rFonts w:ascii="Book Antiqua" w:eastAsia="Aptos" w:hAnsi="Book Antiqua"/>
          <w:i/>
          <w:iCs/>
          <w:kern w:val="2"/>
          <w14:ligatures w14:val="standardContextual"/>
        </w:rPr>
        <w:t xml:space="preserve"> Lebrón Rodríguez; </w:t>
      </w:r>
      <w:r w:rsidR="00B02CD9" w:rsidRPr="007F2135">
        <w:rPr>
          <w:rFonts w:ascii="Book Antiqua" w:eastAsia="Aptos" w:hAnsi="Book Antiqua"/>
          <w:kern w:val="2"/>
          <w14:ligatures w14:val="standardContextual"/>
        </w:rPr>
        <w:t>los representantes</w:t>
      </w:r>
      <w:r w:rsidR="00B02CD9" w:rsidRPr="007F2135">
        <w:rPr>
          <w:rFonts w:ascii="Book Antiqua" w:eastAsia="Aptos" w:hAnsi="Book Antiqua"/>
          <w:i/>
          <w:iCs/>
          <w:kern w:val="2"/>
          <w14:ligatures w14:val="standardContextual"/>
        </w:rPr>
        <w:t xml:space="preserve"> Peña Ramírez, Torres Zamora, Román López, Aponte Hernández, Carlo Acosta, Charbonier Chinea, Colón Rodríguez; </w:t>
      </w:r>
      <w:r w:rsidR="00B02CD9" w:rsidRPr="007F2135">
        <w:rPr>
          <w:rFonts w:ascii="Book Antiqua" w:eastAsia="Aptos" w:hAnsi="Book Antiqua"/>
          <w:kern w:val="2"/>
          <w14:ligatures w14:val="standardContextual"/>
        </w:rPr>
        <w:t>la representante</w:t>
      </w:r>
      <w:r w:rsidR="00B02CD9" w:rsidRPr="007F2135">
        <w:rPr>
          <w:rFonts w:ascii="Book Antiqua" w:eastAsia="Aptos" w:hAnsi="Book Antiqua"/>
          <w:i/>
          <w:iCs/>
          <w:kern w:val="2"/>
          <w14:ligatures w14:val="standardContextual"/>
        </w:rPr>
        <w:t xml:space="preserve"> del Valle Correa; </w:t>
      </w:r>
      <w:r w:rsidR="00B02CD9" w:rsidRPr="007F2135">
        <w:rPr>
          <w:rFonts w:ascii="Book Antiqua" w:eastAsia="Aptos" w:hAnsi="Book Antiqua"/>
          <w:kern w:val="2"/>
          <w14:ligatures w14:val="standardContextual"/>
        </w:rPr>
        <w:t>los representantes</w:t>
      </w:r>
      <w:r w:rsidR="00B02CD9" w:rsidRPr="007F2135">
        <w:rPr>
          <w:rFonts w:ascii="Book Antiqua" w:eastAsia="Aptos" w:hAnsi="Book Antiqua"/>
          <w:i/>
          <w:iCs/>
          <w:kern w:val="2"/>
          <w14:ligatures w14:val="standardContextual"/>
        </w:rPr>
        <w:t xml:space="preserve"> Estévez Vélez, Franqui Atiles; </w:t>
      </w:r>
      <w:r w:rsidR="00B02CD9" w:rsidRPr="007F2135">
        <w:rPr>
          <w:rFonts w:ascii="Book Antiqua" w:eastAsia="Aptos" w:hAnsi="Book Antiqua"/>
          <w:kern w:val="2"/>
          <w14:ligatures w14:val="standardContextual"/>
        </w:rPr>
        <w:t>las representantes</w:t>
      </w:r>
      <w:r w:rsidR="00B02CD9" w:rsidRPr="007F2135">
        <w:rPr>
          <w:rFonts w:ascii="Book Antiqua" w:eastAsia="Aptos" w:hAnsi="Book Antiqua"/>
          <w:i/>
          <w:iCs/>
          <w:kern w:val="2"/>
          <w14:ligatures w14:val="standardContextual"/>
        </w:rPr>
        <w:t xml:space="preserve"> González Aguayo, González González; </w:t>
      </w:r>
      <w:r w:rsidR="00B02CD9" w:rsidRPr="007F2135">
        <w:rPr>
          <w:rFonts w:ascii="Book Antiqua" w:eastAsia="Aptos" w:hAnsi="Book Antiqua"/>
          <w:kern w:val="2"/>
          <w14:ligatures w14:val="standardContextual"/>
        </w:rPr>
        <w:t>los representantes</w:t>
      </w:r>
      <w:r w:rsidR="00B02CD9" w:rsidRPr="007F2135">
        <w:rPr>
          <w:rFonts w:ascii="Book Antiqua" w:eastAsia="Aptos" w:hAnsi="Book Antiqua"/>
          <w:i/>
          <w:iCs/>
          <w:kern w:val="2"/>
          <w14:ligatures w14:val="standardContextual"/>
        </w:rPr>
        <w:t xml:space="preserve"> Hernández Concepción, Jiménez Torres; </w:t>
      </w:r>
      <w:r w:rsidR="00B02CD9" w:rsidRPr="007F2135">
        <w:rPr>
          <w:rFonts w:ascii="Book Antiqua" w:eastAsia="Aptos" w:hAnsi="Book Antiqua"/>
          <w:kern w:val="2"/>
          <w14:ligatures w14:val="standardContextual"/>
        </w:rPr>
        <w:t>las representantes</w:t>
      </w:r>
      <w:r w:rsidR="00B02CD9" w:rsidRPr="007F2135">
        <w:rPr>
          <w:rFonts w:ascii="Book Antiqua" w:eastAsia="Aptos" w:hAnsi="Book Antiqua"/>
          <w:i/>
          <w:iCs/>
          <w:kern w:val="2"/>
          <w14:ligatures w14:val="standardContextual"/>
        </w:rPr>
        <w:t xml:space="preserve"> Martínez Vázquez, Medina Calderón; </w:t>
      </w:r>
      <w:r w:rsidR="00B02CD9" w:rsidRPr="007F2135">
        <w:rPr>
          <w:rFonts w:ascii="Book Antiqua" w:eastAsia="Aptos" w:hAnsi="Book Antiqua"/>
          <w:kern w:val="2"/>
          <w14:ligatures w14:val="standardContextual"/>
        </w:rPr>
        <w:t>los representantes</w:t>
      </w:r>
      <w:r w:rsidR="00B02CD9" w:rsidRPr="007F2135">
        <w:rPr>
          <w:rFonts w:ascii="Book Antiqua" w:eastAsia="Aptos" w:hAnsi="Book Antiqua"/>
          <w:i/>
          <w:iCs/>
          <w:kern w:val="2"/>
          <w14:ligatures w14:val="standardContextual"/>
        </w:rPr>
        <w:t xml:space="preserve"> Morey Noble, Muriel Sánchez, Navarro Suárez, Nieves</w:t>
      </w:r>
      <w:r w:rsidR="00EB0D65" w:rsidRPr="007F2135">
        <w:rPr>
          <w:rFonts w:ascii="Book Antiqua" w:eastAsia="Aptos" w:hAnsi="Book Antiqua"/>
          <w:i/>
          <w:iCs/>
          <w:kern w:val="2"/>
          <w14:ligatures w14:val="standardContextual"/>
        </w:rPr>
        <w:t xml:space="preserve"> </w:t>
      </w:r>
      <w:r w:rsidR="00B02CD9" w:rsidRPr="007F2135">
        <w:rPr>
          <w:rFonts w:ascii="Book Antiqua" w:eastAsia="Aptos" w:hAnsi="Book Antiqua"/>
          <w:i/>
          <w:iCs/>
          <w:kern w:val="2"/>
          <w14:ligatures w14:val="standardContextual"/>
        </w:rPr>
        <w:t xml:space="preserve">Rosario, Ocasio Ramos, Pacheco Burgos, Parés Otero; </w:t>
      </w:r>
      <w:r w:rsidR="00B02CD9" w:rsidRPr="007F2135">
        <w:rPr>
          <w:rFonts w:ascii="Book Antiqua" w:eastAsia="Aptos" w:hAnsi="Book Antiqua"/>
          <w:kern w:val="2"/>
          <w14:ligatures w14:val="standardContextual"/>
        </w:rPr>
        <w:t>la representante</w:t>
      </w:r>
      <w:r w:rsidR="00B02CD9" w:rsidRPr="007F2135">
        <w:rPr>
          <w:rFonts w:ascii="Book Antiqua" w:eastAsia="Aptos" w:hAnsi="Book Antiqua"/>
          <w:i/>
          <w:iCs/>
          <w:kern w:val="2"/>
          <w14:ligatures w14:val="standardContextual"/>
        </w:rPr>
        <w:t xml:space="preserve"> Peña Dávila; </w:t>
      </w:r>
      <w:r w:rsidR="00B02CD9" w:rsidRPr="007F2135">
        <w:rPr>
          <w:rFonts w:ascii="Book Antiqua" w:eastAsia="Aptos" w:hAnsi="Book Antiqua"/>
          <w:kern w:val="2"/>
          <w14:ligatures w14:val="standardContextual"/>
        </w:rPr>
        <w:t>los representantes</w:t>
      </w:r>
      <w:r w:rsidR="00B02CD9" w:rsidRPr="007F2135">
        <w:rPr>
          <w:rFonts w:ascii="Book Antiqua" w:eastAsia="Aptos" w:hAnsi="Book Antiqua"/>
          <w:i/>
          <w:iCs/>
          <w:kern w:val="2"/>
          <w14:ligatures w14:val="standardContextual"/>
        </w:rPr>
        <w:t xml:space="preserve"> Pérez Cordero, Pérez Ortiz; </w:t>
      </w:r>
      <w:r w:rsidR="00B02CD9" w:rsidRPr="007F2135">
        <w:rPr>
          <w:rFonts w:ascii="Book Antiqua" w:eastAsia="Aptos" w:hAnsi="Book Antiqua"/>
          <w:kern w:val="2"/>
          <w14:ligatures w14:val="standardContextual"/>
        </w:rPr>
        <w:t>las representantes</w:t>
      </w:r>
      <w:r w:rsidR="00B02CD9" w:rsidRPr="007F2135">
        <w:rPr>
          <w:rFonts w:ascii="Book Antiqua" w:eastAsia="Aptos" w:hAnsi="Book Antiqua"/>
          <w:i/>
          <w:iCs/>
          <w:kern w:val="2"/>
          <w14:ligatures w14:val="standardContextual"/>
        </w:rPr>
        <w:t xml:space="preserve"> Pérez Ramírez, Ramos Rivera; </w:t>
      </w:r>
      <w:r w:rsidR="00B02CD9" w:rsidRPr="007F2135">
        <w:rPr>
          <w:rFonts w:ascii="Book Antiqua" w:eastAsia="Aptos" w:hAnsi="Book Antiqua"/>
          <w:kern w:val="2"/>
          <w14:ligatures w14:val="standardContextual"/>
        </w:rPr>
        <w:t>los representantes</w:t>
      </w:r>
      <w:r w:rsidR="00B02CD9" w:rsidRPr="007F2135">
        <w:rPr>
          <w:rFonts w:ascii="Book Antiqua" w:eastAsia="Aptos" w:hAnsi="Book Antiqua"/>
          <w:i/>
          <w:iCs/>
          <w:kern w:val="2"/>
          <w14:ligatures w14:val="standardContextual"/>
        </w:rPr>
        <w:t xml:space="preserve"> Robles Rivera, Rodríguez Aguiló, Rodríguez Torres, Roque Gracia, Sanabria Colón y Santiago Guzmán</w:t>
      </w:r>
    </w:p>
    <w:p w14:paraId="18A0DB58" w14:textId="77777777" w:rsidR="00950505" w:rsidRPr="007F2135" w:rsidRDefault="00950505" w:rsidP="00950505">
      <w:pPr>
        <w:jc w:val="center"/>
        <w:rPr>
          <w:rFonts w:ascii="Book Antiqua" w:hAnsi="Book Antiqua"/>
          <w:color w:val="000000" w:themeColor="text1"/>
        </w:rPr>
      </w:pPr>
    </w:p>
    <w:p w14:paraId="6E0B8939" w14:textId="261F9421" w:rsidR="00950505" w:rsidRPr="007F2135" w:rsidRDefault="00950505" w:rsidP="00950505">
      <w:pPr>
        <w:jc w:val="center"/>
        <w:rPr>
          <w:rFonts w:ascii="Book Antiqua" w:hAnsi="Book Antiqua"/>
          <w:color w:val="000000" w:themeColor="text1"/>
        </w:rPr>
      </w:pPr>
      <w:r w:rsidRPr="007F2135">
        <w:rPr>
          <w:rFonts w:ascii="Book Antiqua" w:hAnsi="Book Antiqua"/>
          <w:color w:val="000000" w:themeColor="text1"/>
        </w:rPr>
        <w:t>Referido a</w:t>
      </w:r>
      <w:r w:rsidR="00C51497">
        <w:rPr>
          <w:rFonts w:ascii="Book Antiqua" w:hAnsi="Book Antiqua"/>
          <w:color w:val="000000" w:themeColor="text1"/>
        </w:rPr>
        <w:t xml:space="preserve"> la Comisión de Hacienda</w:t>
      </w:r>
    </w:p>
    <w:p w14:paraId="4B9C3823" w14:textId="77777777" w:rsidR="00950505" w:rsidRPr="007F2135" w:rsidRDefault="00950505" w:rsidP="00950505">
      <w:pPr>
        <w:jc w:val="both"/>
        <w:rPr>
          <w:rFonts w:ascii="Book Antiqua" w:hAnsi="Book Antiqua"/>
          <w:color w:val="000000" w:themeColor="text1"/>
        </w:rPr>
      </w:pPr>
    </w:p>
    <w:p w14:paraId="43228070" w14:textId="77777777" w:rsidR="00950505" w:rsidRPr="007F2135" w:rsidRDefault="00950505" w:rsidP="00950505">
      <w:pPr>
        <w:jc w:val="center"/>
        <w:rPr>
          <w:rFonts w:ascii="Book Antiqua" w:hAnsi="Book Antiqua"/>
          <w:b/>
          <w:color w:val="000000" w:themeColor="text1"/>
          <w:sz w:val="28"/>
        </w:rPr>
      </w:pPr>
      <w:r w:rsidRPr="007F2135">
        <w:rPr>
          <w:rFonts w:ascii="Book Antiqua" w:hAnsi="Book Antiqua"/>
          <w:b/>
          <w:color w:val="000000" w:themeColor="text1"/>
          <w:sz w:val="28"/>
        </w:rPr>
        <w:t>LEY</w:t>
      </w:r>
    </w:p>
    <w:p w14:paraId="79550663" w14:textId="77777777" w:rsidR="00FF2214" w:rsidRPr="007F2135" w:rsidRDefault="00FF2214">
      <w:pPr>
        <w:jc w:val="both"/>
        <w:rPr>
          <w:rFonts w:ascii="Book Antiqua" w:eastAsia="Book Antiqua" w:hAnsi="Book Antiqua" w:cs="Book Antiqua"/>
          <w:color w:val="000000" w:themeColor="text1"/>
        </w:rPr>
      </w:pPr>
    </w:p>
    <w:p w14:paraId="715CF6F3" w14:textId="3C7A686F" w:rsidR="00226D6B" w:rsidRPr="00E15C97" w:rsidRDefault="00850770" w:rsidP="00DB27F1">
      <w:pPr>
        <w:suppressLineNumbers/>
        <w:ind w:left="720" w:hanging="720"/>
        <w:jc w:val="both"/>
        <w:rPr>
          <w:rFonts w:ascii="Book Antiqua" w:hAnsi="Book Antiqua"/>
          <w:color w:val="000000" w:themeColor="text1"/>
        </w:rPr>
      </w:pPr>
      <w:r w:rsidRPr="007F2135">
        <w:rPr>
          <w:rFonts w:ascii="Book Antiqua" w:eastAsia="Book Antiqua" w:hAnsi="Book Antiqua" w:cs="Book Antiqua"/>
          <w:color w:val="000000" w:themeColor="text1"/>
        </w:rPr>
        <w:t>Para</w:t>
      </w:r>
      <w:r w:rsidR="00E45E9B" w:rsidRPr="007F2135">
        <w:rPr>
          <w:rFonts w:ascii="Book Antiqua" w:eastAsia="Book Antiqua" w:hAnsi="Book Antiqua" w:cs="Book Antiqua"/>
          <w:color w:val="000000" w:themeColor="text1"/>
        </w:rPr>
        <w:t xml:space="preserve"> </w:t>
      </w:r>
      <w:r w:rsidR="00226D6B" w:rsidRPr="00E15C97">
        <w:rPr>
          <w:rFonts w:ascii="Book Antiqua" w:hAnsi="Book Antiqua"/>
          <w:color w:val="000000" w:themeColor="text1"/>
        </w:rPr>
        <w:t>enmendar la</w:t>
      </w:r>
      <w:r w:rsidR="00226D6B">
        <w:rPr>
          <w:rFonts w:ascii="Book Antiqua" w:hAnsi="Book Antiqua"/>
          <w:color w:val="000000" w:themeColor="text1"/>
        </w:rPr>
        <w:t xml:space="preserve"> Sección 6060.05 </w:t>
      </w:r>
      <w:r w:rsidR="00226D6B" w:rsidRPr="009860AE">
        <w:rPr>
          <w:rFonts w:ascii="Book Antiqua" w:hAnsi="Book Antiqua"/>
          <w:color w:val="000000" w:themeColor="text1"/>
        </w:rPr>
        <w:t>de la Ley 60-2019, según enmendada, conocida como “Código de Incentivos de Puerto Rico”</w:t>
      </w:r>
      <w:r w:rsidR="00226D6B">
        <w:rPr>
          <w:rFonts w:ascii="Book Antiqua" w:hAnsi="Book Antiqua"/>
          <w:color w:val="000000" w:themeColor="text1"/>
        </w:rPr>
        <w:t xml:space="preserve"> con el fin de aclarar las disposiciones sobre la exención de contribución sobre ingresos de la </w:t>
      </w:r>
      <w:r w:rsidR="00226D6B" w:rsidRPr="00DD61D8">
        <w:rPr>
          <w:rFonts w:ascii="Book Antiqua" w:hAnsi="Book Antiqua"/>
          <w:color w:val="000000" w:themeColor="text1"/>
        </w:rPr>
        <w:t>ganancia realizada en la venta de propiedad inmueble localizada en Puerto Rico que constituya la residencia principal del vendedor</w:t>
      </w:r>
      <w:r w:rsidR="00226D6B" w:rsidRPr="009860AE">
        <w:rPr>
          <w:rFonts w:ascii="Book Antiqua" w:hAnsi="Book Antiqua"/>
          <w:color w:val="000000" w:themeColor="text1"/>
        </w:rPr>
        <w:t>; y para otros fines</w:t>
      </w:r>
      <w:r w:rsidR="00D70D0B">
        <w:rPr>
          <w:rFonts w:ascii="Book Antiqua" w:hAnsi="Book Antiqua"/>
          <w:color w:val="000000" w:themeColor="text1"/>
        </w:rPr>
        <w:t xml:space="preserve"> relacionados</w:t>
      </w:r>
      <w:r w:rsidR="00226D6B" w:rsidRPr="009860AE">
        <w:rPr>
          <w:rFonts w:ascii="Book Antiqua" w:hAnsi="Book Antiqua"/>
          <w:color w:val="000000" w:themeColor="text1"/>
        </w:rPr>
        <w:t>.</w:t>
      </w:r>
      <w:r w:rsidR="00226D6B" w:rsidRPr="00E15C97">
        <w:rPr>
          <w:rFonts w:ascii="Book Antiqua" w:hAnsi="Book Antiqua"/>
          <w:color w:val="000000" w:themeColor="text1"/>
        </w:rPr>
        <w:t xml:space="preserve"> </w:t>
      </w:r>
    </w:p>
    <w:p w14:paraId="726F9974" w14:textId="167AC230" w:rsidR="000B77A8" w:rsidRPr="007F2135" w:rsidRDefault="000B77A8" w:rsidP="00226D6B">
      <w:pPr>
        <w:ind w:left="540" w:hanging="540"/>
        <w:jc w:val="both"/>
        <w:rPr>
          <w:rFonts w:ascii="Book Antiqua" w:eastAsia="Aptos" w:hAnsi="Book Antiqua"/>
          <w:color w:val="000000" w:themeColor="text1"/>
          <w:kern w:val="2"/>
          <w14:ligatures w14:val="standardContextual"/>
        </w:rPr>
      </w:pPr>
    </w:p>
    <w:p w14:paraId="249D67DE" w14:textId="7B01ACF9" w:rsidR="005A5C2E" w:rsidRPr="007F2135" w:rsidRDefault="00850770" w:rsidP="00864305">
      <w:pPr>
        <w:ind w:left="540" w:hanging="540"/>
        <w:jc w:val="center"/>
        <w:rPr>
          <w:rFonts w:ascii="Book Antiqua" w:eastAsia="Book Antiqua" w:hAnsi="Book Antiqua" w:cs="Book Antiqua"/>
          <w:bCs/>
          <w:color w:val="000000" w:themeColor="text1"/>
        </w:rPr>
      </w:pPr>
      <w:r w:rsidRPr="007F2135">
        <w:rPr>
          <w:rFonts w:ascii="Book Antiqua" w:eastAsia="Book Antiqua" w:hAnsi="Book Antiqua" w:cs="Book Antiqua"/>
          <w:bCs/>
          <w:color w:val="000000" w:themeColor="text1"/>
        </w:rPr>
        <w:t>EXPOSICIÓN DE MOTIVOS</w:t>
      </w:r>
    </w:p>
    <w:p w14:paraId="4C77C72C" w14:textId="77777777" w:rsidR="00447F1B" w:rsidRDefault="00447F1B" w:rsidP="00447F1B">
      <w:pPr>
        <w:jc w:val="both"/>
        <w:rPr>
          <w:rFonts w:ascii="Book Antiqua" w:eastAsia="Book Antiqua" w:hAnsi="Book Antiqua" w:cs="Book Antiqua"/>
          <w:color w:val="000000" w:themeColor="text1"/>
        </w:rPr>
      </w:pPr>
    </w:p>
    <w:p w14:paraId="2FED50CD" w14:textId="3588642C" w:rsidR="009807A4" w:rsidRPr="009807A4" w:rsidRDefault="009807A4" w:rsidP="00DB27F1">
      <w:pPr>
        <w:ind w:firstLine="720"/>
        <w:jc w:val="both"/>
        <w:rPr>
          <w:rFonts w:ascii="Book Antiqua" w:eastAsia="Book Antiqua" w:hAnsi="Book Antiqua" w:cs="Book Antiqua"/>
          <w:color w:val="000000" w:themeColor="text1"/>
        </w:rPr>
      </w:pPr>
      <w:r w:rsidRPr="009807A4">
        <w:rPr>
          <w:rFonts w:ascii="Book Antiqua" w:eastAsia="Book Antiqua" w:hAnsi="Book Antiqua" w:cs="Book Antiqua"/>
          <w:color w:val="000000" w:themeColor="text1"/>
        </w:rPr>
        <w:t>Est</w:t>
      </w:r>
      <w:r w:rsidR="00FF7C2C">
        <w:rPr>
          <w:rFonts w:ascii="Book Antiqua" w:eastAsia="Book Antiqua" w:hAnsi="Book Antiqua" w:cs="Book Antiqua"/>
          <w:color w:val="000000" w:themeColor="text1"/>
        </w:rPr>
        <w:t xml:space="preserve">a Administración </w:t>
      </w:r>
      <w:r w:rsidRPr="009807A4">
        <w:rPr>
          <w:rFonts w:ascii="Book Antiqua" w:eastAsia="Book Antiqua" w:hAnsi="Book Antiqua" w:cs="Book Antiqua"/>
          <w:color w:val="000000" w:themeColor="text1"/>
        </w:rPr>
        <w:t>tiene un compromiso de fomentar el desarrollo económico y la protección y generación de empleos, así como facilitar la obtención de una vivienda digna</w:t>
      </w:r>
      <w:r>
        <w:rPr>
          <w:rFonts w:ascii="Book Antiqua" w:eastAsia="Book Antiqua" w:hAnsi="Book Antiqua" w:cs="Book Antiqua"/>
          <w:color w:val="000000" w:themeColor="text1"/>
        </w:rPr>
        <w:t>,</w:t>
      </w:r>
      <w:r w:rsidRPr="009807A4">
        <w:rPr>
          <w:rFonts w:ascii="Book Antiqua" w:eastAsia="Book Antiqua" w:hAnsi="Book Antiqua" w:cs="Book Antiqua"/>
          <w:color w:val="000000" w:themeColor="text1"/>
        </w:rPr>
        <w:t xml:space="preserve"> segura </w:t>
      </w:r>
      <w:r>
        <w:rPr>
          <w:rFonts w:ascii="Book Antiqua" w:eastAsia="Book Antiqua" w:hAnsi="Book Antiqua" w:cs="Book Antiqua"/>
          <w:color w:val="000000" w:themeColor="text1"/>
        </w:rPr>
        <w:t xml:space="preserve">y accesible </w:t>
      </w:r>
      <w:r w:rsidRPr="009807A4">
        <w:rPr>
          <w:rFonts w:ascii="Book Antiqua" w:eastAsia="Book Antiqua" w:hAnsi="Book Antiqua" w:cs="Book Antiqua"/>
          <w:color w:val="000000" w:themeColor="text1"/>
        </w:rPr>
        <w:t xml:space="preserve">para todos los puertorriqueños. </w:t>
      </w:r>
    </w:p>
    <w:p w14:paraId="142A4AE8" w14:textId="77777777" w:rsidR="00447F1B" w:rsidRDefault="00447F1B" w:rsidP="00DB27F1">
      <w:pPr>
        <w:ind w:firstLine="720"/>
        <w:jc w:val="both"/>
        <w:rPr>
          <w:rFonts w:ascii="Book Antiqua" w:eastAsia="Book Antiqua" w:hAnsi="Book Antiqua" w:cs="Book Antiqua"/>
          <w:color w:val="000000" w:themeColor="text1"/>
        </w:rPr>
      </w:pPr>
    </w:p>
    <w:p w14:paraId="3C302AC8" w14:textId="482D7D3C" w:rsidR="009807A4" w:rsidRDefault="009807A4" w:rsidP="00DB27F1">
      <w:pPr>
        <w:ind w:firstLine="720"/>
        <w:jc w:val="both"/>
        <w:rPr>
          <w:rFonts w:ascii="Book Antiqua" w:eastAsia="Book Antiqua" w:hAnsi="Book Antiqua" w:cs="Book Antiqua"/>
          <w:color w:val="000000" w:themeColor="text1"/>
        </w:rPr>
      </w:pPr>
      <w:r w:rsidRPr="009807A4">
        <w:rPr>
          <w:rFonts w:ascii="Book Antiqua" w:eastAsia="Book Antiqua" w:hAnsi="Book Antiqua" w:cs="Book Antiqua"/>
          <w:color w:val="000000" w:themeColor="text1"/>
        </w:rPr>
        <w:lastRenderedPageBreak/>
        <w:t>En particular, mediante la presente Ley se persigue que, para años contributivos comenzados luego del 31 de diciembre de 2024, la ganancia realizada en la venta de propiedad inmueble localizada en Puerto Rico que constituya la residencia principal del vendedor estará exenta del pago de contribución sobre ingresos en Puerto Rico y de contribución básica alterna. Para poder disfrutar de esta exención el vendedor no deberá ser un beneficiario de los incentivos provistos bajo la Sección 2022.02 de este Código de Incentivos; y que la propiedad objeto de la compraventa haya ocupada de forma continua por el vendedor o su familia por un término mínimo de dos (2) años de los últimos cinco (5) años anteriores a la fecha de la venta.</w:t>
      </w:r>
    </w:p>
    <w:p w14:paraId="7B44F348" w14:textId="77777777" w:rsidR="00447F1B" w:rsidRDefault="00447F1B" w:rsidP="00DB27F1">
      <w:pPr>
        <w:ind w:firstLine="720"/>
        <w:jc w:val="both"/>
        <w:rPr>
          <w:rFonts w:ascii="Book Antiqua" w:eastAsia="Book Antiqua" w:hAnsi="Book Antiqua" w:cs="Book Antiqua"/>
          <w:color w:val="000000" w:themeColor="text1"/>
        </w:rPr>
      </w:pPr>
    </w:p>
    <w:p w14:paraId="44B746B8" w14:textId="7F28BFD6" w:rsidR="009807A4" w:rsidRPr="009807A4" w:rsidRDefault="009807A4" w:rsidP="00DB27F1">
      <w:pPr>
        <w:ind w:firstLine="720"/>
        <w:jc w:val="both"/>
        <w:rPr>
          <w:rFonts w:ascii="Book Antiqua" w:eastAsia="Book Antiqua" w:hAnsi="Book Antiqua" w:cs="Book Antiqua"/>
          <w:color w:val="000000" w:themeColor="text1"/>
        </w:rPr>
      </w:pPr>
      <w:r w:rsidRPr="009807A4">
        <w:rPr>
          <w:rFonts w:ascii="Book Antiqua" w:eastAsia="Book Antiqua" w:hAnsi="Book Antiqua" w:cs="Book Antiqua"/>
          <w:color w:val="000000" w:themeColor="text1"/>
        </w:rPr>
        <w:t>En Puerto Rico la</w:t>
      </w:r>
      <w:r w:rsidRPr="00790693">
        <w:rPr>
          <w:rFonts w:ascii="Book Antiqua" w:eastAsia="Book Antiqua" w:hAnsi="Book Antiqua" w:cs="Book Antiqua"/>
          <w:color w:val="000000" w:themeColor="text1"/>
        </w:rPr>
        <w:t xml:space="preserve"> tasa de contribución sobre ingresos por la venta de una propiedad es de </w:t>
      </w:r>
      <w:r w:rsidR="00066DD3">
        <w:rPr>
          <w:rFonts w:ascii="Book Antiqua" w:eastAsia="Book Antiqua" w:hAnsi="Book Antiqua" w:cs="Book Antiqua"/>
          <w:color w:val="000000" w:themeColor="text1"/>
        </w:rPr>
        <w:t>diez por ciento (</w:t>
      </w:r>
      <w:r w:rsidRPr="00790693">
        <w:rPr>
          <w:rFonts w:ascii="Book Antiqua" w:eastAsia="Book Antiqua" w:hAnsi="Book Antiqua" w:cs="Book Antiqua"/>
          <w:color w:val="000000" w:themeColor="text1"/>
        </w:rPr>
        <w:t>10%</w:t>
      </w:r>
      <w:r w:rsidR="00064C62">
        <w:rPr>
          <w:rFonts w:ascii="Book Antiqua" w:eastAsia="Book Antiqua" w:hAnsi="Book Antiqua" w:cs="Book Antiqua"/>
          <w:color w:val="000000" w:themeColor="text1"/>
        </w:rPr>
        <w:t>)</w:t>
      </w:r>
      <w:r w:rsidRPr="00790693">
        <w:rPr>
          <w:rFonts w:ascii="Book Antiqua" w:eastAsia="Book Antiqua" w:hAnsi="Book Antiqua" w:cs="Book Antiqua"/>
          <w:color w:val="000000" w:themeColor="text1"/>
        </w:rPr>
        <w:t xml:space="preserve"> para ganancias de capital. Los no residentes que venden propiedades en Puerto Rico están sujetos a una retención del </w:t>
      </w:r>
      <w:r w:rsidR="00302E03">
        <w:rPr>
          <w:rFonts w:ascii="Book Antiqua" w:eastAsia="Book Antiqua" w:hAnsi="Book Antiqua" w:cs="Book Antiqua"/>
          <w:color w:val="000000" w:themeColor="text1"/>
        </w:rPr>
        <w:t>1</w:t>
      </w:r>
      <w:r w:rsidRPr="00790693">
        <w:rPr>
          <w:rFonts w:ascii="Book Antiqua" w:eastAsia="Book Antiqua" w:hAnsi="Book Antiqua" w:cs="Book Antiqua"/>
          <w:color w:val="000000" w:themeColor="text1"/>
        </w:rPr>
        <w:t>5% sobre el precio bruto de venta. </w:t>
      </w:r>
      <w:r>
        <w:rPr>
          <w:rFonts w:ascii="Book Antiqua" w:eastAsia="Book Antiqua" w:hAnsi="Book Antiqua" w:cs="Book Antiqua"/>
          <w:color w:val="000000" w:themeColor="text1"/>
        </w:rPr>
        <w:t xml:space="preserve">Con esta Ley </w:t>
      </w:r>
      <w:r w:rsidR="001437B2">
        <w:rPr>
          <w:rFonts w:ascii="Book Antiqua" w:eastAsia="Book Antiqua" w:hAnsi="Book Antiqua" w:cs="Book Antiqua"/>
          <w:color w:val="000000" w:themeColor="text1"/>
        </w:rPr>
        <w:t>estaremos</w:t>
      </w:r>
      <w:r>
        <w:rPr>
          <w:rFonts w:ascii="Book Antiqua" w:eastAsia="Book Antiqua" w:hAnsi="Book Antiqua" w:cs="Book Antiqua"/>
          <w:color w:val="000000" w:themeColor="text1"/>
        </w:rPr>
        <w:t xml:space="preserve"> garantizando </w:t>
      </w:r>
      <w:r w:rsidR="001437B2">
        <w:rPr>
          <w:rFonts w:ascii="Book Antiqua" w:eastAsia="Book Antiqua" w:hAnsi="Book Antiqua" w:cs="Book Antiqua"/>
          <w:color w:val="000000" w:themeColor="text1"/>
        </w:rPr>
        <w:t>una disminución</w:t>
      </w:r>
      <w:r>
        <w:rPr>
          <w:rFonts w:ascii="Book Antiqua" w:eastAsia="Book Antiqua" w:hAnsi="Book Antiqua" w:cs="Book Antiqua"/>
          <w:color w:val="000000" w:themeColor="text1"/>
        </w:rPr>
        <w:t xml:space="preserve"> en el precio de </w:t>
      </w:r>
      <w:r w:rsidR="001437B2">
        <w:rPr>
          <w:rFonts w:ascii="Book Antiqua" w:eastAsia="Book Antiqua" w:hAnsi="Book Antiqua" w:cs="Book Antiqua"/>
          <w:color w:val="000000" w:themeColor="text1"/>
        </w:rPr>
        <w:t xml:space="preserve">venta en residencias principales fomentando así la compra de hogares a las familias puertorriqueñas. </w:t>
      </w:r>
    </w:p>
    <w:p w14:paraId="017E1998" w14:textId="77777777" w:rsidR="009807A4" w:rsidRPr="00790693" w:rsidRDefault="009807A4" w:rsidP="009807A4">
      <w:pPr>
        <w:jc w:val="both"/>
        <w:rPr>
          <w:rFonts w:ascii="Book Antiqua" w:eastAsia="Book Antiqua" w:hAnsi="Book Antiqua" w:cs="Book Antiqua"/>
          <w:color w:val="000000" w:themeColor="text1"/>
        </w:rPr>
      </w:pPr>
    </w:p>
    <w:p w14:paraId="7955066D" w14:textId="77777777" w:rsidR="00FF2214" w:rsidRPr="007F2135" w:rsidRDefault="00850770">
      <w:pPr>
        <w:spacing w:line="480" w:lineRule="auto"/>
        <w:jc w:val="both"/>
        <w:rPr>
          <w:rFonts w:ascii="Book Antiqua" w:eastAsia="Book Antiqua" w:hAnsi="Book Antiqua" w:cs="Book Antiqua"/>
          <w:i/>
          <w:color w:val="000000" w:themeColor="text1"/>
        </w:rPr>
        <w:sectPr w:rsidR="00FF2214" w:rsidRPr="007F2135">
          <w:headerReference w:type="default" r:id="rId8"/>
          <w:footerReference w:type="default" r:id="rId9"/>
          <w:headerReference w:type="first" r:id="rId10"/>
          <w:footerReference w:type="first" r:id="rId11"/>
          <w:pgSz w:w="12240" w:h="15840"/>
          <w:pgMar w:top="1440" w:right="1440" w:bottom="1440" w:left="1440" w:header="720" w:footer="720" w:gutter="0"/>
          <w:pgNumType w:start="1"/>
          <w:cols w:space="720"/>
          <w:titlePg/>
        </w:sectPr>
      </w:pPr>
      <w:r w:rsidRPr="007F2135">
        <w:rPr>
          <w:rFonts w:ascii="Book Antiqua" w:eastAsia="Book Antiqua" w:hAnsi="Book Antiqua" w:cs="Book Antiqua"/>
          <w:i/>
          <w:color w:val="000000" w:themeColor="text1"/>
        </w:rPr>
        <w:t>DECRÉTASE POR LA ASAMBLEA LEGISLATIVA DE PUERTO RICO:</w:t>
      </w:r>
    </w:p>
    <w:p w14:paraId="7C26614C" w14:textId="4E445C04" w:rsidR="00226D6B" w:rsidRDefault="00226D6B" w:rsidP="00FF7C2C">
      <w:pPr>
        <w:pStyle w:val="Heading1"/>
      </w:pPr>
      <w:r w:rsidRPr="007E73D3">
        <w:t>Artículo</w:t>
      </w:r>
      <w:r w:rsidRPr="002C603D">
        <w:t xml:space="preserve"> </w:t>
      </w:r>
      <w:r>
        <w:t>1</w:t>
      </w:r>
      <w:r w:rsidRPr="002C603D">
        <w:t xml:space="preserve">.- Se enmienda </w:t>
      </w:r>
      <w:r>
        <w:t xml:space="preserve">el aparto (c) de </w:t>
      </w:r>
      <w:r w:rsidRPr="002C603D">
        <w:t xml:space="preserve">la Sección </w:t>
      </w:r>
      <w:r>
        <w:t>6060.05</w:t>
      </w:r>
      <w:r w:rsidRPr="002C603D">
        <w:t xml:space="preserve"> de la Ley 60-2019, según enmendada</w:t>
      </w:r>
      <w:r w:rsidR="00BD1EF6">
        <w:t xml:space="preserve"> </w:t>
      </w:r>
      <w:r w:rsidRPr="002C603D">
        <w:t xml:space="preserve">para que </w:t>
      </w:r>
      <w:r w:rsidR="00EC1C10">
        <w:t xml:space="preserve">se </w:t>
      </w:r>
      <w:r w:rsidRPr="002C603D">
        <w:t>lea como sigue:</w:t>
      </w:r>
    </w:p>
    <w:p w14:paraId="676F9E0A" w14:textId="77777777" w:rsidR="00226D6B" w:rsidRPr="004D072F" w:rsidRDefault="00226D6B" w:rsidP="00FF7C2C">
      <w:pPr>
        <w:pStyle w:val="Heading1"/>
        <w:rPr>
          <w:color w:val="000000" w:themeColor="text1"/>
        </w:rPr>
      </w:pPr>
      <w:r w:rsidRPr="004D072F">
        <w:rPr>
          <w:color w:val="000000" w:themeColor="text1"/>
        </w:rPr>
        <w:t>“Sección 6060.05. — Ley de Transición del Programa Impulso a la Vivienda.</w:t>
      </w:r>
    </w:p>
    <w:p w14:paraId="400EC22B" w14:textId="77777777" w:rsidR="00226D6B" w:rsidRPr="004D072F" w:rsidRDefault="00226D6B" w:rsidP="00FF7C2C">
      <w:pPr>
        <w:pStyle w:val="Heading1"/>
        <w:ind w:left="720" w:hanging="360"/>
        <w:rPr>
          <w:color w:val="000000" w:themeColor="text1"/>
        </w:rPr>
      </w:pPr>
      <w:r w:rsidRPr="004D072F">
        <w:rPr>
          <w:color w:val="000000" w:themeColor="text1"/>
        </w:rPr>
        <w:t>(a)</w:t>
      </w:r>
      <w:r w:rsidRPr="004D072F">
        <w:rPr>
          <w:color w:val="000000" w:themeColor="text1"/>
        </w:rPr>
        <w:tab/>
        <w:t>…</w:t>
      </w:r>
    </w:p>
    <w:p w14:paraId="113BD1FA" w14:textId="77777777" w:rsidR="00226D6B" w:rsidRPr="004D072F" w:rsidRDefault="00226D6B" w:rsidP="00FF7C2C">
      <w:pPr>
        <w:pStyle w:val="Heading1"/>
        <w:ind w:left="720" w:hanging="360"/>
        <w:rPr>
          <w:color w:val="000000" w:themeColor="text1"/>
        </w:rPr>
      </w:pPr>
      <w:r>
        <w:rPr>
          <w:color w:val="000000" w:themeColor="text1"/>
        </w:rPr>
        <w:t>…</w:t>
      </w:r>
    </w:p>
    <w:p w14:paraId="3EF31BF1" w14:textId="61C58A50" w:rsidR="00226D6B" w:rsidRPr="00DB27F1" w:rsidRDefault="00226D6B" w:rsidP="00FF7C2C">
      <w:pPr>
        <w:pStyle w:val="Heading1"/>
        <w:ind w:left="720" w:hanging="360"/>
        <w:rPr>
          <w:color w:val="000000" w:themeColor="text1"/>
        </w:rPr>
      </w:pPr>
      <w:r w:rsidRPr="004D072F">
        <w:rPr>
          <w:color w:val="000000" w:themeColor="text1"/>
        </w:rPr>
        <w:t>(c)</w:t>
      </w:r>
      <w:r w:rsidRPr="004D072F">
        <w:rPr>
          <w:color w:val="000000" w:themeColor="text1"/>
        </w:rPr>
        <w:tab/>
        <w:t>Los beneficios dispuestos bajo el Programa de Impulso de la Vivienda, creado originalmente</w:t>
      </w:r>
      <w:r>
        <w:rPr>
          <w:color w:val="000000" w:themeColor="text1"/>
        </w:rPr>
        <w:t xml:space="preserve"> </w:t>
      </w:r>
      <w:r w:rsidRPr="004D072F">
        <w:rPr>
          <w:color w:val="000000" w:themeColor="text1"/>
        </w:rPr>
        <w:t>mediante la Ley 216-2011, según enmendada, conocida como “Ley de Transición del</w:t>
      </w:r>
      <w:r>
        <w:rPr>
          <w:color w:val="000000" w:themeColor="text1"/>
        </w:rPr>
        <w:t xml:space="preserve"> </w:t>
      </w:r>
      <w:r w:rsidRPr="004D072F">
        <w:rPr>
          <w:color w:val="000000" w:themeColor="text1"/>
        </w:rPr>
        <w:t>Programa Impulso a la Vivienda”, no serán aplicables ni reconocidos cuando el reclamante,</w:t>
      </w:r>
      <w:r>
        <w:rPr>
          <w:color w:val="000000" w:themeColor="text1"/>
        </w:rPr>
        <w:t xml:space="preserve"> </w:t>
      </w:r>
      <w:r w:rsidRPr="004D072F">
        <w:rPr>
          <w:color w:val="000000" w:themeColor="text1"/>
        </w:rPr>
        <w:t>adquiriente, dueño, comprador o solicitante del beneficio sea, a su vez, beneficiario de los</w:t>
      </w:r>
      <w:r>
        <w:rPr>
          <w:color w:val="000000" w:themeColor="text1"/>
        </w:rPr>
        <w:t xml:space="preserve"> </w:t>
      </w:r>
      <w:r w:rsidRPr="004D072F">
        <w:rPr>
          <w:color w:val="000000" w:themeColor="text1"/>
        </w:rPr>
        <w:t>incentivos provistos bajo la Sección 2022.1 de este Código. Propiedades adquiridas por un</w:t>
      </w:r>
      <w:r>
        <w:rPr>
          <w:color w:val="000000" w:themeColor="text1"/>
        </w:rPr>
        <w:t xml:space="preserve"> </w:t>
      </w:r>
      <w:r w:rsidRPr="004D072F">
        <w:rPr>
          <w:color w:val="000000" w:themeColor="text1"/>
        </w:rPr>
        <w:t>precio de compraventa que exceda el 150% de límite de la Federal Housing Administration</w:t>
      </w:r>
      <w:r>
        <w:rPr>
          <w:color w:val="000000" w:themeColor="text1"/>
        </w:rPr>
        <w:t xml:space="preserve"> </w:t>
      </w:r>
      <w:r w:rsidRPr="004D072F">
        <w:rPr>
          <w:color w:val="000000" w:themeColor="text1"/>
        </w:rPr>
        <w:t xml:space="preserve">(FHA), aplicable </w:t>
      </w:r>
      <w:r w:rsidRPr="004D072F">
        <w:rPr>
          <w:color w:val="000000" w:themeColor="text1"/>
        </w:rPr>
        <w:lastRenderedPageBreak/>
        <w:t>al municipio donde ubique dicha unidad.</w:t>
      </w:r>
      <w:r>
        <w:rPr>
          <w:color w:val="000000" w:themeColor="text1"/>
        </w:rPr>
        <w:t xml:space="preserve"> </w:t>
      </w:r>
      <w:r w:rsidR="004A7CA2" w:rsidRPr="00DB27F1">
        <w:rPr>
          <w:color w:val="000000" w:themeColor="text1"/>
        </w:rPr>
        <w:t>P</w:t>
      </w:r>
      <w:r w:rsidRPr="00DB27F1">
        <w:rPr>
          <w:color w:val="000000" w:themeColor="text1"/>
        </w:rPr>
        <w:t>ara años contributivos comenzados luego del 31 de diciembre de 2024, la ganancia realizada en la venta de propiedad inmueble localizada en Puerto Rico que constituya la residencia principal del vendedor estará exenta del pago de contribución sobre ingresos en Puerto Rico y de contribución básica alterna, siempre que cuando se cumplan los siguientes requisitos:</w:t>
      </w:r>
    </w:p>
    <w:p w14:paraId="0F83C844" w14:textId="11C4626B" w:rsidR="00226D6B" w:rsidRPr="00DB27F1" w:rsidRDefault="00226D6B" w:rsidP="00DD27A7">
      <w:pPr>
        <w:spacing w:line="480" w:lineRule="auto"/>
        <w:ind w:left="1620" w:hanging="540"/>
        <w:jc w:val="both"/>
        <w:rPr>
          <w:rFonts w:ascii="Book Antiqua" w:hAnsi="Book Antiqua"/>
        </w:rPr>
      </w:pPr>
      <w:r w:rsidRPr="00DB27F1">
        <w:rPr>
          <w:rFonts w:ascii="Book Antiqua" w:hAnsi="Book Antiqua"/>
        </w:rPr>
        <w:t>(1)</w:t>
      </w:r>
      <w:r w:rsidRPr="00DB27F1">
        <w:rPr>
          <w:rFonts w:ascii="Book Antiqua" w:hAnsi="Book Antiqua"/>
        </w:rPr>
        <w:tab/>
        <w:t>el vendedor no es un beneficiario de los incentivos provistos bajo la Sección 2022.02 de este Código</w:t>
      </w:r>
      <w:r w:rsidR="00DD27A7" w:rsidRPr="00DB27F1">
        <w:rPr>
          <w:rFonts w:ascii="Book Antiqua" w:hAnsi="Book Antiqua"/>
        </w:rPr>
        <w:t xml:space="preserve"> o bajo la Ley </w:t>
      </w:r>
      <w:r w:rsidR="00DD2C6A" w:rsidRPr="00DB27F1">
        <w:rPr>
          <w:rFonts w:ascii="Book Antiqua" w:hAnsi="Book Antiqua"/>
        </w:rPr>
        <w:t>22-2012</w:t>
      </w:r>
      <w:r w:rsidR="00DD27A7" w:rsidRPr="00DB27F1">
        <w:rPr>
          <w:rFonts w:ascii="Book Antiqua" w:hAnsi="Book Antiqua"/>
        </w:rPr>
        <w:t>, según enmendada conocida</w:t>
      </w:r>
      <w:r w:rsidR="00DD27A7" w:rsidRPr="00DB27F1">
        <w:rPr>
          <w:rFonts w:ascii="Book Antiqua" w:hAnsi="Book Antiqua"/>
          <w:b/>
          <w:bCs/>
        </w:rPr>
        <w:t xml:space="preserve"> </w:t>
      </w:r>
      <w:r w:rsidR="00DD27A7" w:rsidRPr="00DB27F1">
        <w:rPr>
          <w:rFonts w:ascii="Book Antiqua" w:hAnsi="Book Antiqua"/>
        </w:rPr>
        <w:t>como la “Ley Para Incentivar el Traslado de Individuos Inversionistas a Puerto Rico</w:t>
      </w:r>
      <w:r w:rsidR="00FD59D9" w:rsidRPr="00DB27F1">
        <w:rPr>
          <w:rFonts w:ascii="Book Antiqua" w:hAnsi="Book Antiqua"/>
        </w:rPr>
        <w:t>”</w:t>
      </w:r>
      <w:r w:rsidRPr="00DB27F1">
        <w:rPr>
          <w:rFonts w:ascii="Book Antiqua" w:hAnsi="Book Antiqua"/>
        </w:rPr>
        <w:t>; y</w:t>
      </w:r>
    </w:p>
    <w:p w14:paraId="4DA698C4" w14:textId="7BFA2020" w:rsidR="00226D6B" w:rsidRPr="00DB27F1" w:rsidRDefault="00226D6B" w:rsidP="00DD27A7">
      <w:pPr>
        <w:spacing w:line="480" w:lineRule="auto"/>
        <w:ind w:left="1620" w:hanging="540"/>
        <w:jc w:val="both"/>
        <w:rPr>
          <w:rFonts w:ascii="Book Antiqua" w:hAnsi="Book Antiqua"/>
        </w:rPr>
      </w:pPr>
      <w:r w:rsidRPr="00DB27F1">
        <w:rPr>
          <w:rFonts w:ascii="Book Antiqua" w:hAnsi="Book Antiqua"/>
        </w:rPr>
        <w:t>(2)</w:t>
      </w:r>
      <w:r w:rsidRPr="00DB27F1">
        <w:rPr>
          <w:rFonts w:ascii="Book Antiqua" w:hAnsi="Book Antiqua"/>
        </w:rPr>
        <w:tab/>
        <w:t xml:space="preserve">la propiedad objeto de la compraventa es la residencia principal del vendedor.  </w:t>
      </w:r>
      <w:r w:rsidR="00DB27F1">
        <w:rPr>
          <w:rFonts w:ascii="Book Antiqua" w:hAnsi="Book Antiqua"/>
        </w:rPr>
        <w:t xml:space="preserve">   </w:t>
      </w:r>
    </w:p>
    <w:p w14:paraId="0B3F7CA9" w14:textId="77777777" w:rsidR="00226D6B" w:rsidRPr="00DB27F1" w:rsidRDefault="00226D6B" w:rsidP="00DD27A7">
      <w:pPr>
        <w:spacing w:line="480" w:lineRule="auto"/>
        <w:ind w:left="1620" w:hanging="540"/>
        <w:jc w:val="both"/>
        <w:rPr>
          <w:rFonts w:ascii="Book Antiqua" w:hAnsi="Book Antiqua"/>
        </w:rPr>
      </w:pPr>
      <w:r w:rsidRPr="00DB27F1">
        <w:rPr>
          <w:rFonts w:ascii="Book Antiqua" w:hAnsi="Book Antiqua"/>
        </w:rPr>
        <w:t>(3)</w:t>
      </w:r>
      <w:r w:rsidRPr="00DB27F1">
        <w:rPr>
          <w:rFonts w:ascii="Book Antiqua" w:hAnsi="Book Antiqua"/>
        </w:rPr>
        <w:tab/>
        <w:t xml:space="preserve">Para propósitos de este apartado (c): </w:t>
      </w:r>
    </w:p>
    <w:p w14:paraId="1D9E10A0" w14:textId="77777777" w:rsidR="00226D6B" w:rsidRPr="00DB27F1" w:rsidRDefault="00226D6B" w:rsidP="00FF7C2C">
      <w:pPr>
        <w:spacing w:line="480" w:lineRule="auto"/>
        <w:ind w:left="2160" w:hanging="540"/>
        <w:jc w:val="both"/>
        <w:rPr>
          <w:rFonts w:ascii="Book Antiqua" w:hAnsi="Book Antiqua"/>
        </w:rPr>
      </w:pPr>
      <w:r w:rsidRPr="00DB27F1">
        <w:rPr>
          <w:rFonts w:ascii="Book Antiqua" w:hAnsi="Book Antiqua"/>
        </w:rPr>
        <w:t>(A)</w:t>
      </w:r>
      <w:r w:rsidRPr="00DB27F1">
        <w:rPr>
          <w:rFonts w:ascii="Book Antiqua" w:hAnsi="Book Antiqua"/>
        </w:rPr>
        <w:tab/>
        <w:t xml:space="preserve">El término “residencia principal” significa </w:t>
      </w:r>
      <w:bookmarkStart w:id="1" w:name="_Hlk194414429"/>
      <w:r w:rsidRPr="00DB27F1">
        <w:rPr>
          <w:rFonts w:ascii="Book Antiqua" w:hAnsi="Book Antiqua"/>
        </w:rPr>
        <w:t>una unidad de vivienda:</w:t>
      </w:r>
    </w:p>
    <w:p w14:paraId="53F08A90" w14:textId="77777777" w:rsidR="00226D6B" w:rsidRPr="00DB27F1" w:rsidRDefault="00226D6B" w:rsidP="00FF7C2C">
      <w:pPr>
        <w:spacing w:line="480" w:lineRule="auto"/>
        <w:ind w:left="2700" w:hanging="540"/>
        <w:jc w:val="both"/>
        <w:rPr>
          <w:rFonts w:ascii="Book Antiqua" w:hAnsi="Book Antiqua"/>
        </w:rPr>
      </w:pPr>
      <w:r w:rsidRPr="00DB27F1">
        <w:rPr>
          <w:rFonts w:ascii="Book Antiqua" w:hAnsi="Book Antiqua"/>
        </w:rPr>
        <w:t>(i)</w:t>
      </w:r>
      <w:r w:rsidRPr="00DB27F1">
        <w:rPr>
          <w:rFonts w:ascii="Book Antiqua" w:hAnsi="Book Antiqua"/>
        </w:rPr>
        <w:tab/>
        <w:t xml:space="preserve"> que ha sido ocupada de forma continua por el vendedor o su familia por un término mínimo de dos (2) años de los últimos cinco (5) años </w:t>
      </w:r>
      <w:bookmarkEnd w:id="1"/>
      <w:r w:rsidRPr="00DB27F1">
        <w:rPr>
          <w:rFonts w:ascii="Book Antiqua" w:hAnsi="Book Antiqua"/>
        </w:rPr>
        <w:t xml:space="preserve">anteriores a la fecha de la venta y que la misma no ha sido arrendada a corto o a largo plazo en ningún momento durante dichos cinco (5) años;  </w:t>
      </w:r>
    </w:p>
    <w:p w14:paraId="4E00983E" w14:textId="77777777" w:rsidR="00226D6B" w:rsidRPr="00DB27F1" w:rsidRDefault="00226D6B" w:rsidP="00FF7C2C">
      <w:pPr>
        <w:spacing w:line="480" w:lineRule="auto"/>
        <w:ind w:left="2700" w:hanging="540"/>
        <w:jc w:val="both"/>
        <w:rPr>
          <w:rFonts w:ascii="Book Antiqua" w:hAnsi="Book Antiqua"/>
        </w:rPr>
      </w:pPr>
      <w:r w:rsidRPr="00DB27F1">
        <w:rPr>
          <w:rFonts w:ascii="Book Antiqua" w:hAnsi="Book Antiqua"/>
        </w:rPr>
        <w:t>(ii)</w:t>
      </w:r>
      <w:r w:rsidRPr="00DB27F1">
        <w:rPr>
          <w:rFonts w:ascii="Book Antiqua" w:hAnsi="Book Antiqua"/>
        </w:rPr>
        <w:tab/>
        <w:t xml:space="preserve">En el caso de propiedad adquirida por herencia, que fue ocupada de forma continua por el causante durante los últimos </w:t>
      </w:r>
      <w:r w:rsidRPr="00DB27F1">
        <w:rPr>
          <w:rFonts w:ascii="Book Antiqua" w:hAnsi="Book Antiqua"/>
        </w:rPr>
        <w:lastRenderedPageBreak/>
        <w:t>dos (2) años anteriores a la fecha del fallecimiento, y que no ha sido arrendada a corto o a largo plazo en ningún momento luego de la fecha de fallecimiento.</w:t>
      </w:r>
    </w:p>
    <w:p w14:paraId="07DD6BE0" w14:textId="71965367" w:rsidR="00226D6B" w:rsidRPr="00DB27F1" w:rsidRDefault="00226D6B" w:rsidP="00FF7C2C">
      <w:pPr>
        <w:spacing w:line="480" w:lineRule="auto"/>
        <w:ind w:left="2160" w:hanging="540"/>
        <w:jc w:val="both"/>
        <w:rPr>
          <w:rFonts w:ascii="Book Antiqua" w:hAnsi="Book Antiqua"/>
        </w:rPr>
      </w:pPr>
      <w:r w:rsidRPr="00DB27F1">
        <w:rPr>
          <w:rFonts w:ascii="Book Antiqua" w:hAnsi="Book Antiqua"/>
        </w:rPr>
        <w:t xml:space="preserve"> (B)</w:t>
      </w:r>
      <w:r w:rsidRPr="00DB27F1">
        <w:rPr>
          <w:rFonts w:ascii="Book Antiqua" w:hAnsi="Book Antiqua"/>
        </w:rPr>
        <w:tab/>
        <w:t>El término “familia” se refiere al núcleo íntimo de relación familiar inmediata del vendedor, el cual contempla al cónyuge y parientes dentro del cuarto grado de consanguinidad o el segundo grado de afinidad.</w:t>
      </w:r>
      <w:r w:rsidR="004A7CA2" w:rsidRPr="00DB27F1">
        <w:rPr>
          <w:rFonts w:ascii="Book Antiqua" w:hAnsi="Book Antiqua"/>
        </w:rPr>
        <w:t>”</w:t>
      </w:r>
    </w:p>
    <w:p w14:paraId="548032B0" w14:textId="77777777" w:rsidR="00226D6B" w:rsidRPr="00DB27F1" w:rsidRDefault="00226D6B" w:rsidP="00226D6B">
      <w:pPr>
        <w:pStyle w:val="Heading1"/>
      </w:pPr>
      <w:r w:rsidRPr="00DB27F1">
        <w:t>Artículo 2.- Cláusula de Separabilidad.</w:t>
      </w:r>
    </w:p>
    <w:p w14:paraId="55255A42" w14:textId="77777777" w:rsidR="00226D6B" w:rsidRPr="00DB27F1" w:rsidRDefault="00226D6B" w:rsidP="00226D6B">
      <w:pPr>
        <w:pStyle w:val="Heading1"/>
        <w:rPr>
          <w:color w:val="000000" w:themeColor="text1"/>
        </w:rPr>
      </w:pPr>
      <w:r w:rsidRPr="00DB27F1">
        <w:rPr>
          <w:color w:val="000000" w:themeColor="text1"/>
        </w:rPr>
        <w:t>Si cualquier artículo, disposición, párrafo, inciso o parte de esta Ley fuere declarada nula o inconstitucional por cualquier Tribunal con competencia, se entenderá que el resto de sus disposiciones mantendrá su validez y vigencia.</w:t>
      </w:r>
    </w:p>
    <w:p w14:paraId="15048B64" w14:textId="77777777" w:rsidR="00226D6B" w:rsidRPr="00DB27F1" w:rsidRDefault="00226D6B" w:rsidP="00226D6B">
      <w:pPr>
        <w:pStyle w:val="Heading1"/>
        <w:rPr>
          <w:color w:val="000000" w:themeColor="text1"/>
        </w:rPr>
      </w:pPr>
      <w:r w:rsidRPr="00DB27F1">
        <w:rPr>
          <w:color w:val="000000" w:themeColor="text1"/>
        </w:rPr>
        <w:t>Artículo 3.- Vigencia.</w:t>
      </w:r>
    </w:p>
    <w:p w14:paraId="3932C625" w14:textId="58465FBB" w:rsidR="0074471F" w:rsidRPr="00DB27F1" w:rsidRDefault="00226D6B" w:rsidP="00557579">
      <w:pPr>
        <w:pStyle w:val="Heading1"/>
        <w:rPr>
          <w:color w:val="000000" w:themeColor="text1"/>
        </w:rPr>
      </w:pPr>
      <w:r w:rsidRPr="00DB27F1">
        <w:rPr>
          <w:color w:val="000000" w:themeColor="text1"/>
        </w:rPr>
        <w:t>Esta Ley entrará en vigor inmediatamente después de su aprobación</w:t>
      </w:r>
      <w:r w:rsidR="0074471F" w:rsidRPr="00DB27F1">
        <w:rPr>
          <w:color w:val="000000" w:themeColor="text1"/>
        </w:rPr>
        <w:t xml:space="preserve">. </w:t>
      </w:r>
    </w:p>
    <w:sectPr w:rsidR="0074471F" w:rsidRPr="00DB27F1" w:rsidSect="00BE6A63">
      <w:footerReference w:type="default" r:id="rId12"/>
      <w:footerReference w:type="first" r:id="rId13"/>
      <w:type w:val="continuous"/>
      <w:pgSz w:w="12240" w:h="15840"/>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5A63D5" w14:textId="77777777" w:rsidR="00803B74" w:rsidRPr="007F2135" w:rsidRDefault="00803B74">
      <w:r w:rsidRPr="007F2135">
        <w:separator/>
      </w:r>
    </w:p>
  </w:endnote>
  <w:endnote w:type="continuationSeparator" w:id="0">
    <w:p w14:paraId="6362B6F3" w14:textId="77777777" w:rsidR="00803B74" w:rsidRPr="007F2135" w:rsidRDefault="00803B74">
      <w:r w:rsidRPr="007F2135">
        <w:continuationSeparator/>
      </w:r>
    </w:p>
  </w:endnote>
  <w:endnote w:type="continuationNotice" w:id="1">
    <w:p w14:paraId="002FDC17" w14:textId="77777777" w:rsidR="00803B74" w:rsidRPr="007F2135" w:rsidRDefault="00803B7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embedRegular r:id="rId1" w:fontKey="{556DA9CC-D68B-4F7B-B72D-8DD6337B5B83}"/>
    <w:embedBold r:id="rId2" w:fontKey="{D1F1B06F-092A-4E52-9914-AC7A32F7C1F4}"/>
    <w:embedItalic r:id="rId3" w:fontKey="{48340019-4C99-4D01-A69D-52481014FC7A}"/>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embedRegular r:id="rId4" w:fontKey="{F911C97F-0DD8-4CDF-8B17-072BC631211A}"/>
  </w:font>
  <w:font w:name="Georgia">
    <w:panose1 w:val="02040502050405020303"/>
    <w:charset w:val="00"/>
    <w:family w:val="roman"/>
    <w:pitch w:val="variable"/>
    <w:sig w:usb0="00000287" w:usb1="00000000" w:usb2="00000000" w:usb3="00000000" w:csb0="0000009F" w:csb1="00000000"/>
    <w:embedRegular r:id="rId5" w:fontKey="{F411AB9C-AEFA-4E4B-BBE8-B2E22AE31036}"/>
    <w:embedItalic r:id="rId6" w:fontKey="{A67B704E-7FA2-4E03-864C-80D0C7C711FC}"/>
  </w:font>
  <w:font w:name="DengXian">
    <w:altName w:val="等线"/>
    <w:panose1 w:val="02010600030101010101"/>
    <w:charset w:val="86"/>
    <w:family w:val="auto"/>
    <w:pitch w:val="variable"/>
    <w:sig w:usb0="A00002BF" w:usb1="38CF7CFA" w:usb2="00000016" w:usb3="00000000" w:csb0="0004000F" w:csb1="00000000"/>
  </w:font>
  <w:font w:name="DXANP N+ Serifa B T,">
    <w:altName w:val="Cambria"/>
    <w:charset w:val="00"/>
    <w:family w:val="auto"/>
    <w:pitch w:val="default"/>
  </w:font>
  <w:font w:name="Aptos">
    <w:charset w:val="00"/>
    <w:family w:val="swiss"/>
    <w:pitch w:val="variable"/>
    <w:sig w:usb0="20000287" w:usb1="00000003" w:usb2="00000000" w:usb3="00000000" w:csb0="0000019F" w:csb1="00000000"/>
    <w:embedRegular r:id="rId7" w:fontKey="{A9D0E438-CDED-44D9-8797-C5DDDB63EE5C}"/>
    <w:embedItalic r:id="rId8" w:fontKey="{3D598BEF-2BFF-43AE-9900-C69CE2EFABAC}"/>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embedRegular r:id="rId9" w:fontKey="{0857711A-BD1E-41F8-8BC2-7C9472FB0745}"/>
  </w:font>
  <w:font w:name="Calibri">
    <w:panose1 w:val="020F0502020204030204"/>
    <w:charset w:val="00"/>
    <w:family w:val="swiss"/>
    <w:pitch w:val="variable"/>
    <w:sig w:usb0="E4002EFF" w:usb1="C000247B" w:usb2="00000009" w:usb3="00000000" w:csb0="000001FF" w:csb1="00000000"/>
    <w:embedRegular r:id="rId10" w:fontKey="{332FE877-2E26-4AC0-9E2F-1ED3BCFAD1FD}"/>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B" w14:textId="77777777" w:rsidR="00FF2214" w:rsidRPr="007F2135" w:rsidRDefault="00FF2214">
    <w:pPr>
      <w:widowControl w:val="0"/>
      <w:spacing w:line="276" w:lineRule="auto"/>
      <w:rPr>
        <w:color w:val="000000"/>
      </w:rPr>
    </w:pPr>
  </w:p>
  <w:tbl>
    <w:tblPr>
      <w:tblStyle w:val="Style41"/>
      <w:tblW w:w="9360" w:type="dxa"/>
      <w:tblInd w:w="0" w:type="dxa"/>
      <w:tblLayout w:type="fixed"/>
      <w:tblLook w:val="04A0" w:firstRow="1" w:lastRow="0" w:firstColumn="1" w:lastColumn="0" w:noHBand="0" w:noVBand="1"/>
    </w:tblPr>
    <w:tblGrid>
      <w:gridCol w:w="3120"/>
      <w:gridCol w:w="3120"/>
      <w:gridCol w:w="3120"/>
    </w:tblGrid>
    <w:tr w:rsidR="00FF2214" w:rsidRPr="007F2135" w14:paraId="7955069F" w14:textId="77777777">
      <w:trPr>
        <w:trHeight w:val="300"/>
      </w:trPr>
      <w:tc>
        <w:tcPr>
          <w:tcW w:w="3120" w:type="dxa"/>
          <w:tcMar>
            <w:top w:w="0" w:type="dxa"/>
            <w:left w:w="108" w:type="dxa"/>
            <w:bottom w:w="0" w:type="dxa"/>
            <w:right w:w="108" w:type="dxa"/>
          </w:tcMar>
        </w:tcPr>
        <w:p w14:paraId="7955069C" w14:textId="77777777" w:rsidR="00FF2214" w:rsidRPr="007F2135"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9D" w14:textId="77777777" w:rsidR="00FF2214" w:rsidRPr="007F2135"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9E" w14:textId="77777777" w:rsidR="00FF2214" w:rsidRPr="007F2135" w:rsidRDefault="00FF2214">
          <w:pPr>
            <w:tabs>
              <w:tab w:val="center" w:pos="4320"/>
              <w:tab w:val="right" w:pos="8640"/>
            </w:tabs>
            <w:ind w:right="-115"/>
            <w:jc w:val="right"/>
            <w:rPr>
              <w:color w:val="000000"/>
            </w:rPr>
          </w:pPr>
        </w:p>
      </w:tc>
    </w:tr>
  </w:tbl>
  <w:p w14:paraId="795506A0" w14:textId="77777777" w:rsidR="00FF2214" w:rsidRPr="007F2135" w:rsidRDefault="00FF2214">
    <w:pP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3" w14:textId="77777777" w:rsidR="00FF2214" w:rsidRPr="007F2135" w:rsidRDefault="00FF2214">
    <w:pPr>
      <w:widowControl w:val="0"/>
      <w:spacing w:line="276" w:lineRule="auto"/>
      <w:rPr>
        <w:color w:val="000000"/>
      </w:rPr>
    </w:pPr>
  </w:p>
  <w:tbl>
    <w:tblPr>
      <w:tblStyle w:val="Style40"/>
      <w:tblW w:w="9360" w:type="dxa"/>
      <w:tblInd w:w="0" w:type="dxa"/>
      <w:tblLayout w:type="fixed"/>
      <w:tblLook w:val="04A0" w:firstRow="1" w:lastRow="0" w:firstColumn="1" w:lastColumn="0" w:noHBand="0" w:noVBand="1"/>
    </w:tblPr>
    <w:tblGrid>
      <w:gridCol w:w="3120"/>
      <w:gridCol w:w="3120"/>
      <w:gridCol w:w="3120"/>
    </w:tblGrid>
    <w:tr w:rsidR="00FF2214" w:rsidRPr="007F2135" w14:paraId="795506A7" w14:textId="77777777">
      <w:trPr>
        <w:trHeight w:val="300"/>
      </w:trPr>
      <w:tc>
        <w:tcPr>
          <w:tcW w:w="3120" w:type="dxa"/>
          <w:tcMar>
            <w:top w:w="0" w:type="dxa"/>
            <w:left w:w="108" w:type="dxa"/>
            <w:bottom w:w="0" w:type="dxa"/>
            <w:right w:w="108" w:type="dxa"/>
          </w:tcMar>
        </w:tcPr>
        <w:p w14:paraId="795506A4" w14:textId="77777777" w:rsidR="00FF2214" w:rsidRPr="007F2135"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A5" w14:textId="77777777" w:rsidR="00FF2214" w:rsidRPr="007F2135"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A6" w14:textId="77777777" w:rsidR="00FF2214" w:rsidRPr="007F2135" w:rsidRDefault="00FF2214">
          <w:pPr>
            <w:tabs>
              <w:tab w:val="center" w:pos="4320"/>
              <w:tab w:val="right" w:pos="8640"/>
            </w:tabs>
            <w:ind w:right="-115"/>
            <w:jc w:val="right"/>
            <w:rPr>
              <w:color w:val="000000"/>
            </w:rPr>
          </w:pPr>
        </w:p>
      </w:tc>
    </w:tr>
  </w:tbl>
  <w:p w14:paraId="795506A8" w14:textId="77777777" w:rsidR="00FF2214" w:rsidRPr="007F2135" w:rsidRDefault="00FF2214">
    <w:pPr>
      <w:tabs>
        <w:tab w:val="center" w:pos="4320"/>
        <w:tab w:val="right" w:pos="8640"/>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FB4959" w14:textId="77777777" w:rsidR="00FF2214" w:rsidRPr="007F2135" w:rsidRDefault="00FF2214">
    <w:pPr>
      <w:widowControl w:val="0"/>
      <w:spacing w:line="276" w:lineRule="auto"/>
      <w:rPr>
        <w:color w:val="000000"/>
      </w:rPr>
    </w:pPr>
  </w:p>
  <w:tbl>
    <w:tblPr>
      <w:tblStyle w:val="Style43"/>
      <w:tblW w:w="9360" w:type="dxa"/>
      <w:tblInd w:w="0" w:type="dxa"/>
      <w:tblLayout w:type="fixed"/>
      <w:tblLook w:val="04A0" w:firstRow="1" w:lastRow="0" w:firstColumn="1" w:lastColumn="0" w:noHBand="0" w:noVBand="1"/>
    </w:tblPr>
    <w:tblGrid>
      <w:gridCol w:w="3120"/>
      <w:gridCol w:w="3120"/>
      <w:gridCol w:w="3120"/>
    </w:tblGrid>
    <w:tr w:rsidR="00FF2214" w:rsidRPr="007F2135" w14:paraId="5F10AA53" w14:textId="77777777">
      <w:trPr>
        <w:trHeight w:val="300"/>
      </w:trPr>
      <w:tc>
        <w:tcPr>
          <w:tcW w:w="3120" w:type="dxa"/>
          <w:tcMar>
            <w:top w:w="0" w:type="dxa"/>
            <w:left w:w="108" w:type="dxa"/>
            <w:bottom w:w="0" w:type="dxa"/>
            <w:right w:w="108" w:type="dxa"/>
          </w:tcMar>
        </w:tcPr>
        <w:p w14:paraId="2A399F4B" w14:textId="77777777" w:rsidR="00FF2214" w:rsidRPr="007F2135"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FA0D06A" w14:textId="77777777" w:rsidR="00FF2214" w:rsidRPr="007F2135"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57688059" w14:textId="77777777" w:rsidR="00FF2214" w:rsidRPr="007F2135" w:rsidRDefault="00FF2214">
          <w:pPr>
            <w:tabs>
              <w:tab w:val="center" w:pos="4320"/>
              <w:tab w:val="right" w:pos="8640"/>
            </w:tabs>
            <w:ind w:right="-115"/>
            <w:jc w:val="right"/>
            <w:rPr>
              <w:color w:val="000000"/>
            </w:rPr>
          </w:pPr>
        </w:p>
      </w:tc>
    </w:tr>
  </w:tbl>
  <w:p w14:paraId="1D6323BF" w14:textId="77777777" w:rsidR="00FF2214" w:rsidRPr="007F2135" w:rsidRDefault="00FF2214">
    <w:pPr>
      <w:tabs>
        <w:tab w:val="center" w:pos="4320"/>
        <w:tab w:val="right" w:pos="8640"/>
      </w:tabs>
      <w:rPr>
        <w:color w:val="00000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269CA4" w14:textId="77777777" w:rsidR="00FF2214" w:rsidRPr="007F2135" w:rsidRDefault="00FF2214">
    <w:pPr>
      <w:widowControl w:val="0"/>
      <w:spacing w:line="276" w:lineRule="auto"/>
      <w:rPr>
        <w:color w:val="000000"/>
      </w:rPr>
    </w:pPr>
  </w:p>
  <w:tbl>
    <w:tblPr>
      <w:tblStyle w:val="Style42"/>
      <w:tblW w:w="9360" w:type="dxa"/>
      <w:tblInd w:w="0" w:type="dxa"/>
      <w:tblLayout w:type="fixed"/>
      <w:tblLook w:val="04A0" w:firstRow="1" w:lastRow="0" w:firstColumn="1" w:lastColumn="0" w:noHBand="0" w:noVBand="1"/>
    </w:tblPr>
    <w:tblGrid>
      <w:gridCol w:w="3120"/>
      <w:gridCol w:w="3120"/>
      <w:gridCol w:w="3120"/>
    </w:tblGrid>
    <w:tr w:rsidR="00FF2214" w:rsidRPr="007F2135" w14:paraId="04C48F77" w14:textId="77777777">
      <w:trPr>
        <w:trHeight w:val="300"/>
      </w:trPr>
      <w:tc>
        <w:tcPr>
          <w:tcW w:w="3120" w:type="dxa"/>
          <w:tcMar>
            <w:top w:w="0" w:type="dxa"/>
            <w:left w:w="108" w:type="dxa"/>
            <w:bottom w:w="0" w:type="dxa"/>
            <w:right w:w="108" w:type="dxa"/>
          </w:tcMar>
        </w:tcPr>
        <w:p w14:paraId="2A5437FD" w14:textId="77777777" w:rsidR="00FF2214" w:rsidRPr="007F2135"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BF4BAD9" w14:textId="77777777" w:rsidR="00FF2214" w:rsidRPr="007F2135"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6B12425" w14:textId="77777777" w:rsidR="00FF2214" w:rsidRPr="007F2135" w:rsidRDefault="00FF2214">
          <w:pPr>
            <w:tabs>
              <w:tab w:val="center" w:pos="4320"/>
              <w:tab w:val="right" w:pos="8640"/>
            </w:tabs>
            <w:ind w:right="-115"/>
            <w:jc w:val="right"/>
            <w:rPr>
              <w:color w:val="000000"/>
            </w:rPr>
          </w:pPr>
        </w:p>
      </w:tc>
    </w:tr>
  </w:tbl>
  <w:p w14:paraId="03C06AA0" w14:textId="77777777" w:rsidR="00FF2214" w:rsidRPr="007F2135" w:rsidRDefault="00FF2214">
    <w:pP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A1099F" w14:textId="77777777" w:rsidR="00803B74" w:rsidRPr="007F2135" w:rsidRDefault="00803B74">
      <w:r w:rsidRPr="007F2135">
        <w:separator/>
      </w:r>
    </w:p>
  </w:footnote>
  <w:footnote w:type="continuationSeparator" w:id="0">
    <w:p w14:paraId="444628A6" w14:textId="77777777" w:rsidR="00803B74" w:rsidRPr="007F2135" w:rsidRDefault="00803B74">
      <w:r w:rsidRPr="007F2135">
        <w:continuationSeparator/>
      </w:r>
    </w:p>
  </w:footnote>
  <w:footnote w:type="continuationNotice" w:id="1">
    <w:p w14:paraId="52141F30" w14:textId="77777777" w:rsidR="00803B74" w:rsidRPr="007F2135" w:rsidRDefault="00803B7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A" w14:textId="77777777" w:rsidR="00FF2214" w:rsidRPr="007F2135" w:rsidRDefault="00850770">
    <w:pPr>
      <w:tabs>
        <w:tab w:val="center" w:pos="4320"/>
        <w:tab w:val="right" w:pos="8640"/>
      </w:tabs>
      <w:jc w:val="center"/>
      <w:rPr>
        <w:color w:val="000000"/>
      </w:rPr>
    </w:pPr>
    <w:r w:rsidRPr="007F2135">
      <w:rPr>
        <w:color w:val="000000"/>
      </w:rPr>
      <w:fldChar w:fldCharType="begin"/>
    </w:r>
    <w:r w:rsidRPr="007F2135">
      <w:rPr>
        <w:color w:val="000000"/>
      </w:rPr>
      <w:instrText>PAGE</w:instrText>
    </w:r>
    <w:r w:rsidRPr="007F2135">
      <w:rPr>
        <w:color w:val="000000"/>
      </w:rPr>
      <w:fldChar w:fldCharType="separate"/>
    </w:r>
    <w:r w:rsidRPr="007F2135">
      <w:rPr>
        <w:color w:val="000000"/>
      </w:rPr>
      <w:t>2</w:t>
    </w:r>
    <w:r w:rsidRPr="007F2135">
      <w:rPr>
        <w:color w:val="00000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1" w14:textId="40803E90" w:rsidR="00FF2214" w:rsidRPr="007F2135" w:rsidRDefault="00850770">
    <w:pPr>
      <w:tabs>
        <w:tab w:val="center" w:pos="4320"/>
        <w:tab w:val="right" w:pos="8640"/>
      </w:tabs>
      <w:jc w:val="right"/>
      <w:rPr>
        <w:color w:val="000000"/>
      </w:rPr>
    </w:pPr>
    <w:r w:rsidRPr="007F2135">
      <w:rPr>
        <w:color w:val="000000"/>
      </w:rPr>
      <w:t>A-0</w:t>
    </w:r>
    <w:r w:rsidR="009416EA">
      <w:rPr>
        <w:color w:val="000000"/>
      </w:rPr>
      <w:t>48</w:t>
    </w:r>
  </w:p>
  <w:p w14:paraId="795506A2" w14:textId="77777777" w:rsidR="00FF2214" w:rsidRPr="007F2135" w:rsidRDefault="00850770">
    <w:pPr>
      <w:tabs>
        <w:tab w:val="center" w:pos="4320"/>
        <w:tab w:val="right" w:pos="8640"/>
      </w:tabs>
      <w:rPr>
        <w:color w:val="000000"/>
      </w:rPr>
    </w:pPr>
    <w:r w:rsidRPr="007F2135">
      <w:rPr>
        <w:color w:val="000000"/>
      </w:rPr>
      <w:tab/>
    </w:r>
    <w:r w:rsidRPr="007F2135">
      <w:rPr>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B5988"/>
    <w:multiLevelType w:val="hybridMultilevel"/>
    <w:tmpl w:val="2B4A0D34"/>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06163CD8"/>
    <w:multiLevelType w:val="hybridMultilevel"/>
    <w:tmpl w:val="8E4C5F0A"/>
    <w:lvl w:ilvl="0" w:tplc="117401D0">
      <w:start w:val="1"/>
      <w:numFmt w:val="decimal"/>
      <w:lvlText w:val="(%1)"/>
      <w:lvlJc w:val="left"/>
      <w:pPr>
        <w:ind w:left="1080" w:hanging="360"/>
      </w:pPr>
      <w:rPr>
        <w:rFonts w:ascii="Book Antiqua" w:eastAsia="Times New Roman" w:hAnsi="Book Antiqua" w:cs="Times New Roman"/>
      </w:rPr>
    </w:lvl>
    <w:lvl w:ilvl="1" w:tplc="9E7A13F2">
      <w:start w:val="1"/>
      <w:numFmt w:val="lowerLetter"/>
      <w:lvlText w:val="(%2)"/>
      <w:lvlJc w:val="left"/>
      <w:pPr>
        <w:ind w:left="1800" w:hanging="360"/>
      </w:pPr>
      <w:rPr>
        <w:rFonts w:ascii="Times New Roman" w:eastAsia="Times New Roman" w:hAnsi="Times New Roman" w:cs="Times New Roman"/>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60A2830"/>
    <w:multiLevelType w:val="hybridMultilevel"/>
    <w:tmpl w:val="5880A380"/>
    <w:lvl w:ilvl="0" w:tplc="58FAF124">
      <w:start w:val="9"/>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69C2689"/>
    <w:multiLevelType w:val="hybridMultilevel"/>
    <w:tmpl w:val="4DBEE06E"/>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 w15:restartNumberingAfterBreak="0">
    <w:nsid w:val="17A82B8D"/>
    <w:multiLevelType w:val="multilevel"/>
    <w:tmpl w:val="17A82B8D"/>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1CFB7BCF"/>
    <w:multiLevelType w:val="hybridMultilevel"/>
    <w:tmpl w:val="03C26644"/>
    <w:lvl w:ilvl="0" w:tplc="C9D0C74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0510661"/>
    <w:multiLevelType w:val="hybridMultilevel"/>
    <w:tmpl w:val="BE1A9DF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47F5701"/>
    <w:multiLevelType w:val="hybridMultilevel"/>
    <w:tmpl w:val="18B085A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7331BF0"/>
    <w:multiLevelType w:val="hybridMultilevel"/>
    <w:tmpl w:val="1B2CB54E"/>
    <w:lvl w:ilvl="0" w:tplc="117401D0">
      <w:start w:val="1"/>
      <w:numFmt w:val="decimal"/>
      <w:lvlText w:val="(%1)"/>
      <w:lvlJc w:val="left"/>
      <w:pPr>
        <w:ind w:left="2160" w:hanging="360"/>
      </w:pPr>
      <w:rPr>
        <w:rFonts w:ascii="Book Antiqua" w:eastAsia="Times New Roman" w:hAnsi="Book Antiqua" w:cs="Times New Roman"/>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 w15:restartNumberingAfterBreak="0">
    <w:nsid w:val="31C81210"/>
    <w:multiLevelType w:val="hybridMultilevel"/>
    <w:tmpl w:val="3E827A0A"/>
    <w:lvl w:ilvl="0" w:tplc="CCDE0676">
      <w:start w:val="1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D1E78E5"/>
    <w:multiLevelType w:val="multilevel"/>
    <w:tmpl w:val="3D1E78E5"/>
    <w:lvl w:ilvl="0">
      <w:start w:val="1"/>
      <w:numFmt w:val="decimal"/>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7CB7FD8"/>
    <w:multiLevelType w:val="hybridMultilevel"/>
    <w:tmpl w:val="A2C621C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4AD04AE7"/>
    <w:multiLevelType w:val="hybridMultilevel"/>
    <w:tmpl w:val="83723F22"/>
    <w:lvl w:ilvl="0" w:tplc="65EEC5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B5F4170"/>
    <w:multiLevelType w:val="hybridMultilevel"/>
    <w:tmpl w:val="4B00B32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56AD76C4"/>
    <w:multiLevelType w:val="hybridMultilevel"/>
    <w:tmpl w:val="0652C932"/>
    <w:lvl w:ilvl="0" w:tplc="9BF0E63E">
      <w:start w:val="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766326D"/>
    <w:multiLevelType w:val="hybridMultilevel"/>
    <w:tmpl w:val="84C60B9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79116D4"/>
    <w:multiLevelType w:val="hybridMultilevel"/>
    <w:tmpl w:val="1076D370"/>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hint="default"/>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7" w15:restartNumberingAfterBreak="0">
    <w:nsid w:val="5C7C5688"/>
    <w:multiLevelType w:val="hybridMultilevel"/>
    <w:tmpl w:val="A95822D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6B0C6F38"/>
    <w:multiLevelType w:val="multilevel"/>
    <w:tmpl w:val="0358C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3C93809"/>
    <w:multiLevelType w:val="hybridMultilevel"/>
    <w:tmpl w:val="30F6AB7A"/>
    <w:lvl w:ilvl="0" w:tplc="FFFFFFFF">
      <w:start w:val="1"/>
      <w:numFmt w:val="lowerLetter"/>
      <w:lvlText w:val="(%1)"/>
      <w:lvlJc w:val="left"/>
      <w:pPr>
        <w:ind w:left="1080" w:hanging="360"/>
      </w:pPr>
      <w:rPr>
        <w:rFonts w:ascii="Book Antiqua" w:eastAsia="Times New Roman" w:hAnsi="Book Antiqua" w:cs="Times New Roman"/>
        <w:i w:val="0"/>
        <w:iCs w:val="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0" w15:restartNumberingAfterBreak="0">
    <w:nsid w:val="740E7E28"/>
    <w:multiLevelType w:val="hybridMultilevel"/>
    <w:tmpl w:val="1ADCE7FA"/>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514543333">
    <w:abstractNumId w:val="10"/>
  </w:num>
  <w:num w:numId="2" w16cid:durableId="1844394367">
    <w:abstractNumId w:val="4"/>
  </w:num>
  <w:num w:numId="3" w16cid:durableId="48185947">
    <w:abstractNumId w:val="20"/>
  </w:num>
  <w:num w:numId="4" w16cid:durableId="1783574521">
    <w:abstractNumId w:val="15"/>
  </w:num>
  <w:num w:numId="5" w16cid:durableId="443111931">
    <w:abstractNumId w:val="13"/>
  </w:num>
  <w:num w:numId="6" w16cid:durableId="1153910825">
    <w:abstractNumId w:val="1"/>
  </w:num>
  <w:num w:numId="7" w16cid:durableId="281156772">
    <w:abstractNumId w:val="16"/>
  </w:num>
  <w:num w:numId="8" w16cid:durableId="2092505804">
    <w:abstractNumId w:val="0"/>
  </w:num>
  <w:num w:numId="9" w16cid:durableId="1241595162">
    <w:abstractNumId w:val="3"/>
  </w:num>
  <w:num w:numId="10" w16cid:durableId="1333600705">
    <w:abstractNumId w:val="6"/>
  </w:num>
  <w:num w:numId="11" w16cid:durableId="384835755">
    <w:abstractNumId w:val="7"/>
  </w:num>
  <w:num w:numId="12" w16cid:durableId="1844976573">
    <w:abstractNumId w:val="11"/>
  </w:num>
  <w:num w:numId="13" w16cid:durableId="1566984903">
    <w:abstractNumId w:val="9"/>
  </w:num>
  <w:num w:numId="14" w16cid:durableId="2070571449">
    <w:abstractNumId w:val="17"/>
  </w:num>
  <w:num w:numId="15" w16cid:durableId="486555809">
    <w:abstractNumId w:val="8"/>
  </w:num>
  <w:num w:numId="16" w16cid:durableId="549342782">
    <w:abstractNumId w:val="19"/>
  </w:num>
  <w:num w:numId="17" w16cid:durableId="1839929571">
    <w:abstractNumId w:val="2"/>
  </w:num>
  <w:num w:numId="18" w16cid:durableId="1698197307">
    <w:abstractNumId w:val="5"/>
  </w:num>
  <w:num w:numId="19" w16cid:durableId="2127237579">
    <w:abstractNumId w:val="12"/>
  </w:num>
  <w:num w:numId="20" w16cid:durableId="1307661653">
    <w:abstractNumId w:val="14"/>
  </w:num>
  <w:num w:numId="21" w16cid:durableId="170710388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embedTrueTypeFonts/>
  <w:defaultTabStop w:val="720"/>
  <w:hyphenationZone w:val="425"/>
  <w:characterSpacingControl w:val="doNotCompress"/>
  <w:hdrShapeDefaults>
    <o:shapedefaults v:ext="edit" spidmax="2252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3031"/>
    <w:rsid w:val="00003E86"/>
    <w:rsid w:val="000069C8"/>
    <w:rsid w:val="000102C6"/>
    <w:rsid w:val="0001054D"/>
    <w:rsid w:val="000107AB"/>
    <w:rsid w:val="00010836"/>
    <w:rsid w:val="0001793B"/>
    <w:rsid w:val="00022FC4"/>
    <w:rsid w:val="00027C66"/>
    <w:rsid w:val="00032F6A"/>
    <w:rsid w:val="00040CAA"/>
    <w:rsid w:val="00041A92"/>
    <w:rsid w:val="000502AE"/>
    <w:rsid w:val="00052113"/>
    <w:rsid w:val="00056D71"/>
    <w:rsid w:val="00057EF4"/>
    <w:rsid w:val="00064C62"/>
    <w:rsid w:val="00066DD3"/>
    <w:rsid w:val="0007036F"/>
    <w:rsid w:val="000741B3"/>
    <w:rsid w:val="0008657D"/>
    <w:rsid w:val="00091F49"/>
    <w:rsid w:val="00093558"/>
    <w:rsid w:val="00094484"/>
    <w:rsid w:val="0009603C"/>
    <w:rsid w:val="000A1DC3"/>
    <w:rsid w:val="000A33B9"/>
    <w:rsid w:val="000B33EC"/>
    <w:rsid w:val="000B7038"/>
    <w:rsid w:val="000B757B"/>
    <w:rsid w:val="000B77A8"/>
    <w:rsid w:val="000C0F6A"/>
    <w:rsid w:val="000C5223"/>
    <w:rsid w:val="000C58FF"/>
    <w:rsid w:val="000C68E5"/>
    <w:rsid w:val="000D2EB5"/>
    <w:rsid w:val="000D30A4"/>
    <w:rsid w:val="000E515E"/>
    <w:rsid w:val="000E588A"/>
    <w:rsid w:val="000E6633"/>
    <w:rsid w:val="000F222B"/>
    <w:rsid w:val="00113415"/>
    <w:rsid w:val="001150B3"/>
    <w:rsid w:val="00115129"/>
    <w:rsid w:val="001216F2"/>
    <w:rsid w:val="0012419B"/>
    <w:rsid w:val="001255FB"/>
    <w:rsid w:val="001275A9"/>
    <w:rsid w:val="001336EE"/>
    <w:rsid w:val="00133D83"/>
    <w:rsid w:val="001433C2"/>
    <w:rsid w:val="001437B2"/>
    <w:rsid w:val="001506F4"/>
    <w:rsid w:val="00150C87"/>
    <w:rsid w:val="00152B9A"/>
    <w:rsid w:val="00157BB5"/>
    <w:rsid w:val="001613A5"/>
    <w:rsid w:val="00164E97"/>
    <w:rsid w:val="001677A8"/>
    <w:rsid w:val="0017795B"/>
    <w:rsid w:val="00185EA9"/>
    <w:rsid w:val="00191362"/>
    <w:rsid w:val="00194A5E"/>
    <w:rsid w:val="00194D59"/>
    <w:rsid w:val="0019674C"/>
    <w:rsid w:val="001969E8"/>
    <w:rsid w:val="001A1EA2"/>
    <w:rsid w:val="001C05DD"/>
    <w:rsid w:val="001C1387"/>
    <w:rsid w:val="001C50A0"/>
    <w:rsid w:val="001C7468"/>
    <w:rsid w:val="001D07B3"/>
    <w:rsid w:val="001D0FDF"/>
    <w:rsid w:val="001D1537"/>
    <w:rsid w:val="001D4BBB"/>
    <w:rsid w:val="001D54A8"/>
    <w:rsid w:val="001E1A20"/>
    <w:rsid w:val="001F0F16"/>
    <w:rsid w:val="001F3565"/>
    <w:rsid w:val="001F4366"/>
    <w:rsid w:val="0021009A"/>
    <w:rsid w:val="002121D5"/>
    <w:rsid w:val="002138BE"/>
    <w:rsid w:val="00226D6B"/>
    <w:rsid w:val="00230215"/>
    <w:rsid w:val="002304C5"/>
    <w:rsid w:val="002318F0"/>
    <w:rsid w:val="00231C2C"/>
    <w:rsid w:val="0023393F"/>
    <w:rsid w:val="002429DB"/>
    <w:rsid w:val="002435A4"/>
    <w:rsid w:val="0024422E"/>
    <w:rsid w:val="00251AFB"/>
    <w:rsid w:val="00252646"/>
    <w:rsid w:val="00254DCC"/>
    <w:rsid w:val="002600AE"/>
    <w:rsid w:val="00260FC0"/>
    <w:rsid w:val="002646F8"/>
    <w:rsid w:val="00266688"/>
    <w:rsid w:val="00273031"/>
    <w:rsid w:val="00285A15"/>
    <w:rsid w:val="0028794F"/>
    <w:rsid w:val="00291A4F"/>
    <w:rsid w:val="002A1D65"/>
    <w:rsid w:val="002A23EE"/>
    <w:rsid w:val="002A4131"/>
    <w:rsid w:val="002A4F4F"/>
    <w:rsid w:val="002B2FBB"/>
    <w:rsid w:val="002B5618"/>
    <w:rsid w:val="002B62EE"/>
    <w:rsid w:val="002B7906"/>
    <w:rsid w:val="002C1726"/>
    <w:rsid w:val="002C5A5A"/>
    <w:rsid w:val="002D6159"/>
    <w:rsid w:val="002F21CF"/>
    <w:rsid w:val="002F48BA"/>
    <w:rsid w:val="002F5B16"/>
    <w:rsid w:val="00302E03"/>
    <w:rsid w:val="00302F90"/>
    <w:rsid w:val="0030308D"/>
    <w:rsid w:val="00310FDD"/>
    <w:rsid w:val="0031323F"/>
    <w:rsid w:val="00313C97"/>
    <w:rsid w:val="00314E6B"/>
    <w:rsid w:val="00321AB7"/>
    <w:rsid w:val="0032794E"/>
    <w:rsid w:val="00332E7A"/>
    <w:rsid w:val="00343CBC"/>
    <w:rsid w:val="0034626A"/>
    <w:rsid w:val="00346582"/>
    <w:rsid w:val="003524D5"/>
    <w:rsid w:val="00356264"/>
    <w:rsid w:val="00356E97"/>
    <w:rsid w:val="00365FFA"/>
    <w:rsid w:val="00371D68"/>
    <w:rsid w:val="00372E7F"/>
    <w:rsid w:val="0037751A"/>
    <w:rsid w:val="00381E1D"/>
    <w:rsid w:val="00391B13"/>
    <w:rsid w:val="003A2100"/>
    <w:rsid w:val="003B17EE"/>
    <w:rsid w:val="003B2357"/>
    <w:rsid w:val="003B6F6C"/>
    <w:rsid w:val="003C79D6"/>
    <w:rsid w:val="003D3B08"/>
    <w:rsid w:val="003D42BF"/>
    <w:rsid w:val="003D4499"/>
    <w:rsid w:val="003E0CF2"/>
    <w:rsid w:val="003E2D11"/>
    <w:rsid w:val="003E30F3"/>
    <w:rsid w:val="003F18AA"/>
    <w:rsid w:val="003F352A"/>
    <w:rsid w:val="00411B21"/>
    <w:rsid w:val="00411D69"/>
    <w:rsid w:val="004143E0"/>
    <w:rsid w:val="00415E5D"/>
    <w:rsid w:val="00416F13"/>
    <w:rsid w:val="0041790E"/>
    <w:rsid w:val="004221C5"/>
    <w:rsid w:val="004246A8"/>
    <w:rsid w:val="00425710"/>
    <w:rsid w:val="0042619D"/>
    <w:rsid w:val="00432896"/>
    <w:rsid w:val="00437135"/>
    <w:rsid w:val="00437DC4"/>
    <w:rsid w:val="004403A8"/>
    <w:rsid w:val="00444257"/>
    <w:rsid w:val="00447F1B"/>
    <w:rsid w:val="00452649"/>
    <w:rsid w:val="00461FBD"/>
    <w:rsid w:val="00462353"/>
    <w:rsid w:val="00462BEA"/>
    <w:rsid w:val="00465256"/>
    <w:rsid w:val="004674AD"/>
    <w:rsid w:val="0048210C"/>
    <w:rsid w:val="0049425A"/>
    <w:rsid w:val="004A0EAF"/>
    <w:rsid w:val="004A5974"/>
    <w:rsid w:val="004A63FB"/>
    <w:rsid w:val="004A763E"/>
    <w:rsid w:val="004A7CA2"/>
    <w:rsid w:val="004B290C"/>
    <w:rsid w:val="004B357F"/>
    <w:rsid w:val="004C411D"/>
    <w:rsid w:val="004C41AE"/>
    <w:rsid w:val="004C4C42"/>
    <w:rsid w:val="004C6236"/>
    <w:rsid w:val="004D03F5"/>
    <w:rsid w:val="004D0CDB"/>
    <w:rsid w:val="004D7071"/>
    <w:rsid w:val="004E04A9"/>
    <w:rsid w:val="004E6136"/>
    <w:rsid w:val="004F6B8B"/>
    <w:rsid w:val="005003F6"/>
    <w:rsid w:val="00502B14"/>
    <w:rsid w:val="00503836"/>
    <w:rsid w:val="00503C13"/>
    <w:rsid w:val="00504742"/>
    <w:rsid w:val="00506CA0"/>
    <w:rsid w:val="00511693"/>
    <w:rsid w:val="00521CE8"/>
    <w:rsid w:val="005229AD"/>
    <w:rsid w:val="00524FBA"/>
    <w:rsid w:val="00526AC9"/>
    <w:rsid w:val="00527B13"/>
    <w:rsid w:val="00534596"/>
    <w:rsid w:val="005427F8"/>
    <w:rsid w:val="00543529"/>
    <w:rsid w:val="00546040"/>
    <w:rsid w:val="00552C7A"/>
    <w:rsid w:val="00556C43"/>
    <w:rsid w:val="00557579"/>
    <w:rsid w:val="005640D7"/>
    <w:rsid w:val="0056577A"/>
    <w:rsid w:val="00573345"/>
    <w:rsid w:val="0057336F"/>
    <w:rsid w:val="00573C36"/>
    <w:rsid w:val="0057614A"/>
    <w:rsid w:val="00576725"/>
    <w:rsid w:val="00580739"/>
    <w:rsid w:val="00591957"/>
    <w:rsid w:val="005A3527"/>
    <w:rsid w:val="005A5C2E"/>
    <w:rsid w:val="005B3512"/>
    <w:rsid w:val="005B3BBD"/>
    <w:rsid w:val="005C3826"/>
    <w:rsid w:val="005C3AFC"/>
    <w:rsid w:val="005C7524"/>
    <w:rsid w:val="005D3EB3"/>
    <w:rsid w:val="005D7F54"/>
    <w:rsid w:val="005E3602"/>
    <w:rsid w:val="005E3680"/>
    <w:rsid w:val="005E4152"/>
    <w:rsid w:val="005E63C3"/>
    <w:rsid w:val="005E7EC5"/>
    <w:rsid w:val="005F036C"/>
    <w:rsid w:val="005F0A2C"/>
    <w:rsid w:val="005F0E8D"/>
    <w:rsid w:val="005F265C"/>
    <w:rsid w:val="005F2872"/>
    <w:rsid w:val="005F486E"/>
    <w:rsid w:val="0060246B"/>
    <w:rsid w:val="00604DA6"/>
    <w:rsid w:val="006156E3"/>
    <w:rsid w:val="00615B4D"/>
    <w:rsid w:val="0061628B"/>
    <w:rsid w:val="0062471D"/>
    <w:rsid w:val="006414C7"/>
    <w:rsid w:val="00642C79"/>
    <w:rsid w:val="006430D0"/>
    <w:rsid w:val="0064494E"/>
    <w:rsid w:val="00654571"/>
    <w:rsid w:val="00657A02"/>
    <w:rsid w:val="00663D06"/>
    <w:rsid w:val="00670249"/>
    <w:rsid w:val="00670CA7"/>
    <w:rsid w:val="0068065A"/>
    <w:rsid w:val="006819FE"/>
    <w:rsid w:val="00694E17"/>
    <w:rsid w:val="006A1488"/>
    <w:rsid w:val="006B17C2"/>
    <w:rsid w:val="006B3A56"/>
    <w:rsid w:val="006B78AD"/>
    <w:rsid w:val="006C4755"/>
    <w:rsid w:val="006C5540"/>
    <w:rsid w:val="006C6334"/>
    <w:rsid w:val="006D1974"/>
    <w:rsid w:val="006E1314"/>
    <w:rsid w:val="006E2258"/>
    <w:rsid w:val="006E37D2"/>
    <w:rsid w:val="006E7A33"/>
    <w:rsid w:val="006F0B06"/>
    <w:rsid w:val="006F205C"/>
    <w:rsid w:val="006F6D54"/>
    <w:rsid w:val="006F7FEA"/>
    <w:rsid w:val="00702DBD"/>
    <w:rsid w:val="007164D0"/>
    <w:rsid w:val="007167E7"/>
    <w:rsid w:val="007255E2"/>
    <w:rsid w:val="00725A20"/>
    <w:rsid w:val="00730772"/>
    <w:rsid w:val="00731270"/>
    <w:rsid w:val="0073352B"/>
    <w:rsid w:val="00736EAA"/>
    <w:rsid w:val="00740BAC"/>
    <w:rsid w:val="0074471F"/>
    <w:rsid w:val="00753E10"/>
    <w:rsid w:val="00755AEC"/>
    <w:rsid w:val="00755DDC"/>
    <w:rsid w:val="00760792"/>
    <w:rsid w:val="00764D63"/>
    <w:rsid w:val="0077017C"/>
    <w:rsid w:val="00773ABA"/>
    <w:rsid w:val="0078017D"/>
    <w:rsid w:val="00781480"/>
    <w:rsid w:val="00790693"/>
    <w:rsid w:val="00791FA9"/>
    <w:rsid w:val="00795BD6"/>
    <w:rsid w:val="007A346E"/>
    <w:rsid w:val="007A4745"/>
    <w:rsid w:val="007A5875"/>
    <w:rsid w:val="007B090C"/>
    <w:rsid w:val="007B5C75"/>
    <w:rsid w:val="007C7157"/>
    <w:rsid w:val="007D76E0"/>
    <w:rsid w:val="007E368D"/>
    <w:rsid w:val="007F2135"/>
    <w:rsid w:val="00803B74"/>
    <w:rsid w:val="00804D98"/>
    <w:rsid w:val="00805B64"/>
    <w:rsid w:val="00805D96"/>
    <w:rsid w:val="00807CED"/>
    <w:rsid w:val="00812840"/>
    <w:rsid w:val="008316F2"/>
    <w:rsid w:val="00831773"/>
    <w:rsid w:val="008337A4"/>
    <w:rsid w:val="00834801"/>
    <w:rsid w:val="00836115"/>
    <w:rsid w:val="00836710"/>
    <w:rsid w:val="008402C1"/>
    <w:rsid w:val="008450D8"/>
    <w:rsid w:val="00850770"/>
    <w:rsid w:val="008574AE"/>
    <w:rsid w:val="00864305"/>
    <w:rsid w:val="008670BC"/>
    <w:rsid w:val="008720A6"/>
    <w:rsid w:val="00881D48"/>
    <w:rsid w:val="008863D7"/>
    <w:rsid w:val="0089008A"/>
    <w:rsid w:val="00890C4D"/>
    <w:rsid w:val="00891773"/>
    <w:rsid w:val="008925BB"/>
    <w:rsid w:val="008A1F5E"/>
    <w:rsid w:val="008A5641"/>
    <w:rsid w:val="008B3680"/>
    <w:rsid w:val="008C0934"/>
    <w:rsid w:val="008D172D"/>
    <w:rsid w:val="008D2008"/>
    <w:rsid w:val="008D5A27"/>
    <w:rsid w:val="008D5B00"/>
    <w:rsid w:val="008E23CC"/>
    <w:rsid w:val="008E3AED"/>
    <w:rsid w:val="008E5542"/>
    <w:rsid w:val="008E5DA2"/>
    <w:rsid w:val="008F27E4"/>
    <w:rsid w:val="008F7FC7"/>
    <w:rsid w:val="0090179D"/>
    <w:rsid w:val="009061B2"/>
    <w:rsid w:val="009063F6"/>
    <w:rsid w:val="00910321"/>
    <w:rsid w:val="00910CF1"/>
    <w:rsid w:val="00916051"/>
    <w:rsid w:val="0091725F"/>
    <w:rsid w:val="00922818"/>
    <w:rsid w:val="00930E48"/>
    <w:rsid w:val="0093314A"/>
    <w:rsid w:val="00934C44"/>
    <w:rsid w:val="0093744C"/>
    <w:rsid w:val="009416EA"/>
    <w:rsid w:val="00942E06"/>
    <w:rsid w:val="00950505"/>
    <w:rsid w:val="00950A46"/>
    <w:rsid w:val="00952875"/>
    <w:rsid w:val="00954675"/>
    <w:rsid w:val="00962C3E"/>
    <w:rsid w:val="00963E17"/>
    <w:rsid w:val="00965195"/>
    <w:rsid w:val="00970540"/>
    <w:rsid w:val="00971D18"/>
    <w:rsid w:val="00975B0E"/>
    <w:rsid w:val="009807A4"/>
    <w:rsid w:val="009833D3"/>
    <w:rsid w:val="009927E5"/>
    <w:rsid w:val="009A0ED5"/>
    <w:rsid w:val="009A608A"/>
    <w:rsid w:val="009B47BF"/>
    <w:rsid w:val="009D1C75"/>
    <w:rsid w:val="009D5726"/>
    <w:rsid w:val="009D61E3"/>
    <w:rsid w:val="009D7450"/>
    <w:rsid w:val="009D79EC"/>
    <w:rsid w:val="009E36AA"/>
    <w:rsid w:val="009F15AE"/>
    <w:rsid w:val="00A02203"/>
    <w:rsid w:val="00A04577"/>
    <w:rsid w:val="00A11BAB"/>
    <w:rsid w:val="00A1720E"/>
    <w:rsid w:val="00A22039"/>
    <w:rsid w:val="00A23051"/>
    <w:rsid w:val="00A23581"/>
    <w:rsid w:val="00A23CBE"/>
    <w:rsid w:val="00A26252"/>
    <w:rsid w:val="00A26489"/>
    <w:rsid w:val="00A30925"/>
    <w:rsid w:val="00A3392B"/>
    <w:rsid w:val="00A41F69"/>
    <w:rsid w:val="00A44362"/>
    <w:rsid w:val="00A47378"/>
    <w:rsid w:val="00A47BDC"/>
    <w:rsid w:val="00A52322"/>
    <w:rsid w:val="00A52F9B"/>
    <w:rsid w:val="00A5416B"/>
    <w:rsid w:val="00A55370"/>
    <w:rsid w:val="00A62528"/>
    <w:rsid w:val="00A67A3A"/>
    <w:rsid w:val="00A770A7"/>
    <w:rsid w:val="00A7759E"/>
    <w:rsid w:val="00A8093F"/>
    <w:rsid w:val="00A860DC"/>
    <w:rsid w:val="00A92D34"/>
    <w:rsid w:val="00A94A37"/>
    <w:rsid w:val="00A9567F"/>
    <w:rsid w:val="00AA1BAB"/>
    <w:rsid w:val="00AB417C"/>
    <w:rsid w:val="00AB6B2F"/>
    <w:rsid w:val="00AC7A4D"/>
    <w:rsid w:val="00AD173C"/>
    <w:rsid w:val="00AD1CE3"/>
    <w:rsid w:val="00AD2586"/>
    <w:rsid w:val="00AD39F1"/>
    <w:rsid w:val="00AD3CF8"/>
    <w:rsid w:val="00AD473B"/>
    <w:rsid w:val="00AD4C7D"/>
    <w:rsid w:val="00AE1FE1"/>
    <w:rsid w:val="00AF19DC"/>
    <w:rsid w:val="00AF26DE"/>
    <w:rsid w:val="00B00227"/>
    <w:rsid w:val="00B01686"/>
    <w:rsid w:val="00B02CD9"/>
    <w:rsid w:val="00B03F2F"/>
    <w:rsid w:val="00B06BD6"/>
    <w:rsid w:val="00B06EBD"/>
    <w:rsid w:val="00B12738"/>
    <w:rsid w:val="00B139D2"/>
    <w:rsid w:val="00B13D1B"/>
    <w:rsid w:val="00B14DA2"/>
    <w:rsid w:val="00B155EE"/>
    <w:rsid w:val="00B158BC"/>
    <w:rsid w:val="00B20626"/>
    <w:rsid w:val="00B231AC"/>
    <w:rsid w:val="00B23F46"/>
    <w:rsid w:val="00B24BAA"/>
    <w:rsid w:val="00B34B9F"/>
    <w:rsid w:val="00B41851"/>
    <w:rsid w:val="00B51DBD"/>
    <w:rsid w:val="00B5375E"/>
    <w:rsid w:val="00B54199"/>
    <w:rsid w:val="00B54499"/>
    <w:rsid w:val="00B57F92"/>
    <w:rsid w:val="00B60014"/>
    <w:rsid w:val="00B70B63"/>
    <w:rsid w:val="00B72A6A"/>
    <w:rsid w:val="00B74EC0"/>
    <w:rsid w:val="00B81E44"/>
    <w:rsid w:val="00B84189"/>
    <w:rsid w:val="00B84666"/>
    <w:rsid w:val="00B84B1D"/>
    <w:rsid w:val="00B87A1C"/>
    <w:rsid w:val="00B87D3C"/>
    <w:rsid w:val="00B950B6"/>
    <w:rsid w:val="00BA3CB8"/>
    <w:rsid w:val="00BA70CD"/>
    <w:rsid w:val="00BB3314"/>
    <w:rsid w:val="00BB3C4F"/>
    <w:rsid w:val="00BB48CC"/>
    <w:rsid w:val="00BB4F4D"/>
    <w:rsid w:val="00BC1AD6"/>
    <w:rsid w:val="00BD11DE"/>
    <w:rsid w:val="00BD1EF6"/>
    <w:rsid w:val="00BD4F99"/>
    <w:rsid w:val="00BE14D9"/>
    <w:rsid w:val="00BE2036"/>
    <w:rsid w:val="00BE4BBF"/>
    <w:rsid w:val="00BE55AC"/>
    <w:rsid w:val="00BE6A63"/>
    <w:rsid w:val="00BE7D02"/>
    <w:rsid w:val="00BF5A14"/>
    <w:rsid w:val="00BF5DE6"/>
    <w:rsid w:val="00C004A4"/>
    <w:rsid w:val="00C05E49"/>
    <w:rsid w:val="00C05E9D"/>
    <w:rsid w:val="00C13DC9"/>
    <w:rsid w:val="00C25487"/>
    <w:rsid w:val="00C32AB8"/>
    <w:rsid w:val="00C32AF1"/>
    <w:rsid w:val="00C33CEB"/>
    <w:rsid w:val="00C361CD"/>
    <w:rsid w:val="00C41E01"/>
    <w:rsid w:val="00C51497"/>
    <w:rsid w:val="00C57448"/>
    <w:rsid w:val="00C635EB"/>
    <w:rsid w:val="00C71782"/>
    <w:rsid w:val="00C72FDE"/>
    <w:rsid w:val="00C8076C"/>
    <w:rsid w:val="00C87975"/>
    <w:rsid w:val="00C90DA0"/>
    <w:rsid w:val="00C93262"/>
    <w:rsid w:val="00C97C1A"/>
    <w:rsid w:val="00CA38D8"/>
    <w:rsid w:val="00CA3F74"/>
    <w:rsid w:val="00CA5BDF"/>
    <w:rsid w:val="00CB2AE9"/>
    <w:rsid w:val="00CB6810"/>
    <w:rsid w:val="00CC12B7"/>
    <w:rsid w:val="00CC16C2"/>
    <w:rsid w:val="00CC2987"/>
    <w:rsid w:val="00CC3134"/>
    <w:rsid w:val="00CC3852"/>
    <w:rsid w:val="00CC4EDC"/>
    <w:rsid w:val="00CD0E6C"/>
    <w:rsid w:val="00CD7B56"/>
    <w:rsid w:val="00CE36C8"/>
    <w:rsid w:val="00CF3010"/>
    <w:rsid w:val="00CF4242"/>
    <w:rsid w:val="00CF70FE"/>
    <w:rsid w:val="00D00EE1"/>
    <w:rsid w:val="00D21E5F"/>
    <w:rsid w:val="00D24065"/>
    <w:rsid w:val="00D312C4"/>
    <w:rsid w:val="00D42696"/>
    <w:rsid w:val="00D43E19"/>
    <w:rsid w:val="00D468EE"/>
    <w:rsid w:val="00D50765"/>
    <w:rsid w:val="00D50CD3"/>
    <w:rsid w:val="00D70D0B"/>
    <w:rsid w:val="00D84992"/>
    <w:rsid w:val="00D937E3"/>
    <w:rsid w:val="00D938F9"/>
    <w:rsid w:val="00D95879"/>
    <w:rsid w:val="00D962FB"/>
    <w:rsid w:val="00DA5EB9"/>
    <w:rsid w:val="00DB27F1"/>
    <w:rsid w:val="00DD225A"/>
    <w:rsid w:val="00DD27A7"/>
    <w:rsid w:val="00DD2C6A"/>
    <w:rsid w:val="00DD392D"/>
    <w:rsid w:val="00DD4EC2"/>
    <w:rsid w:val="00DD6275"/>
    <w:rsid w:val="00DD633A"/>
    <w:rsid w:val="00DE4C0D"/>
    <w:rsid w:val="00DF4DB8"/>
    <w:rsid w:val="00DF5718"/>
    <w:rsid w:val="00DF5E51"/>
    <w:rsid w:val="00E03053"/>
    <w:rsid w:val="00E05064"/>
    <w:rsid w:val="00E138E0"/>
    <w:rsid w:val="00E142DA"/>
    <w:rsid w:val="00E22AE3"/>
    <w:rsid w:val="00E22CE1"/>
    <w:rsid w:val="00E2741C"/>
    <w:rsid w:val="00E30811"/>
    <w:rsid w:val="00E31356"/>
    <w:rsid w:val="00E45E9B"/>
    <w:rsid w:val="00E64141"/>
    <w:rsid w:val="00E65583"/>
    <w:rsid w:val="00E67017"/>
    <w:rsid w:val="00E673B7"/>
    <w:rsid w:val="00E73B27"/>
    <w:rsid w:val="00E75D0B"/>
    <w:rsid w:val="00E83E85"/>
    <w:rsid w:val="00E8449E"/>
    <w:rsid w:val="00E87812"/>
    <w:rsid w:val="00E90225"/>
    <w:rsid w:val="00E93811"/>
    <w:rsid w:val="00E97260"/>
    <w:rsid w:val="00EA3595"/>
    <w:rsid w:val="00EA5801"/>
    <w:rsid w:val="00EA6377"/>
    <w:rsid w:val="00EB087E"/>
    <w:rsid w:val="00EB0D65"/>
    <w:rsid w:val="00EB506F"/>
    <w:rsid w:val="00EC1C10"/>
    <w:rsid w:val="00EC2169"/>
    <w:rsid w:val="00EC31D3"/>
    <w:rsid w:val="00EC69F6"/>
    <w:rsid w:val="00ED3996"/>
    <w:rsid w:val="00ED3D87"/>
    <w:rsid w:val="00ED5A58"/>
    <w:rsid w:val="00EE009B"/>
    <w:rsid w:val="00EE1D75"/>
    <w:rsid w:val="00EF2711"/>
    <w:rsid w:val="00EF2D8D"/>
    <w:rsid w:val="00F026C9"/>
    <w:rsid w:val="00F16B71"/>
    <w:rsid w:val="00F16C58"/>
    <w:rsid w:val="00F245C1"/>
    <w:rsid w:val="00F27415"/>
    <w:rsid w:val="00F3308A"/>
    <w:rsid w:val="00F36138"/>
    <w:rsid w:val="00F42967"/>
    <w:rsid w:val="00F519A3"/>
    <w:rsid w:val="00F55BC6"/>
    <w:rsid w:val="00F571EB"/>
    <w:rsid w:val="00F65464"/>
    <w:rsid w:val="00F70223"/>
    <w:rsid w:val="00F70BEF"/>
    <w:rsid w:val="00F70D38"/>
    <w:rsid w:val="00F739FE"/>
    <w:rsid w:val="00F7635D"/>
    <w:rsid w:val="00F858BD"/>
    <w:rsid w:val="00FA0CB1"/>
    <w:rsid w:val="00FA11F4"/>
    <w:rsid w:val="00FB470E"/>
    <w:rsid w:val="00FB77D5"/>
    <w:rsid w:val="00FC78ED"/>
    <w:rsid w:val="00FD065B"/>
    <w:rsid w:val="00FD093E"/>
    <w:rsid w:val="00FD59D9"/>
    <w:rsid w:val="00FE2D53"/>
    <w:rsid w:val="00FF2214"/>
    <w:rsid w:val="00FF7C2C"/>
    <w:rsid w:val="542407D0"/>
    <w:rsid w:val="56E75300"/>
  </w:rsids>
  <m:mathPr>
    <m:mathFont m:val="Cambria Math"/>
    <m:brkBin m:val="before"/>
    <m:brkBinSub m:val="--"/>
    <m:smallFrac m:val="0"/>
    <m:dispDef/>
    <m:lMargin m:val="0"/>
    <m:rMargin m:val="0"/>
    <m:defJc m:val="centerGroup"/>
    <m:wrapIndent m:val="1440"/>
    <m:intLim m:val="subSup"/>
    <m:naryLim m:val="undOvr"/>
  </m:mathPr>
  <w:themeFontLang w:val="es-P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79550656"/>
  <w15:docId w15:val="{31EE50A7-F005-43BD-9F6D-5D63C61CA4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qFormat="1"/>
    <w:lsdException w:name="annotation text" w:qFormat="1"/>
    <w:lsdException w:name="header" w:uiPriority="0"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line number" w:uiPriority="0" w:qFormat="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s-PR"/>
    </w:rPr>
  </w:style>
  <w:style w:type="paragraph" w:styleId="Heading1">
    <w:name w:val="heading 1"/>
    <w:basedOn w:val="Normal"/>
    <w:next w:val="Normal"/>
    <w:link w:val="Heading1Char"/>
    <w:qFormat/>
    <w:pPr>
      <w:spacing w:line="480" w:lineRule="auto"/>
      <w:ind w:firstLine="720"/>
      <w:jc w:val="both"/>
      <w:outlineLvl w:val="0"/>
    </w:pPr>
    <w:rPr>
      <w:rFonts w:ascii="Book Antiqua" w:hAnsi="Book Antiqua"/>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qFormat/>
    <w:rPr>
      <w:rFonts w:ascii="Segoe UI" w:hAnsi="Segoe UI" w:cs="Segoe UI"/>
      <w:sz w:val="18"/>
      <w:szCs w:val="18"/>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qFormat/>
    <w:rPr>
      <w:sz w:val="20"/>
    </w:rPr>
  </w:style>
  <w:style w:type="paragraph" w:styleId="CommentSubject">
    <w:name w:val="annotation subject"/>
    <w:basedOn w:val="CommentText"/>
    <w:next w:val="CommentText"/>
    <w:link w:val="CommentSubjectChar"/>
    <w:semiHidden/>
    <w:unhideWhenUsed/>
    <w:qFormat/>
    <w:rPr>
      <w:b/>
      <w:bCs/>
    </w:rPr>
  </w:style>
  <w:style w:type="paragraph" w:styleId="Footer">
    <w:name w:val="footer"/>
    <w:basedOn w:val="Normal"/>
    <w:qFormat/>
    <w:pPr>
      <w:tabs>
        <w:tab w:val="center" w:pos="4320"/>
        <w:tab w:val="right" w:pos="8640"/>
      </w:tabs>
    </w:pPr>
  </w:style>
  <w:style w:type="character" w:styleId="FootnoteReference">
    <w:name w:val="footnote reference"/>
    <w:qFormat/>
    <w:rPr>
      <w:vertAlign w:val="superscript"/>
    </w:rPr>
  </w:style>
  <w:style w:type="paragraph" w:styleId="FootnoteText">
    <w:name w:val="footnote text"/>
    <w:basedOn w:val="Normal"/>
    <w:link w:val="FootnoteTextChar"/>
    <w:qFormat/>
    <w:rPr>
      <w:sz w:val="20"/>
    </w:rPr>
  </w:style>
  <w:style w:type="paragraph" w:styleId="Header">
    <w:name w:val="header"/>
    <w:basedOn w:val="Normal"/>
    <w:link w:val="HeaderChar"/>
    <w:qFormat/>
    <w:pPr>
      <w:tabs>
        <w:tab w:val="center" w:pos="4320"/>
        <w:tab w:val="right" w:pos="8640"/>
      </w:tabs>
    </w:pPr>
  </w:style>
  <w:style w:type="character" w:styleId="Hyperlink">
    <w:name w:val="Hyperlink"/>
    <w:basedOn w:val="DefaultParagraphFont"/>
    <w:rPr>
      <w:color w:val="0563C1" w:themeColor="hyperlink"/>
      <w:u w:val="single"/>
    </w:rPr>
  </w:style>
  <w:style w:type="character" w:styleId="LineNumber">
    <w:name w:val="line number"/>
    <w:basedOn w:val="DefaultParagraphFont"/>
    <w:qFormat/>
  </w:style>
  <w:style w:type="character" w:styleId="PageNumber">
    <w:name w:val="page number"/>
    <w:basedOn w:val="DefaultParagraphFont"/>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
    <w:name w:val="Table Normal1"/>
    <w:qFormat/>
    <w:tblPr>
      <w:tblCellMar>
        <w:top w:w="0" w:type="dxa"/>
        <w:left w:w="0" w:type="dxa"/>
        <w:bottom w:w="0" w:type="dxa"/>
        <w:right w:w="0" w:type="dxa"/>
      </w:tblCellMar>
    </w:tblPr>
  </w:style>
  <w:style w:type="paragraph" w:customStyle="1" w:styleId="Title2">
    <w:name w:val="Title2"/>
    <w:basedOn w:val="Normal"/>
    <w:next w:val="Normal"/>
    <w:qFormat/>
    <w:pPr>
      <w:tabs>
        <w:tab w:val="left" w:pos="648"/>
        <w:tab w:val="right" w:pos="7776"/>
        <w:tab w:val="left" w:pos="7848"/>
      </w:tabs>
    </w:pPr>
  </w:style>
  <w:style w:type="paragraph" w:customStyle="1" w:styleId="Firmas">
    <w:name w:val="Firmas"/>
    <w:basedOn w:val="Normal"/>
    <w:qFormat/>
    <w:pPr>
      <w:tabs>
        <w:tab w:val="center" w:pos="1440"/>
        <w:tab w:val="center" w:pos="7200"/>
      </w:tabs>
    </w:pPr>
  </w:style>
  <w:style w:type="character" w:customStyle="1" w:styleId="FootnoteTextChar">
    <w:name w:val="Footnote Text Char"/>
    <w:basedOn w:val="DefaultParagraphFont"/>
    <w:link w:val="FootnoteText"/>
    <w:qFormat/>
  </w:style>
  <w:style w:type="character" w:customStyle="1" w:styleId="BalloonTextChar">
    <w:name w:val="Balloon Text Char"/>
    <w:link w:val="BalloonText"/>
    <w:qFormat/>
    <w:rPr>
      <w:rFonts w:ascii="Segoe UI" w:hAnsi="Segoe UI" w:cs="Segoe UI"/>
      <w:sz w:val="18"/>
      <w:szCs w:val="18"/>
    </w:rPr>
  </w:style>
  <w:style w:type="character" w:customStyle="1" w:styleId="CommentTextChar">
    <w:name w:val="Comment Text Char"/>
    <w:link w:val="CommentText"/>
    <w:uiPriority w:val="99"/>
    <w:qFormat/>
    <w:rPr>
      <w:lang w:val="en-US" w:eastAsia="en-US"/>
    </w:rPr>
  </w:style>
  <w:style w:type="character" w:customStyle="1" w:styleId="CommentSubjectChar">
    <w:name w:val="Comment Subject Char"/>
    <w:link w:val="CommentSubject"/>
    <w:semiHidden/>
    <w:qFormat/>
    <w:rPr>
      <w:b/>
      <w:bCs/>
      <w:lang w:val="en-US" w:eastAsia="en-US"/>
    </w:rPr>
  </w:style>
  <w:style w:type="paragraph" w:styleId="ListParagraph">
    <w:name w:val="List Paragraph"/>
    <w:basedOn w:val="Normal"/>
    <w:uiPriority w:val="99"/>
    <w:qFormat/>
    <w:pPr>
      <w:ind w:left="720"/>
      <w:contextualSpacing/>
    </w:pPr>
  </w:style>
  <w:style w:type="paragraph" w:customStyle="1" w:styleId="Revision1">
    <w:name w:val="Revision1"/>
    <w:hidden/>
    <w:uiPriority w:val="99"/>
    <w:semiHidden/>
    <w:qFormat/>
    <w:rPr>
      <w:sz w:val="24"/>
      <w:szCs w:val="24"/>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customStyle="1" w:styleId="paragraph">
    <w:name w:val="paragraph"/>
    <w:basedOn w:val="Normal"/>
    <w:qFormat/>
    <w:pPr>
      <w:spacing w:before="100" w:beforeAutospacing="1" w:after="100" w:afterAutospacing="1"/>
    </w:pPr>
    <w:rPr>
      <w:rFonts w:eastAsiaTheme="minorEastAsia"/>
    </w:rPr>
  </w:style>
  <w:style w:type="character" w:customStyle="1" w:styleId="normaltextrun">
    <w:name w:val="normaltextrun"/>
    <w:basedOn w:val="DefaultParagraphFont"/>
    <w:qFormat/>
  </w:style>
  <w:style w:type="character" w:customStyle="1" w:styleId="eop">
    <w:name w:val="eop"/>
    <w:basedOn w:val="DefaultParagraphFont"/>
    <w:qFormat/>
  </w:style>
  <w:style w:type="character" w:customStyle="1" w:styleId="contextualspellingandgrammarerror">
    <w:name w:val="contextualspellingandgrammarerror"/>
    <w:basedOn w:val="DefaultParagraphFont"/>
    <w:qFormat/>
  </w:style>
  <w:style w:type="character" w:customStyle="1" w:styleId="spellingerror">
    <w:name w:val="spellingerror"/>
    <w:basedOn w:val="DefaultParagraphFont"/>
  </w:style>
  <w:style w:type="character" w:customStyle="1" w:styleId="HeaderChar">
    <w:name w:val="Header Char"/>
    <w:link w:val="Header"/>
    <w:qFormat/>
    <w:rPr>
      <w:sz w:val="24"/>
      <w:lang w:val="en-US" w:eastAsia="en-US"/>
    </w:rPr>
  </w:style>
  <w:style w:type="character" w:customStyle="1" w:styleId="markedcontent">
    <w:name w:val="markedcontent"/>
    <w:basedOn w:val="DefaultParagraphFont"/>
    <w:qFormat/>
  </w:style>
  <w:style w:type="table" w:customStyle="1" w:styleId="Style40">
    <w:name w:val="_Style 40"/>
    <w:basedOn w:val="TableNormal1"/>
    <w:qFormat/>
    <w:tblPr>
      <w:tblCellMar>
        <w:left w:w="108" w:type="dxa"/>
        <w:right w:w="108" w:type="dxa"/>
      </w:tblCellMar>
    </w:tblPr>
  </w:style>
  <w:style w:type="table" w:customStyle="1" w:styleId="Style41">
    <w:name w:val="_Style 41"/>
    <w:basedOn w:val="TableNormal1"/>
    <w:qFormat/>
    <w:tblPr>
      <w:tblCellMar>
        <w:left w:w="108" w:type="dxa"/>
        <w:right w:w="108" w:type="dxa"/>
      </w:tblCellMar>
    </w:tblPr>
  </w:style>
  <w:style w:type="table" w:customStyle="1" w:styleId="Style42">
    <w:name w:val="_Style 42"/>
    <w:basedOn w:val="TableNormal1"/>
    <w:tblPr>
      <w:tblCellMar>
        <w:left w:w="108" w:type="dxa"/>
        <w:right w:w="108" w:type="dxa"/>
      </w:tblCellMar>
    </w:tblPr>
  </w:style>
  <w:style w:type="table" w:customStyle="1" w:styleId="Style43">
    <w:name w:val="_Style 43"/>
    <w:basedOn w:val="TableNormal1"/>
    <w:qFormat/>
    <w:tblPr>
      <w:tblCellMar>
        <w:left w:w="108" w:type="dxa"/>
        <w:right w:w="108" w:type="dxa"/>
      </w:tblCellMar>
    </w:tblPr>
  </w:style>
  <w:style w:type="paragraph" w:styleId="Revision">
    <w:name w:val="Revision"/>
    <w:hidden/>
    <w:uiPriority w:val="99"/>
    <w:semiHidden/>
    <w:rsid w:val="00891773"/>
    <w:rPr>
      <w:sz w:val="24"/>
      <w:szCs w:val="24"/>
    </w:rPr>
  </w:style>
  <w:style w:type="paragraph" w:styleId="BodyText">
    <w:name w:val="Body Text"/>
    <w:basedOn w:val="Normal"/>
    <w:link w:val="BodyTextChar"/>
    <w:qFormat/>
    <w:rsid w:val="009061B2"/>
    <w:pPr>
      <w:jc w:val="both"/>
    </w:pPr>
  </w:style>
  <w:style w:type="character" w:customStyle="1" w:styleId="BodyTextChar">
    <w:name w:val="Body Text Char"/>
    <w:basedOn w:val="DefaultParagraphFont"/>
    <w:link w:val="BodyText"/>
    <w:rsid w:val="009061B2"/>
    <w:rPr>
      <w:sz w:val="24"/>
      <w:szCs w:val="24"/>
      <w:lang w:val="es-PR"/>
    </w:rPr>
  </w:style>
  <w:style w:type="paragraph" w:customStyle="1" w:styleId="default">
    <w:name w:val="default"/>
    <w:basedOn w:val="Normal"/>
    <w:rsid w:val="00465256"/>
    <w:pPr>
      <w:autoSpaceDE w:val="0"/>
      <w:autoSpaceDN w:val="0"/>
    </w:pPr>
    <w:rPr>
      <w:rFonts w:ascii="DXANP N+ Serifa B T," w:hAnsi="DXANP N+ Serifa B T,"/>
      <w:color w:val="000000"/>
    </w:rPr>
  </w:style>
  <w:style w:type="paragraph" w:styleId="NormalWeb">
    <w:name w:val="Normal (Web)"/>
    <w:basedOn w:val="Normal"/>
    <w:unhideWhenUsed/>
    <w:rsid w:val="000B77A8"/>
    <w:pPr>
      <w:spacing w:before="100" w:beforeAutospacing="1" w:after="100" w:afterAutospacing="1"/>
    </w:pPr>
  </w:style>
  <w:style w:type="character" w:customStyle="1" w:styleId="Heading1Char">
    <w:name w:val="Heading 1 Char"/>
    <w:basedOn w:val="DefaultParagraphFont"/>
    <w:link w:val="Heading1"/>
    <w:rsid w:val="00226D6B"/>
    <w:rPr>
      <w:rFonts w:ascii="Book Antiqua" w:hAnsi="Book Antiqua"/>
      <w:sz w:val="24"/>
      <w:szCs w:val="24"/>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05511">
      <w:bodyDiv w:val="1"/>
      <w:marLeft w:val="0"/>
      <w:marRight w:val="0"/>
      <w:marTop w:val="0"/>
      <w:marBottom w:val="0"/>
      <w:divBdr>
        <w:top w:val="none" w:sz="0" w:space="0" w:color="auto"/>
        <w:left w:val="none" w:sz="0" w:space="0" w:color="auto"/>
        <w:bottom w:val="none" w:sz="0" w:space="0" w:color="auto"/>
        <w:right w:val="none" w:sz="0" w:space="0" w:color="auto"/>
      </w:divBdr>
    </w:div>
    <w:div w:id="756948593">
      <w:bodyDiv w:val="1"/>
      <w:marLeft w:val="0"/>
      <w:marRight w:val="0"/>
      <w:marTop w:val="0"/>
      <w:marBottom w:val="0"/>
      <w:divBdr>
        <w:top w:val="none" w:sz="0" w:space="0" w:color="auto"/>
        <w:left w:val="none" w:sz="0" w:space="0" w:color="auto"/>
        <w:bottom w:val="none" w:sz="0" w:space="0" w:color="auto"/>
        <w:right w:val="none" w:sz="0" w:space="0" w:color="auto"/>
      </w:divBdr>
    </w:div>
    <w:div w:id="985890094">
      <w:bodyDiv w:val="1"/>
      <w:marLeft w:val="0"/>
      <w:marRight w:val="0"/>
      <w:marTop w:val="0"/>
      <w:marBottom w:val="0"/>
      <w:divBdr>
        <w:top w:val="none" w:sz="0" w:space="0" w:color="auto"/>
        <w:left w:val="none" w:sz="0" w:space="0" w:color="auto"/>
        <w:bottom w:val="none" w:sz="0" w:space="0" w:color="auto"/>
        <w:right w:val="none" w:sz="0" w:space="0" w:color="auto"/>
      </w:divBdr>
    </w:div>
    <w:div w:id="1077828967">
      <w:bodyDiv w:val="1"/>
      <w:marLeft w:val="0"/>
      <w:marRight w:val="0"/>
      <w:marTop w:val="0"/>
      <w:marBottom w:val="0"/>
      <w:divBdr>
        <w:top w:val="none" w:sz="0" w:space="0" w:color="auto"/>
        <w:left w:val="none" w:sz="0" w:space="0" w:color="auto"/>
        <w:bottom w:val="none" w:sz="0" w:space="0" w:color="auto"/>
        <w:right w:val="none" w:sz="0" w:space="0" w:color="auto"/>
      </w:divBdr>
    </w:div>
    <w:div w:id="1172840640">
      <w:bodyDiv w:val="1"/>
      <w:marLeft w:val="0"/>
      <w:marRight w:val="0"/>
      <w:marTop w:val="0"/>
      <w:marBottom w:val="0"/>
      <w:divBdr>
        <w:top w:val="none" w:sz="0" w:space="0" w:color="auto"/>
        <w:left w:val="none" w:sz="0" w:space="0" w:color="auto"/>
        <w:bottom w:val="none" w:sz="0" w:space="0" w:color="auto"/>
        <w:right w:val="none" w:sz="0" w:space="0" w:color="auto"/>
      </w:divBdr>
    </w:div>
    <w:div w:id="1695420421">
      <w:bodyDiv w:val="1"/>
      <w:marLeft w:val="0"/>
      <w:marRight w:val="0"/>
      <w:marTop w:val="0"/>
      <w:marBottom w:val="0"/>
      <w:divBdr>
        <w:top w:val="none" w:sz="0" w:space="0" w:color="auto"/>
        <w:left w:val="none" w:sz="0" w:space="0" w:color="auto"/>
        <w:bottom w:val="none" w:sz="0" w:space="0" w:color="auto"/>
        <w:right w:val="none" w:sz="0" w:space="0" w:color="auto"/>
      </w:divBdr>
    </w:div>
    <w:div w:id="1778401605">
      <w:bodyDiv w:val="1"/>
      <w:marLeft w:val="0"/>
      <w:marRight w:val="0"/>
      <w:marTop w:val="0"/>
      <w:marBottom w:val="0"/>
      <w:divBdr>
        <w:top w:val="none" w:sz="0" w:space="0" w:color="auto"/>
        <w:left w:val="none" w:sz="0" w:space="0" w:color="auto"/>
        <w:bottom w:val="none" w:sz="0" w:space="0" w:color="auto"/>
        <w:right w:val="none" w:sz="0" w:space="0" w:color="auto"/>
      </w:divBdr>
      <w:divsChild>
        <w:div w:id="589853890">
          <w:marLeft w:val="0"/>
          <w:marRight w:val="0"/>
          <w:marTop w:val="0"/>
          <w:marBottom w:val="0"/>
          <w:divBdr>
            <w:top w:val="none" w:sz="0" w:space="0" w:color="auto"/>
            <w:left w:val="none" w:sz="0" w:space="0" w:color="auto"/>
            <w:bottom w:val="none" w:sz="0" w:space="0" w:color="auto"/>
            <w:right w:val="none" w:sz="0" w:space="0" w:color="auto"/>
          </w:divBdr>
          <w:divsChild>
            <w:div w:id="82334990">
              <w:marLeft w:val="0"/>
              <w:marRight w:val="0"/>
              <w:marTop w:val="0"/>
              <w:marBottom w:val="0"/>
              <w:divBdr>
                <w:top w:val="none" w:sz="0" w:space="0" w:color="auto"/>
                <w:left w:val="none" w:sz="0" w:space="0" w:color="auto"/>
                <w:bottom w:val="none" w:sz="0" w:space="0" w:color="auto"/>
                <w:right w:val="none" w:sz="0" w:space="0" w:color="auto"/>
              </w:divBdr>
            </w:div>
          </w:divsChild>
        </w:div>
        <w:div w:id="705981687">
          <w:marLeft w:val="0"/>
          <w:marRight w:val="0"/>
          <w:marTop w:val="0"/>
          <w:marBottom w:val="0"/>
          <w:divBdr>
            <w:top w:val="none" w:sz="0" w:space="0" w:color="auto"/>
            <w:left w:val="none" w:sz="0" w:space="0" w:color="auto"/>
            <w:bottom w:val="none" w:sz="0" w:space="0" w:color="auto"/>
            <w:right w:val="none" w:sz="0" w:space="0" w:color="auto"/>
          </w:divBdr>
          <w:divsChild>
            <w:div w:id="1468159046">
              <w:marLeft w:val="0"/>
              <w:marRight w:val="0"/>
              <w:marTop w:val="0"/>
              <w:marBottom w:val="0"/>
              <w:divBdr>
                <w:top w:val="none" w:sz="0" w:space="0" w:color="auto"/>
                <w:left w:val="none" w:sz="0" w:space="0" w:color="auto"/>
                <w:bottom w:val="none" w:sz="0" w:space="0" w:color="auto"/>
                <w:right w:val="none" w:sz="0" w:space="0" w:color="auto"/>
              </w:divBdr>
              <w:divsChild>
                <w:div w:id="301663188">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442914033">
          <w:marLeft w:val="0"/>
          <w:marRight w:val="0"/>
          <w:marTop w:val="0"/>
          <w:marBottom w:val="0"/>
          <w:divBdr>
            <w:top w:val="none" w:sz="0" w:space="0" w:color="auto"/>
            <w:left w:val="none" w:sz="0" w:space="0" w:color="auto"/>
            <w:bottom w:val="none" w:sz="0" w:space="0" w:color="auto"/>
            <w:right w:val="none" w:sz="0" w:space="0" w:color="auto"/>
          </w:divBdr>
          <w:divsChild>
            <w:div w:id="1295792478">
              <w:marLeft w:val="0"/>
              <w:marRight w:val="0"/>
              <w:marTop w:val="0"/>
              <w:marBottom w:val="0"/>
              <w:divBdr>
                <w:top w:val="none" w:sz="0" w:space="0" w:color="auto"/>
                <w:left w:val="none" w:sz="0" w:space="0" w:color="auto"/>
                <w:bottom w:val="none" w:sz="0" w:space="0" w:color="auto"/>
                <w:right w:val="none" w:sz="0" w:space="0" w:color="auto"/>
              </w:divBdr>
              <w:divsChild>
                <w:div w:id="440339268">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1842892863">
      <w:bodyDiv w:val="1"/>
      <w:marLeft w:val="0"/>
      <w:marRight w:val="0"/>
      <w:marTop w:val="0"/>
      <w:marBottom w:val="0"/>
      <w:divBdr>
        <w:top w:val="none" w:sz="0" w:space="0" w:color="auto"/>
        <w:left w:val="none" w:sz="0" w:space="0" w:color="auto"/>
        <w:bottom w:val="none" w:sz="0" w:space="0" w:color="auto"/>
        <w:right w:val="none" w:sz="0" w:space="0" w:color="auto"/>
      </w:divBdr>
      <w:divsChild>
        <w:div w:id="289943278">
          <w:marLeft w:val="0"/>
          <w:marRight w:val="0"/>
          <w:marTop w:val="0"/>
          <w:marBottom w:val="0"/>
          <w:divBdr>
            <w:top w:val="none" w:sz="0" w:space="0" w:color="auto"/>
            <w:left w:val="none" w:sz="0" w:space="0" w:color="auto"/>
            <w:bottom w:val="none" w:sz="0" w:space="0" w:color="auto"/>
            <w:right w:val="none" w:sz="0" w:space="0" w:color="auto"/>
          </w:divBdr>
          <w:divsChild>
            <w:div w:id="1949577013">
              <w:marLeft w:val="0"/>
              <w:marRight w:val="0"/>
              <w:marTop w:val="0"/>
              <w:marBottom w:val="0"/>
              <w:divBdr>
                <w:top w:val="none" w:sz="0" w:space="0" w:color="auto"/>
                <w:left w:val="none" w:sz="0" w:space="0" w:color="auto"/>
                <w:bottom w:val="none" w:sz="0" w:space="0" w:color="auto"/>
                <w:right w:val="none" w:sz="0" w:space="0" w:color="auto"/>
              </w:divBdr>
            </w:div>
          </w:divsChild>
        </w:div>
        <w:div w:id="1063452766">
          <w:marLeft w:val="0"/>
          <w:marRight w:val="0"/>
          <w:marTop w:val="0"/>
          <w:marBottom w:val="0"/>
          <w:divBdr>
            <w:top w:val="none" w:sz="0" w:space="0" w:color="auto"/>
            <w:left w:val="none" w:sz="0" w:space="0" w:color="auto"/>
            <w:bottom w:val="none" w:sz="0" w:space="0" w:color="auto"/>
            <w:right w:val="none" w:sz="0" w:space="0" w:color="auto"/>
          </w:divBdr>
          <w:divsChild>
            <w:div w:id="1370497011">
              <w:marLeft w:val="0"/>
              <w:marRight w:val="0"/>
              <w:marTop w:val="0"/>
              <w:marBottom w:val="0"/>
              <w:divBdr>
                <w:top w:val="none" w:sz="0" w:space="0" w:color="auto"/>
                <w:left w:val="none" w:sz="0" w:space="0" w:color="auto"/>
                <w:bottom w:val="none" w:sz="0" w:space="0" w:color="auto"/>
                <w:right w:val="none" w:sz="0" w:space="0" w:color="auto"/>
              </w:divBdr>
              <w:divsChild>
                <w:div w:id="114641183">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084718089">
          <w:marLeft w:val="0"/>
          <w:marRight w:val="0"/>
          <w:marTop w:val="0"/>
          <w:marBottom w:val="0"/>
          <w:divBdr>
            <w:top w:val="none" w:sz="0" w:space="0" w:color="auto"/>
            <w:left w:val="none" w:sz="0" w:space="0" w:color="auto"/>
            <w:bottom w:val="none" w:sz="0" w:space="0" w:color="auto"/>
            <w:right w:val="none" w:sz="0" w:space="0" w:color="auto"/>
          </w:divBdr>
          <w:divsChild>
            <w:div w:id="148250925">
              <w:marLeft w:val="0"/>
              <w:marRight w:val="0"/>
              <w:marTop w:val="0"/>
              <w:marBottom w:val="0"/>
              <w:divBdr>
                <w:top w:val="none" w:sz="0" w:space="0" w:color="auto"/>
                <w:left w:val="none" w:sz="0" w:space="0" w:color="auto"/>
                <w:bottom w:val="none" w:sz="0" w:space="0" w:color="auto"/>
                <w:right w:val="none" w:sz="0" w:space="0" w:color="auto"/>
              </w:divBdr>
              <w:divsChild>
                <w:div w:id="62064824">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1906599753">
      <w:bodyDiv w:val="1"/>
      <w:marLeft w:val="0"/>
      <w:marRight w:val="0"/>
      <w:marTop w:val="0"/>
      <w:marBottom w:val="0"/>
      <w:divBdr>
        <w:top w:val="none" w:sz="0" w:space="0" w:color="auto"/>
        <w:left w:val="none" w:sz="0" w:space="0" w:color="auto"/>
        <w:bottom w:val="none" w:sz="0" w:space="0" w:color="auto"/>
        <w:right w:val="none" w:sz="0" w:space="0" w:color="auto"/>
      </w:divBdr>
    </w:div>
    <w:div w:id="19142010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ACA031-701D-4F1C-AE51-EA25C8F200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885</Words>
  <Characters>4868</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Augusto Martínez</dc:creator>
  <cp:keywords/>
  <cp:lastModifiedBy>Gloria de Jesús Maldonado</cp:lastModifiedBy>
  <cp:revision>2</cp:revision>
  <cp:lastPrinted>2025-09-10T17:30:00Z</cp:lastPrinted>
  <dcterms:created xsi:type="dcterms:W3CDTF">2025-09-12T19:26:00Z</dcterms:created>
  <dcterms:modified xsi:type="dcterms:W3CDTF">2025-09-12T19:26:00Z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7FE7834F39DE482CA4F0A50B2758235F_13</vt:lpwstr>
  </property>
</Properties>
</file>