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B13BE3" w:rsidRDefault="00850770">
      <w:pPr>
        <w:jc w:val="center"/>
        <w:rPr>
          <w:rFonts w:ascii="Book Antiqua" w:eastAsia="Book Antiqua" w:hAnsi="Book Antiqua" w:cs="Book Antiqua"/>
          <w:bCs/>
          <w:color w:val="000000" w:themeColor="text1"/>
          <w:sz w:val="28"/>
          <w:szCs w:val="28"/>
        </w:rPr>
      </w:pPr>
      <w:r w:rsidRPr="00B13BE3">
        <w:rPr>
          <w:rFonts w:ascii="Book Antiqua" w:eastAsia="Book Antiqua" w:hAnsi="Book Antiqua" w:cs="Book Antiqua"/>
          <w:bCs/>
          <w:color w:val="000000" w:themeColor="text1"/>
          <w:sz w:val="28"/>
          <w:szCs w:val="28"/>
        </w:rPr>
        <w:t xml:space="preserve">GOBIERNO DE </w:t>
      </w:r>
      <w:sdt>
        <w:sdtPr>
          <w:rPr>
            <w:bCs/>
            <w:color w:val="000000" w:themeColor="text1"/>
            <w:sz w:val="28"/>
            <w:szCs w:val="28"/>
          </w:rPr>
          <w:tag w:val="goog_rdk_0"/>
          <w:id w:val="-2063775325"/>
        </w:sdtPr>
        <w:sdtEndPr/>
        <w:sdtContent/>
      </w:sdt>
      <w:r w:rsidRPr="00B13BE3">
        <w:rPr>
          <w:rFonts w:ascii="Book Antiqua" w:eastAsia="Book Antiqua" w:hAnsi="Book Antiqua" w:cs="Book Antiqua"/>
          <w:bCs/>
          <w:color w:val="000000" w:themeColor="text1"/>
          <w:sz w:val="28"/>
          <w:szCs w:val="28"/>
        </w:rPr>
        <w:t>PUERTO RICO</w:t>
      </w:r>
    </w:p>
    <w:p w14:paraId="79550657" w14:textId="77777777" w:rsidR="00FF2214" w:rsidRPr="007F2135" w:rsidRDefault="00FF2214">
      <w:pPr>
        <w:jc w:val="center"/>
        <w:rPr>
          <w:rFonts w:ascii="Book Antiqua" w:eastAsia="Book Antiqua" w:hAnsi="Book Antiqua" w:cs="Book Antiqua"/>
          <w:color w:val="000000" w:themeColor="text1"/>
        </w:rPr>
      </w:pPr>
    </w:p>
    <w:p w14:paraId="79550658" w14:textId="77777777" w:rsidR="00FF2214" w:rsidRPr="007F2135" w:rsidRDefault="00850770">
      <w:pPr>
        <w:tabs>
          <w:tab w:val="left" w:pos="648"/>
          <w:tab w:val="right" w:pos="7776"/>
          <w:tab w:val="left" w:pos="7848"/>
        </w:tabs>
        <w:rPr>
          <w:rFonts w:ascii="Book Antiqua" w:eastAsia="Book Antiqua" w:hAnsi="Book Antiqua" w:cs="Book Antiqua"/>
          <w:color w:val="000000" w:themeColor="text1"/>
        </w:rPr>
      </w:pPr>
      <w:r w:rsidRPr="007F2135">
        <w:rPr>
          <w:rFonts w:ascii="Book Antiqua" w:eastAsia="Book Antiqua" w:hAnsi="Book Antiqua" w:cs="Book Antiqua"/>
          <w:color w:val="000000" w:themeColor="text1"/>
        </w:rPr>
        <w:t xml:space="preserve">20 </w:t>
      </w:r>
      <w:r w:rsidRPr="007F2135">
        <w:rPr>
          <w:rFonts w:ascii="Book Antiqua" w:eastAsia="Book Antiqua" w:hAnsi="Book Antiqua" w:cs="Book Antiqua"/>
          <w:color w:val="000000" w:themeColor="text1"/>
          <w:vertAlign w:val="superscript"/>
        </w:rPr>
        <w:t>ma.</w:t>
      </w:r>
      <w:r w:rsidRPr="007F2135">
        <w:rPr>
          <w:rFonts w:ascii="Book Antiqua" w:eastAsia="Book Antiqua" w:hAnsi="Book Antiqua" w:cs="Book Antiqua"/>
          <w:color w:val="000000" w:themeColor="text1"/>
        </w:rPr>
        <w:tab/>
        <w:t>Asamblea</w:t>
      </w:r>
      <w:r w:rsidRPr="007F2135">
        <w:rPr>
          <w:rFonts w:ascii="Book Antiqua" w:eastAsia="Book Antiqua" w:hAnsi="Book Antiqua" w:cs="Book Antiqua"/>
          <w:color w:val="000000" w:themeColor="text1"/>
        </w:rPr>
        <w:tab/>
        <w:t>1</w:t>
      </w:r>
      <w:r w:rsidRPr="007F2135">
        <w:rPr>
          <w:rFonts w:ascii="Book Antiqua" w:eastAsia="Book Antiqua" w:hAnsi="Book Antiqua" w:cs="Book Antiqua"/>
          <w:color w:val="000000" w:themeColor="text1"/>
          <w:vertAlign w:val="superscript"/>
        </w:rPr>
        <w:t>ra.</w:t>
      </w:r>
      <w:r w:rsidRPr="007F2135">
        <w:rPr>
          <w:rFonts w:ascii="Book Antiqua" w:eastAsia="Book Antiqua" w:hAnsi="Book Antiqua" w:cs="Book Antiqua"/>
          <w:color w:val="000000" w:themeColor="text1"/>
          <w:vertAlign w:val="superscript"/>
        </w:rPr>
        <w:tab/>
      </w:r>
      <w:r w:rsidRPr="007F2135">
        <w:rPr>
          <w:rFonts w:ascii="Book Antiqua" w:eastAsia="Book Antiqua" w:hAnsi="Book Antiqua" w:cs="Book Antiqua"/>
          <w:color w:val="000000" w:themeColor="text1"/>
        </w:rPr>
        <w:t>Sesión</w:t>
      </w:r>
    </w:p>
    <w:p w14:paraId="79550659" w14:textId="77777777" w:rsidR="00FF2214" w:rsidRPr="007F2135" w:rsidRDefault="00850770">
      <w:pPr>
        <w:tabs>
          <w:tab w:val="left" w:pos="648"/>
          <w:tab w:val="right" w:pos="7776"/>
          <w:tab w:val="left" w:pos="7848"/>
        </w:tabs>
        <w:rPr>
          <w:rFonts w:ascii="Book Antiqua" w:eastAsia="Book Antiqua" w:hAnsi="Book Antiqua" w:cs="Book Antiqua"/>
          <w:color w:val="000000" w:themeColor="text1"/>
        </w:rPr>
      </w:pPr>
      <w:r w:rsidRPr="007F2135">
        <w:rPr>
          <w:rFonts w:ascii="Book Antiqua" w:eastAsia="Book Antiqua" w:hAnsi="Book Antiqua" w:cs="Book Antiqua"/>
          <w:color w:val="000000" w:themeColor="text1"/>
        </w:rPr>
        <w:tab/>
        <w:t>Legislativa</w:t>
      </w:r>
      <w:r w:rsidRPr="007F2135">
        <w:rPr>
          <w:rFonts w:ascii="Book Antiqua" w:eastAsia="Book Antiqua" w:hAnsi="Book Antiqua" w:cs="Book Antiqua"/>
          <w:color w:val="000000" w:themeColor="text1"/>
        </w:rPr>
        <w:tab/>
      </w:r>
      <w:r w:rsidRPr="007F2135">
        <w:rPr>
          <w:rFonts w:ascii="Book Antiqua" w:eastAsia="Book Antiqua" w:hAnsi="Book Antiqua" w:cs="Book Antiqua"/>
          <w:color w:val="000000" w:themeColor="text1"/>
        </w:rPr>
        <w:tab/>
        <w:t>Ordinaria</w:t>
      </w:r>
    </w:p>
    <w:p w14:paraId="7955065A" w14:textId="77777777" w:rsidR="00FF2214" w:rsidRPr="007F2135" w:rsidRDefault="00FF2214">
      <w:pPr>
        <w:rPr>
          <w:rFonts w:ascii="Book Antiqua" w:eastAsia="Book Antiqua" w:hAnsi="Book Antiqua" w:cs="Book Antiqua"/>
          <w:color w:val="000000" w:themeColor="text1"/>
        </w:rPr>
      </w:pPr>
    </w:p>
    <w:p w14:paraId="32A931BE" w14:textId="77777777" w:rsidR="00950505" w:rsidRPr="007F2135" w:rsidRDefault="00950505" w:rsidP="00950505">
      <w:pPr>
        <w:jc w:val="center"/>
        <w:rPr>
          <w:rFonts w:ascii="Book Antiqua" w:hAnsi="Book Antiqua"/>
          <w:b/>
          <w:color w:val="000000" w:themeColor="text1"/>
          <w:sz w:val="36"/>
          <w:szCs w:val="36"/>
        </w:rPr>
      </w:pPr>
      <w:r w:rsidRPr="007F2135">
        <w:rPr>
          <w:rFonts w:ascii="Book Antiqua" w:hAnsi="Book Antiqua"/>
          <w:b/>
          <w:color w:val="000000" w:themeColor="text1"/>
          <w:sz w:val="36"/>
          <w:szCs w:val="36"/>
        </w:rPr>
        <w:t>CÁMARA DE REPRESENTANTES</w:t>
      </w:r>
    </w:p>
    <w:p w14:paraId="1FE61380" w14:textId="77777777" w:rsidR="00950505" w:rsidRPr="007F2135" w:rsidRDefault="00950505" w:rsidP="00950505">
      <w:pPr>
        <w:jc w:val="center"/>
        <w:rPr>
          <w:rFonts w:ascii="Book Antiqua" w:hAnsi="Book Antiqua"/>
          <w:color w:val="000000" w:themeColor="text1"/>
        </w:rPr>
      </w:pPr>
    </w:p>
    <w:p w14:paraId="5886E84B" w14:textId="1F1EA219" w:rsidR="00950505" w:rsidRPr="007F2135" w:rsidRDefault="00950505" w:rsidP="00950505">
      <w:pPr>
        <w:jc w:val="center"/>
        <w:rPr>
          <w:rFonts w:ascii="Book Antiqua" w:hAnsi="Book Antiqua"/>
          <w:b/>
          <w:color w:val="000000" w:themeColor="text1"/>
          <w:sz w:val="52"/>
          <w:szCs w:val="52"/>
        </w:rPr>
      </w:pPr>
      <w:r w:rsidRPr="007F2135">
        <w:rPr>
          <w:rFonts w:ascii="Book Antiqua" w:hAnsi="Book Antiqua"/>
          <w:b/>
          <w:color w:val="000000" w:themeColor="text1"/>
          <w:sz w:val="52"/>
          <w:szCs w:val="52"/>
        </w:rPr>
        <w:t>P. de la C.</w:t>
      </w:r>
      <w:r w:rsidR="009160BD">
        <w:rPr>
          <w:rFonts w:ascii="Book Antiqua" w:hAnsi="Book Antiqua"/>
          <w:b/>
          <w:color w:val="000000" w:themeColor="text1"/>
          <w:sz w:val="52"/>
          <w:szCs w:val="52"/>
        </w:rPr>
        <w:t xml:space="preserve"> 503</w:t>
      </w:r>
    </w:p>
    <w:p w14:paraId="4A8A7A6F" w14:textId="77777777" w:rsidR="00950505" w:rsidRPr="007F2135" w:rsidRDefault="00950505" w:rsidP="00950505">
      <w:pPr>
        <w:jc w:val="center"/>
        <w:rPr>
          <w:rFonts w:ascii="Book Antiqua" w:hAnsi="Book Antiqua"/>
          <w:color w:val="000000" w:themeColor="text1"/>
        </w:rPr>
      </w:pPr>
    </w:p>
    <w:p w14:paraId="3D87D176" w14:textId="4EA89959" w:rsidR="00950505" w:rsidRPr="007F2135" w:rsidRDefault="009160BD" w:rsidP="00950505">
      <w:pPr>
        <w:jc w:val="center"/>
        <w:rPr>
          <w:rFonts w:ascii="Book Antiqua" w:hAnsi="Book Antiqua"/>
          <w:b/>
          <w:color w:val="000000" w:themeColor="text1"/>
          <w:sz w:val="48"/>
        </w:rPr>
      </w:pPr>
      <w:r>
        <w:rPr>
          <w:rFonts w:ascii="Book Antiqua" w:hAnsi="Book Antiqua"/>
          <w:caps/>
          <w:color w:val="000000" w:themeColor="text1"/>
        </w:rPr>
        <w:t xml:space="preserve">4 </w:t>
      </w:r>
      <w:r w:rsidR="00950505" w:rsidRPr="007F2135">
        <w:rPr>
          <w:rFonts w:ascii="Book Antiqua" w:hAnsi="Book Antiqua"/>
          <w:caps/>
          <w:color w:val="000000" w:themeColor="text1"/>
        </w:rPr>
        <w:t xml:space="preserve">de </w:t>
      </w:r>
      <w:r w:rsidR="00864305" w:rsidRPr="007F2135">
        <w:rPr>
          <w:rFonts w:ascii="Book Antiqua" w:hAnsi="Book Antiqua"/>
          <w:caps/>
          <w:color w:val="000000" w:themeColor="text1"/>
        </w:rPr>
        <w:t>abril</w:t>
      </w:r>
      <w:r w:rsidR="00950505" w:rsidRPr="007F2135">
        <w:rPr>
          <w:rFonts w:ascii="Book Antiqua" w:hAnsi="Book Antiqua"/>
          <w:caps/>
          <w:color w:val="000000" w:themeColor="text1"/>
        </w:rPr>
        <w:t xml:space="preserve"> de</w:t>
      </w:r>
      <w:r w:rsidR="00950505" w:rsidRPr="007F2135">
        <w:rPr>
          <w:rFonts w:ascii="Book Antiqua" w:hAnsi="Book Antiqua"/>
          <w:color w:val="000000" w:themeColor="text1"/>
          <w:sz w:val="22"/>
          <w:szCs w:val="22"/>
        </w:rPr>
        <w:t xml:space="preserve"> </w:t>
      </w:r>
      <w:r w:rsidR="00950505" w:rsidRPr="007F2135">
        <w:rPr>
          <w:rFonts w:ascii="Book Antiqua" w:hAnsi="Book Antiqua"/>
          <w:color w:val="000000" w:themeColor="text1"/>
        </w:rPr>
        <w:t>2025</w:t>
      </w:r>
    </w:p>
    <w:p w14:paraId="1E7B6D3E" w14:textId="77777777" w:rsidR="00950505" w:rsidRPr="007F2135" w:rsidRDefault="00950505" w:rsidP="00950505">
      <w:pPr>
        <w:jc w:val="center"/>
        <w:rPr>
          <w:rFonts w:ascii="Book Antiqua" w:hAnsi="Book Antiqua"/>
          <w:color w:val="000000" w:themeColor="text1"/>
        </w:rPr>
      </w:pPr>
    </w:p>
    <w:p w14:paraId="001AA10B" w14:textId="2388B596" w:rsidR="00950505" w:rsidRPr="007F2135" w:rsidRDefault="00950505" w:rsidP="00B00227">
      <w:pPr>
        <w:ind w:left="810" w:hanging="810"/>
        <w:jc w:val="both"/>
        <w:rPr>
          <w:rFonts w:ascii="Book Antiqua" w:eastAsia="Aptos" w:hAnsi="Book Antiqua"/>
          <w:i/>
          <w:iCs/>
          <w:kern w:val="2"/>
          <w14:ligatures w14:val="standardContextual"/>
        </w:rPr>
      </w:pPr>
      <w:r w:rsidRPr="007F2135">
        <w:rPr>
          <w:rFonts w:ascii="Book Antiqua" w:hAnsi="Book Antiqua"/>
          <w:color w:val="000000" w:themeColor="text1"/>
        </w:rPr>
        <w:t xml:space="preserve">Presentado </w:t>
      </w:r>
      <w:r w:rsidR="00B02CD9" w:rsidRPr="007F2135">
        <w:rPr>
          <w:rFonts w:ascii="Book Antiqua" w:eastAsia="Book Antiqua" w:hAnsi="Book Antiqua" w:cs="Book Antiqua"/>
          <w:color w:val="000000" w:themeColor="text1"/>
        </w:rPr>
        <w:t xml:space="preserve">por </w:t>
      </w:r>
      <w:r w:rsidR="00B02CD9" w:rsidRPr="007F2135">
        <w:rPr>
          <w:rFonts w:ascii="Book Antiqua" w:hAnsi="Book Antiqua"/>
        </w:rPr>
        <w:t xml:space="preserve">el representante </w:t>
      </w:r>
      <w:r w:rsidR="00B02CD9" w:rsidRPr="007F2135">
        <w:rPr>
          <w:rFonts w:ascii="Book Antiqua" w:hAnsi="Book Antiqua"/>
          <w:i/>
          <w:iCs/>
        </w:rPr>
        <w:t xml:space="preserve">Méndez Núñez;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Lebrón Rodríguez;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Peña Ramírez, Torres Zamora, Román López, Aponte Hernández, Carlo Acosta, Charbonier Chinea, Colón Rodríguez;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del Valle Correa;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Estévez Vélez, Franqui </w:t>
      </w:r>
      <w:proofErr w:type="spellStart"/>
      <w:r w:rsidR="00B02CD9" w:rsidRPr="007F2135">
        <w:rPr>
          <w:rFonts w:ascii="Book Antiqua" w:eastAsia="Aptos" w:hAnsi="Book Antiqua"/>
          <w:i/>
          <w:iCs/>
          <w:kern w:val="2"/>
          <w14:ligatures w14:val="standardContextual"/>
        </w:rPr>
        <w:t>Atiles</w:t>
      </w:r>
      <w:proofErr w:type="spellEnd"/>
      <w:r w:rsidR="00B02CD9" w:rsidRPr="007F2135">
        <w:rPr>
          <w:rFonts w:ascii="Book Antiqua" w:eastAsia="Aptos" w:hAnsi="Book Antiqua"/>
          <w:i/>
          <w:iCs/>
          <w:kern w:val="2"/>
          <w14:ligatures w14:val="standardContextual"/>
        </w:rPr>
        <w:t xml:space="preserve">;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González Aguayo, González </w:t>
      </w:r>
      <w:proofErr w:type="spellStart"/>
      <w:r w:rsidR="00B02CD9" w:rsidRPr="007F2135">
        <w:rPr>
          <w:rFonts w:ascii="Book Antiqua" w:eastAsia="Aptos" w:hAnsi="Book Antiqua"/>
          <w:i/>
          <w:iCs/>
          <w:kern w:val="2"/>
          <w14:ligatures w14:val="standardContextual"/>
        </w:rPr>
        <w:t>González</w:t>
      </w:r>
      <w:proofErr w:type="spellEnd"/>
      <w:r w:rsidR="00B02CD9" w:rsidRPr="007F2135">
        <w:rPr>
          <w:rFonts w:ascii="Book Antiqua" w:eastAsia="Aptos" w:hAnsi="Book Antiqua"/>
          <w:i/>
          <w:iCs/>
          <w:kern w:val="2"/>
          <w14:ligatures w14:val="standardContextual"/>
        </w:rPr>
        <w:t xml:space="preserve">;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Hernández Concepción, Jiménez Torres;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Martínez Vázquez, Medina Calderón;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w:t>
      </w:r>
      <w:proofErr w:type="spellStart"/>
      <w:r w:rsidR="00B02CD9" w:rsidRPr="007F2135">
        <w:rPr>
          <w:rFonts w:ascii="Book Antiqua" w:eastAsia="Aptos" w:hAnsi="Book Antiqua"/>
          <w:i/>
          <w:iCs/>
          <w:kern w:val="2"/>
          <w14:ligatures w14:val="standardContextual"/>
        </w:rPr>
        <w:t>Morey</w:t>
      </w:r>
      <w:proofErr w:type="spellEnd"/>
      <w:r w:rsidR="00B02CD9" w:rsidRPr="007F2135">
        <w:rPr>
          <w:rFonts w:ascii="Book Antiqua" w:eastAsia="Aptos" w:hAnsi="Book Antiqua"/>
          <w:i/>
          <w:iCs/>
          <w:kern w:val="2"/>
          <w14:ligatures w14:val="standardContextual"/>
        </w:rPr>
        <w:t xml:space="preserve"> Noble, Muriel Sánchez, Navarro Suárez, Nieves</w:t>
      </w:r>
      <w:r w:rsidR="00EB0D65" w:rsidRPr="007F2135">
        <w:rPr>
          <w:rFonts w:ascii="Book Antiqua" w:eastAsia="Aptos" w:hAnsi="Book Antiqua"/>
          <w:i/>
          <w:iCs/>
          <w:kern w:val="2"/>
          <w14:ligatures w14:val="standardContextual"/>
        </w:rPr>
        <w:t xml:space="preserve"> </w:t>
      </w:r>
      <w:r w:rsidR="00B02CD9" w:rsidRPr="007F2135">
        <w:rPr>
          <w:rFonts w:ascii="Book Antiqua" w:eastAsia="Aptos" w:hAnsi="Book Antiqua"/>
          <w:i/>
          <w:iCs/>
          <w:kern w:val="2"/>
          <w14:ligatures w14:val="standardContextual"/>
        </w:rPr>
        <w:t xml:space="preserve">Rosario, Ocasio Ramos, Pacheco Burgos, Parés Otero;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Peña Dávila;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Pérez Cordero, Pérez Ortiz;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Pérez Ramírez, Ramos Rivera;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Robles Rivera, Rodríguez Aguiló, Rodríguez Torres, Roque Gracia, Sanabria Colón y Santiago Guzmán</w:t>
      </w:r>
    </w:p>
    <w:p w14:paraId="18A0DB58" w14:textId="77777777" w:rsidR="00950505" w:rsidRPr="007F2135" w:rsidRDefault="00950505" w:rsidP="00950505">
      <w:pPr>
        <w:jc w:val="center"/>
        <w:rPr>
          <w:rFonts w:ascii="Book Antiqua" w:hAnsi="Book Antiqua"/>
          <w:color w:val="000000" w:themeColor="text1"/>
        </w:rPr>
      </w:pPr>
    </w:p>
    <w:p w14:paraId="4B9C3823" w14:textId="02AC0A41" w:rsidR="00950505" w:rsidRDefault="008A284A" w:rsidP="008A284A">
      <w:pPr>
        <w:jc w:val="center"/>
        <w:rPr>
          <w:rFonts w:ascii="Book Antiqua" w:hAnsi="Book Antiqua"/>
          <w:color w:val="000000" w:themeColor="text1"/>
        </w:rPr>
      </w:pPr>
      <w:r w:rsidRPr="008A284A">
        <w:rPr>
          <w:rFonts w:ascii="Book Antiqua" w:hAnsi="Book Antiqua"/>
          <w:color w:val="000000" w:themeColor="text1"/>
        </w:rPr>
        <w:t>Referido a la Comisión de Hacienda</w:t>
      </w:r>
    </w:p>
    <w:p w14:paraId="5A2B22C0" w14:textId="77777777" w:rsidR="008A284A" w:rsidRPr="007F2135" w:rsidRDefault="008A284A" w:rsidP="008A284A">
      <w:pPr>
        <w:jc w:val="center"/>
        <w:rPr>
          <w:rFonts w:ascii="Book Antiqua" w:hAnsi="Book Antiqua"/>
          <w:color w:val="000000" w:themeColor="text1"/>
        </w:rPr>
      </w:pPr>
    </w:p>
    <w:p w14:paraId="43228070" w14:textId="77777777" w:rsidR="00950505" w:rsidRPr="007F2135" w:rsidRDefault="00950505" w:rsidP="00950505">
      <w:pPr>
        <w:jc w:val="center"/>
        <w:rPr>
          <w:rFonts w:ascii="Book Antiqua" w:hAnsi="Book Antiqua"/>
          <w:b/>
          <w:color w:val="000000" w:themeColor="text1"/>
          <w:sz w:val="28"/>
        </w:rPr>
      </w:pPr>
      <w:r w:rsidRPr="007F2135">
        <w:rPr>
          <w:rFonts w:ascii="Book Antiqua" w:hAnsi="Book Antiqua"/>
          <w:b/>
          <w:color w:val="000000" w:themeColor="text1"/>
          <w:sz w:val="28"/>
        </w:rPr>
        <w:t>LEY</w:t>
      </w:r>
    </w:p>
    <w:p w14:paraId="79550663" w14:textId="77777777" w:rsidR="00FF2214" w:rsidRPr="007F2135" w:rsidRDefault="00FF2214">
      <w:pPr>
        <w:jc w:val="both"/>
        <w:rPr>
          <w:rFonts w:ascii="Book Antiqua" w:eastAsia="Book Antiqua" w:hAnsi="Book Antiqua" w:cs="Book Antiqua"/>
          <w:color w:val="000000" w:themeColor="text1"/>
        </w:rPr>
      </w:pPr>
    </w:p>
    <w:p w14:paraId="06366BF5" w14:textId="33891621" w:rsidR="00BE518F" w:rsidRPr="00E15C97" w:rsidRDefault="00850770" w:rsidP="00B13BE3">
      <w:pPr>
        <w:suppressLineNumbers/>
        <w:ind w:left="540" w:hanging="540"/>
        <w:jc w:val="both"/>
        <w:rPr>
          <w:rFonts w:ascii="Book Antiqua" w:hAnsi="Book Antiqua"/>
          <w:color w:val="000000" w:themeColor="text1"/>
        </w:rPr>
      </w:pPr>
      <w:r w:rsidRPr="007F2135">
        <w:rPr>
          <w:rFonts w:ascii="Book Antiqua" w:eastAsia="Book Antiqua" w:hAnsi="Book Antiqua" w:cs="Book Antiqua"/>
          <w:color w:val="000000" w:themeColor="text1"/>
        </w:rPr>
        <w:t>Para</w:t>
      </w:r>
      <w:r w:rsidR="00E45E9B" w:rsidRPr="007F2135">
        <w:rPr>
          <w:rFonts w:ascii="Book Antiqua" w:eastAsia="Book Antiqua" w:hAnsi="Book Antiqua" w:cs="Book Antiqua"/>
          <w:color w:val="000000" w:themeColor="text1"/>
        </w:rPr>
        <w:t xml:space="preserve"> </w:t>
      </w:r>
      <w:r w:rsidR="00BE518F" w:rsidRPr="00E15C97">
        <w:rPr>
          <w:rFonts w:ascii="Book Antiqua" w:hAnsi="Book Antiqua"/>
          <w:color w:val="000000" w:themeColor="text1"/>
        </w:rPr>
        <w:t>enmendar la</w:t>
      </w:r>
      <w:r w:rsidR="00BE518F">
        <w:rPr>
          <w:rFonts w:ascii="Book Antiqua" w:hAnsi="Book Antiqua"/>
          <w:color w:val="000000" w:themeColor="text1"/>
        </w:rPr>
        <w:t xml:space="preserve"> Sección 1033.15, </w:t>
      </w:r>
      <w:r w:rsidR="00BE518F" w:rsidRPr="00E15C97">
        <w:rPr>
          <w:rFonts w:ascii="Book Antiqua" w:hAnsi="Book Antiqua"/>
          <w:color w:val="000000" w:themeColor="text1"/>
        </w:rPr>
        <w:t>de la Ley Núm. 1-2011, según enmendada, conocida como “Código de Rentas Internas de Puerto Rico de 2011</w:t>
      </w:r>
      <w:r w:rsidR="00BE518F">
        <w:rPr>
          <w:rFonts w:ascii="Book Antiqua" w:hAnsi="Book Antiqua"/>
          <w:color w:val="000000" w:themeColor="text1"/>
        </w:rPr>
        <w:t xml:space="preserve"> para añadir un nuevo párrafo (7) al inciso (H) con el fin de conceder un aumento en la deducción de aportaciones a Cuentas de Retiro Individual</w:t>
      </w:r>
      <w:r w:rsidR="00F26925">
        <w:rPr>
          <w:rFonts w:ascii="Book Antiqua" w:hAnsi="Book Antiqua"/>
          <w:color w:val="000000" w:themeColor="text1"/>
        </w:rPr>
        <w:t>; y para otros fines relacionados</w:t>
      </w:r>
      <w:r w:rsidR="00BE518F">
        <w:rPr>
          <w:rFonts w:ascii="Book Antiqua" w:hAnsi="Book Antiqua"/>
          <w:color w:val="000000" w:themeColor="text1"/>
        </w:rPr>
        <w:t>.</w:t>
      </w:r>
      <w:r w:rsidR="00BE518F" w:rsidRPr="00E15C97">
        <w:rPr>
          <w:rFonts w:ascii="Book Antiqua" w:hAnsi="Book Antiqua"/>
          <w:color w:val="000000" w:themeColor="text1"/>
        </w:rPr>
        <w:t xml:space="preserve"> </w:t>
      </w:r>
    </w:p>
    <w:p w14:paraId="726F9974" w14:textId="70D84368" w:rsidR="000B77A8" w:rsidRPr="007F2135" w:rsidRDefault="000B77A8" w:rsidP="00B13BE3">
      <w:pPr>
        <w:suppressLineNumbers/>
        <w:ind w:left="540" w:hanging="540"/>
        <w:jc w:val="both"/>
        <w:rPr>
          <w:rFonts w:ascii="Book Antiqua" w:eastAsia="Aptos" w:hAnsi="Book Antiqua"/>
          <w:color w:val="000000" w:themeColor="text1"/>
          <w:kern w:val="2"/>
          <w14:ligatures w14:val="standardContextual"/>
        </w:rPr>
      </w:pPr>
    </w:p>
    <w:p w14:paraId="249D67DE" w14:textId="7B01ACF9" w:rsidR="005A5C2E" w:rsidRPr="007F2135" w:rsidRDefault="00850770" w:rsidP="00B13BE3">
      <w:pPr>
        <w:ind w:left="540" w:hanging="540"/>
        <w:jc w:val="center"/>
        <w:rPr>
          <w:rFonts w:ascii="Book Antiqua" w:eastAsia="Book Antiqua" w:hAnsi="Book Antiqua" w:cs="Book Antiqua"/>
          <w:bCs/>
          <w:color w:val="000000" w:themeColor="text1"/>
        </w:rPr>
      </w:pPr>
      <w:r w:rsidRPr="007F2135">
        <w:rPr>
          <w:rFonts w:ascii="Book Antiqua" w:eastAsia="Book Antiqua" w:hAnsi="Book Antiqua" w:cs="Book Antiqua"/>
          <w:bCs/>
          <w:color w:val="000000" w:themeColor="text1"/>
        </w:rPr>
        <w:t>EXPOSICIÓN DE MOTIVOS</w:t>
      </w:r>
    </w:p>
    <w:p w14:paraId="4C77C72C" w14:textId="77777777" w:rsidR="00447F1B" w:rsidRDefault="00447F1B" w:rsidP="00B13BE3">
      <w:pPr>
        <w:jc w:val="both"/>
        <w:rPr>
          <w:rFonts w:ascii="Book Antiqua" w:eastAsia="Book Antiqua" w:hAnsi="Book Antiqua" w:cs="Book Antiqua"/>
          <w:color w:val="000000" w:themeColor="text1"/>
        </w:rPr>
      </w:pPr>
    </w:p>
    <w:p w14:paraId="4E117E1B" w14:textId="1885674E" w:rsidR="00BE518F" w:rsidRDefault="00BE518F" w:rsidP="00B13BE3">
      <w:pPr>
        <w:suppressLineNumbers/>
        <w:ind w:firstLine="720"/>
        <w:jc w:val="both"/>
        <w:rPr>
          <w:rFonts w:ascii="Book Antiqua" w:hAnsi="Book Antiqua"/>
          <w:bCs/>
          <w:color w:val="000000" w:themeColor="text1"/>
        </w:rPr>
      </w:pPr>
      <w:r w:rsidRPr="00E079BA">
        <w:rPr>
          <w:rFonts w:ascii="Book Antiqua" w:hAnsi="Book Antiqua"/>
          <w:bCs/>
          <w:color w:val="000000" w:themeColor="text1"/>
        </w:rPr>
        <w:t>Puerto Rico enfrenta un</w:t>
      </w:r>
      <w:r>
        <w:rPr>
          <w:rFonts w:ascii="Book Antiqua" w:hAnsi="Book Antiqua"/>
          <w:bCs/>
          <w:color w:val="000000" w:themeColor="text1"/>
        </w:rPr>
        <w:t>a crisis demográfica</w:t>
      </w:r>
      <w:r w:rsidRPr="00E079BA">
        <w:rPr>
          <w:rFonts w:ascii="Book Antiqua" w:hAnsi="Book Antiqua"/>
          <w:bCs/>
          <w:color w:val="000000" w:themeColor="text1"/>
        </w:rPr>
        <w:t xml:space="preserve">: una población que envejece </w:t>
      </w:r>
      <w:r>
        <w:rPr>
          <w:rFonts w:ascii="Book Antiqua" w:hAnsi="Book Antiqua"/>
          <w:bCs/>
          <w:color w:val="000000" w:themeColor="text1"/>
        </w:rPr>
        <w:t>de forma acelerada</w:t>
      </w:r>
      <w:r w:rsidRPr="00E079BA">
        <w:rPr>
          <w:rFonts w:ascii="Book Antiqua" w:hAnsi="Book Antiqua"/>
          <w:bCs/>
          <w:color w:val="000000" w:themeColor="text1"/>
        </w:rPr>
        <w:t xml:space="preserve">, una tasa de natalidad en descenso, y un creciente número de personas retiradas que dependen de ingresos limitados. A este panorama se suma la fragilidad del sistema de pensiones y la incertidumbre económica generalizada. Ante estos desafíos, se hace imperativo fomentar con mayor </w:t>
      </w:r>
      <w:r>
        <w:rPr>
          <w:rFonts w:ascii="Book Antiqua" w:hAnsi="Book Antiqua"/>
          <w:bCs/>
          <w:color w:val="000000" w:themeColor="text1"/>
        </w:rPr>
        <w:t xml:space="preserve">enfoque </w:t>
      </w:r>
      <w:r w:rsidRPr="00E079BA">
        <w:rPr>
          <w:rFonts w:ascii="Book Antiqua" w:hAnsi="Book Antiqua"/>
          <w:bCs/>
          <w:color w:val="000000" w:themeColor="text1"/>
        </w:rPr>
        <w:t xml:space="preserve">una cultura de ahorro para el retiro en la población trabajadora de </w:t>
      </w:r>
      <w:r>
        <w:rPr>
          <w:rFonts w:ascii="Book Antiqua" w:hAnsi="Book Antiqua"/>
          <w:bCs/>
          <w:color w:val="000000" w:themeColor="text1"/>
        </w:rPr>
        <w:t xml:space="preserve">Puerto Rico. </w:t>
      </w:r>
    </w:p>
    <w:p w14:paraId="06FAE6FD" w14:textId="77777777" w:rsidR="00B13BE3" w:rsidRPr="00E079BA" w:rsidRDefault="00B13BE3" w:rsidP="00B13BE3">
      <w:pPr>
        <w:suppressLineNumbers/>
        <w:ind w:firstLine="720"/>
        <w:jc w:val="both"/>
        <w:rPr>
          <w:rFonts w:ascii="Book Antiqua" w:hAnsi="Book Antiqua"/>
          <w:bCs/>
          <w:color w:val="000000" w:themeColor="text1"/>
        </w:rPr>
      </w:pPr>
    </w:p>
    <w:p w14:paraId="101FADD3" w14:textId="77777777" w:rsidR="00BE518F" w:rsidRDefault="00BE518F" w:rsidP="00B13BE3">
      <w:pPr>
        <w:suppressLineNumbers/>
        <w:ind w:firstLine="720"/>
        <w:jc w:val="both"/>
        <w:rPr>
          <w:rFonts w:ascii="Book Antiqua" w:hAnsi="Book Antiqua"/>
          <w:bCs/>
          <w:color w:val="000000" w:themeColor="text1"/>
        </w:rPr>
      </w:pPr>
      <w:r w:rsidRPr="00E079BA">
        <w:rPr>
          <w:rFonts w:ascii="Book Antiqua" w:hAnsi="Book Antiqua"/>
          <w:bCs/>
          <w:color w:val="000000" w:themeColor="text1"/>
        </w:rPr>
        <w:lastRenderedPageBreak/>
        <w:t>Las Cuentas de Retiro Individual (IRA, por sus siglas en inglés) constituyen uno de los mecanismos más efectivos y accesibles para lograr este objetivo. A través de estas cuentas, los contribuyentes pueden acumular ahorros a largo plazo con beneficios contributivos que alivian su carga fiscal en el presente, mientras se preparan financieramente para el futuro. No obstante, los límites actuales de deducción establecidos por</w:t>
      </w:r>
      <w:r>
        <w:rPr>
          <w:rFonts w:ascii="Book Antiqua" w:hAnsi="Book Antiqua"/>
          <w:bCs/>
          <w:color w:val="000000" w:themeColor="text1"/>
        </w:rPr>
        <w:t xml:space="preserve"> la Ley 1-2011, según enmendada, conocida como</w:t>
      </w:r>
      <w:r w:rsidRPr="00E079BA">
        <w:rPr>
          <w:rFonts w:ascii="Book Antiqua" w:hAnsi="Book Antiqua"/>
          <w:bCs/>
          <w:color w:val="000000" w:themeColor="text1"/>
        </w:rPr>
        <w:t xml:space="preserve"> el Código de Rentas Internas de Puerto Rico no se han ajustado de manera sistemática ni suficiente, especialmente frente a la inflación y los cambios económicos recientes.</w:t>
      </w:r>
    </w:p>
    <w:p w14:paraId="555378FF" w14:textId="77777777" w:rsidR="00B13BE3" w:rsidRPr="00E079BA" w:rsidRDefault="00B13BE3" w:rsidP="00B13BE3">
      <w:pPr>
        <w:suppressLineNumbers/>
        <w:ind w:firstLine="720"/>
        <w:jc w:val="both"/>
        <w:rPr>
          <w:rFonts w:ascii="Book Antiqua" w:hAnsi="Book Antiqua"/>
          <w:bCs/>
          <w:color w:val="000000" w:themeColor="text1"/>
        </w:rPr>
      </w:pPr>
    </w:p>
    <w:p w14:paraId="2A5C2D3A" w14:textId="77777777" w:rsidR="00BE518F" w:rsidRDefault="00BE518F" w:rsidP="00B13BE3">
      <w:pPr>
        <w:suppressLineNumbers/>
        <w:ind w:firstLine="720"/>
        <w:jc w:val="both"/>
        <w:rPr>
          <w:rFonts w:ascii="Book Antiqua" w:hAnsi="Book Antiqua"/>
          <w:bCs/>
          <w:color w:val="000000" w:themeColor="text1"/>
        </w:rPr>
      </w:pPr>
      <w:r w:rsidRPr="00E079BA">
        <w:rPr>
          <w:rFonts w:ascii="Book Antiqua" w:hAnsi="Book Antiqua"/>
          <w:bCs/>
          <w:color w:val="000000" w:themeColor="text1"/>
        </w:rPr>
        <w:t>Este proyecto de ley propone armonizar la deducción máxima permitida por aportaciones a cuentas IRA en Puerto Rico con la cantidad permitida por el Código de</w:t>
      </w:r>
      <w:r>
        <w:rPr>
          <w:rFonts w:ascii="Book Antiqua" w:hAnsi="Book Antiqua"/>
          <w:bCs/>
          <w:color w:val="000000" w:themeColor="text1"/>
        </w:rPr>
        <w:t xml:space="preserve"> </w:t>
      </w:r>
      <w:r w:rsidRPr="00E079BA">
        <w:rPr>
          <w:rFonts w:ascii="Book Antiqua" w:hAnsi="Book Antiqua"/>
          <w:bCs/>
          <w:color w:val="000000" w:themeColor="text1"/>
        </w:rPr>
        <w:t>Rentas Internas Federal bajo la Sección 402(g), según ajustado anualmente por el Servicio de Rentas Internas Federal (IRS). Esta medida representaría un paso decisivo hacia la modernización de nuestras políticas contributivas, alineando nuestros incentivos con las mejores prácticas</w:t>
      </w:r>
      <w:r>
        <w:rPr>
          <w:rFonts w:ascii="Book Antiqua" w:hAnsi="Book Antiqua"/>
          <w:bCs/>
          <w:color w:val="000000" w:themeColor="text1"/>
        </w:rPr>
        <w:t xml:space="preserve"> </w:t>
      </w:r>
      <w:r w:rsidRPr="00E079BA">
        <w:rPr>
          <w:rFonts w:ascii="Book Antiqua" w:hAnsi="Book Antiqua"/>
          <w:bCs/>
          <w:color w:val="000000" w:themeColor="text1"/>
        </w:rPr>
        <w:t>y brindando a nuestros ciudadanos igualdad de condiciones frente a sus pares en</w:t>
      </w:r>
      <w:r>
        <w:rPr>
          <w:rFonts w:ascii="Book Antiqua" w:hAnsi="Book Antiqua"/>
          <w:bCs/>
          <w:color w:val="000000" w:themeColor="text1"/>
        </w:rPr>
        <w:t xml:space="preserve"> el resto de los</w:t>
      </w:r>
      <w:r w:rsidRPr="00E079BA">
        <w:rPr>
          <w:rFonts w:ascii="Book Antiqua" w:hAnsi="Book Antiqua"/>
          <w:bCs/>
          <w:color w:val="000000" w:themeColor="text1"/>
        </w:rPr>
        <w:t xml:space="preserve"> Estados Unidos.</w:t>
      </w:r>
    </w:p>
    <w:p w14:paraId="7AE03ECC" w14:textId="77777777" w:rsidR="00B13BE3" w:rsidRPr="00E079BA" w:rsidRDefault="00B13BE3" w:rsidP="00B13BE3">
      <w:pPr>
        <w:suppressLineNumbers/>
        <w:ind w:firstLine="720"/>
        <w:jc w:val="both"/>
        <w:rPr>
          <w:rFonts w:ascii="Book Antiqua" w:hAnsi="Book Antiqua"/>
          <w:bCs/>
          <w:color w:val="000000" w:themeColor="text1"/>
        </w:rPr>
      </w:pPr>
    </w:p>
    <w:p w14:paraId="2D3FDF0A" w14:textId="77777777" w:rsidR="00BE518F" w:rsidRDefault="00BE518F" w:rsidP="00B13BE3">
      <w:pPr>
        <w:suppressLineNumbers/>
        <w:ind w:firstLine="720"/>
        <w:jc w:val="both"/>
        <w:rPr>
          <w:rFonts w:ascii="Book Antiqua" w:hAnsi="Book Antiqua"/>
          <w:bCs/>
          <w:color w:val="000000" w:themeColor="text1"/>
        </w:rPr>
      </w:pPr>
      <w:r w:rsidRPr="009B5CBE">
        <w:rPr>
          <w:rFonts w:ascii="Book Antiqua" w:hAnsi="Book Antiqua"/>
          <w:bCs/>
          <w:color w:val="000000" w:themeColor="text1"/>
        </w:rPr>
        <w:t>Esta propuesta se inserta dentro de los pilares establecidos por el Programa de Gobierno de la Gobernadora</w:t>
      </w:r>
      <w:r>
        <w:rPr>
          <w:rFonts w:ascii="Book Antiqua" w:hAnsi="Book Antiqua"/>
          <w:bCs/>
          <w:color w:val="000000" w:themeColor="text1"/>
        </w:rPr>
        <w:t>,</w:t>
      </w:r>
      <w:r w:rsidRPr="009B5CBE">
        <w:rPr>
          <w:rFonts w:ascii="Book Antiqua" w:hAnsi="Book Antiqua"/>
          <w:bCs/>
          <w:color w:val="000000" w:themeColor="text1"/>
        </w:rPr>
        <w:t xml:space="preserve"> </w:t>
      </w:r>
      <w:proofErr w:type="spellStart"/>
      <w:r w:rsidRPr="009B5CBE">
        <w:rPr>
          <w:rFonts w:ascii="Book Antiqua" w:hAnsi="Book Antiqua"/>
          <w:bCs/>
          <w:color w:val="000000" w:themeColor="text1"/>
        </w:rPr>
        <w:t>Jenniffer</w:t>
      </w:r>
      <w:proofErr w:type="spellEnd"/>
      <w:r w:rsidRPr="009B5CBE">
        <w:rPr>
          <w:rFonts w:ascii="Book Antiqua" w:hAnsi="Book Antiqua"/>
          <w:bCs/>
          <w:color w:val="000000" w:themeColor="text1"/>
        </w:rPr>
        <w:t xml:space="preserve"> González</w:t>
      </w:r>
      <w:r>
        <w:rPr>
          <w:rFonts w:ascii="Book Antiqua" w:hAnsi="Book Antiqua"/>
          <w:bCs/>
          <w:color w:val="000000" w:themeColor="text1"/>
        </w:rPr>
        <w:t>-</w:t>
      </w:r>
      <w:r w:rsidRPr="009B5CBE">
        <w:rPr>
          <w:rFonts w:ascii="Book Antiqua" w:hAnsi="Book Antiqua"/>
          <w:bCs/>
          <w:color w:val="000000" w:themeColor="text1"/>
        </w:rPr>
        <w:t>Colón, particularmente en lo relacionado con simplificar el sistema contributivo y hacerle justicia al contribuyente. El Comité de Reforma Contributiva</w:t>
      </w:r>
      <w:r>
        <w:rPr>
          <w:rFonts w:ascii="Book Antiqua" w:hAnsi="Book Antiqua"/>
          <w:bCs/>
          <w:color w:val="000000" w:themeColor="text1"/>
        </w:rPr>
        <w:t xml:space="preserve"> (Comité)</w:t>
      </w:r>
      <w:r w:rsidRPr="009B5CBE">
        <w:rPr>
          <w:rFonts w:ascii="Book Antiqua" w:hAnsi="Book Antiqua"/>
          <w:bCs/>
          <w:color w:val="000000" w:themeColor="text1"/>
        </w:rPr>
        <w:t xml:space="preserve"> ha delineado como una de sus prioridades la armonización de los incentivos de ahorro con las disposiciones del Servicio de Rentas Internas Federal, reconociendo la necesidad de modernizar nuestro sistema.</w:t>
      </w:r>
    </w:p>
    <w:p w14:paraId="46F476D6" w14:textId="77777777" w:rsidR="00B13BE3" w:rsidRPr="009B5CBE" w:rsidRDefault="00B13BE3" w:rsidP="00B13BE3">
      <w:pPr>
        <w:suppressLineNumbers/>
        <w:ind w:firstLine="720"/>
        <w:jc w:val="both"/>
        <w:rPr>
          <w:rFonts w:ascii="Book Antiqua" w:hAnsi="Book Antiqua"/>
          <w:bCs/>
          <w:color w:val="000000" w:themeColor="text1"/>
        </w:rPr>
      </w:pPr>
    </w:p>
    <w:p w14:paraId="065C5BBA" w14:textId="77777777" w:rsidR="00BE518F" w:rsidRDefault="00BE518F" w:rsidP="00B13BE3">
      <w:pPr>
        <w:suppressLineNumbers/>
        <w:ind w:firstLine="720"/>
        <w:jc w:val="both"/>
        <w:rPr>
          <w:rFonts w:ascii="Book Antiqua" w:hAnsi="Book Antiqua"/>
          <w:bCs/>
          <w:color w:val="000000" w:themeColor="text1"/>
        </w:rPr>
      </w:pPr>
      <w:r w:rsidRPr="00E079BA">
        <w:rPr>
          <w:rFonts w:ascii="Book Antiqua" w:hAnsi="Book Antiqua"/>
          <w:bCs/>
          <w:color w:val="000000" w:themeColor="text1"/>
        </w:rPr>
        <w:t>Además de representar un incentivo concreto para el ahorro a largo plazo, esta enmienda también tiene un efecto positivo en la estabilidad macroeconómica de Puerto Rico. Una población mejor preparada para la jubilación reduce la dependencia del gobierno y de los programas de asistencia social, disminuye la carga sobre las futuras generaciones y fortalece el sistema financiero al canalizar ahorros hacia instrumentos de inversión de bajo riesgo.</w:t>
      </w:r>
    </w:p>
    <w:p w14:paraId="5817AD0A" w14:textId="77777777" w:rsidR="00B13BE3" w:rsidRDefault="00B13BE3" w:rsidP="00B13BE3">
      <w:pPr>
        <w:suppressLineNumbers/>
        <w:ind w:firstLine="720"/>
        <w:jc w:val="both"/>
        <w:rPr>
          <w:rFonts w:ascii="Book Antiqua" w:hAnsi="Book Antiqua"/>
          <w:bCs/>
          <w:color w:val="000000" w:themeColor="text1"/>
        </w:rPr>
      </w:pPr>
    </w:p>
    <w:p w14:paraId="2037A0ED" w14:textId="77777777" w:rsidR="00BE518F" w:rsidRDefault="00BE518F" w:rsidP="00B13BE3">
      <w:pPr>
        <w:suppressLineNumbers/>
        <w:ind w:firstLine="720"/>
        <w:jc w:val="both"/>
        <w:rPr>
          <w:rFonts w:ascii="Book Antiqua" w:hAnsi="Book Antiqua"/>
          <w:bCs/>
          <w:color w:val="000000" w:themeColor="text1"/>
        </w:rPr>
      </w:pPr>
      <w:r w:rsidRPr="008C75F9">
        <w:rPr>
          <w:rFonts w:ascii="Book Antiqua" w:hAnsi="Book Antiqua"/>
          <w:bCs/>
          <w:color w:val="000000" w:themeColor="text1"/>
        </w:rPr>
        <w:t>Según los informes del Comité, 17,634 contribuyentes reportaron aportaciones a cuentas IRA en 2022, totalizando aproximadamente $77 millones. La mayoría de estas aportaciones provino de contribuyentes con ingresos de $41,500 o más. El potencial impacto fiscal proyectado asciende a $15.6 millones, una</w:t>
      </w:r>
      <w:r>
        <w:rPr>
          <w:rFonts w:ascii="Book Antiqua" w:hAnsi="Book Antiqua"/>
          <w:bCs/>
          <w:color w:val="000000" w:themeColor="text1"/>
        </w:rPr>
        <w:t xml:space="preserve"> inversión prudente considerando que este destinada a disminuirla dependencia futura el Estado y a fortalecer la autosuficiencia financiera de nuestra ciudadanía.</w:t>
      </w:r>
    </w:p>
    <w:p w14:paraId="493CD93B" w14:textId="77777777" w:rsidR="00B13BE3" w:rsidRDefault="00B13BE3" w:rsidP="00B13BE3">
      <w:pPr>
        <w:suppressLineNumbers/>
        <w:ind w:firstLine="720"/>
        <w:jc w:val="both"/>
        <w:rPr>
          <w:rFonts w:ascii="Book Antiqua" w:hAnsi="Book Antiqua"/>
          <w:bCs/>
          <w:color w:val="000000" w:themeColor="text1"/>
        </w:rPr>
      </w:pPr>
    </w:p>
    <w:p w14:paraId="112559F9" w14:textId="77777777" w:rsidR="00BE518F" w:rsidRDefault="00BE518F" w:rsidP="00B13BE3">
      <w:pPr>
        <w:suppressLineNumbers/>
        <w:ind w:firstLine="720"/>
        <w:jc w:val="both"/>
        <w:rPr>
          <w:rFonts w:ascii="Book Antiqua" w:hAnsi="Book Antiqua"/>
          <w:bCs/>
          <w:color w:val="000000" w:themeColor="text1"/>
        </w:rPr>
      </w:pPr>
      <w:r>
        <w:rPr>
          <w:rFonts w:ascii="Book Antiqua" w:hAnsi="Book Antiqua"/>
          <w:bCs/>
          <w:color w:val="000000" w:themeColor="text1"/>
        </w:rPr>
        <w:t>Asimismo, e</w:t>
      </w:r>
      <w:r w:rsidRPr="00E079BA">
        <w:rPr>
          <w:rFonts w:ascii="Book Antiqua" w:hAnsi="Book Antiqua"/>
          <w:bCs/>
          <w:color w:val="000000" w:themeColor="text1"/>
        </w:rPr>
        <w:t xml:space="preserve">sta propuesta atiende un reclamo recurrente de sectores profesionales, trabajadores por cuenta propia y empleados del sector privado, quienes muchas veces no cuentan con sistemas de pensiones formales a través de sus patronos. Al ampliar las </w:t>
      </w:r>
      <w:r w:rsidRPr="00E079BA">
        <w:rPr>
          <w:rFonts w:ascii="Book Antiqua" w:hAnsi="Book Antiqua"/>
          <w:bCs/>
          <w:color w:val="000000" w:themeColor="text1"/>
        </w:rPr>
        <w:lastRenderedPageBreak/>
        <w:t>deducciones permitidas, se les ofrece una herramienta concreta para proteger su futuro económico y el de sus familias.</w:t>
      </w:r>
    </w:p>
    <w:p w14:paraId="5E4BAAA9" w14:textId="77777777" w:rsidR="00B13BE3" w:rsidRPr="00E079BA" w:rsidRDefault="00B13BE3" w:rsidP="00B13BE3">
      <w:pPr>
        <w:suppressLineNumbers/>
        <w:ind w:firstLine="720"/>
        <w:jc w:val="both"/>
        <w:rPr>
          <w:rFonts w:ascii="Book Antiqua" w:hAnsi="Book Antiqua"/>
          <w:bCs/>
          <w:color w:val="000000" w:themeColor="text1"/>
        </w:rPr>
      </w:pPr>
    </w:p>
    <w:p w14:paraId="60F96FEF" w14:textId="77777777" w:rsidR="00BE518F" w:rsidRDefault="00BE518F" w:rsidP="00B13BE3">
      <w:pPr>
        <w:suppressLineNumbers/>
        <w:ind w:firstLine="720"/>
        <w:jc w:val="both"/>
        <w:rPr>
          <w:rFonts w:ascii="Book Antiqua" w:hAnsi="Book Antiqua"/>
          <w:bCs/>
          <w:color w:val="000000" w:themeColor="text1"/>
        </w:rPr>
      </w:pPr>
      <w:r>
        <w:rPr>
          <w:rFonts w:ascii="Book Antiqua" w:hAnsi="Book Antiqua"/>
          <w:bCs/>
          <w:color w:val="000000" w:themeColor="text1"/>
        </w:rPr>
        <w:t>E</w:t>
      </w:r>
      <w:r w:rsidRPr="00E079BA">
        <w:rPr>
          <w:rFonts w:ascii="Book Antiqua" w:hAnsi="Book Antiqua"/>
          <w:bCs/>
          <w:color w:val="000000" w:themeColor="text1"/>
        </w:rPr>
        <w:t>sta enmienda reconoce el principio de justicia contributiva: no resulta razonable que los puertorriqueños, siendo también ciudadanos estadounidenses, estén limitados por un tope contributivo inferior al de la jurisdicción federal para un instrumento idéntico. Con esta medida,</w:t>
      </w:r>
      <w:r>
        <w:rPr>
          <w:rFonts w:ascii="Book Antiqua" w:hAnsi="Book Antiqua"/>
          <w:bCs/>
          <w:color w:val="000000" w:themeColor="text1"/>
        </w:rPr>
        <w:t xml:space="preserve"> esta Administración</w:t>
      </w:r>
      <w:r w:rsidRPr="00E079BA">
        <w:rPr>
          <w:rFonts w:ascii="Book Antiqua" w:hAnsi="Book Antiqua"/>
          <w:bCs/>
          <w:color w:val="000000" w:themeColor="text1"/>
        </w:rPr>
        <w:t xml:space="preserve"> afirma su compromiso con la</w:t>
      </w:r>
      <w:r>
        <w:rPr>
          <w:rFonts w:ascii="Book Antiqua" w:hAnsi="Book Antiqua"/>
          <w:bCs/>
          <w:color w:val="000000" w:themeColor="text1"/>
        </w:rPr>
        <w:t xml:space="preserve"> Igualdad</w:t>
      </w:r>
      <w:r w:rsidRPr="00E079BA">
        <w:rPr>
          <w:rFonts w:ascii="Book Antiqua" w:hAnsi="Book Antiqua"/>
          <w:bCs/>
          <w:color w:val="000000" w:themeColor="text1"/>
        </w:rPr>
        <w:t>, la planificación financiera responsable y la protección de sus trabajadores en todas las etapas de la vida.</w:t>
      </w:r>
    </w:p>
    <w:p w14:paraId="0ACF9C55" w14:textId="77777777" w:rsidR="00B13BE3" w:rsidRDefault="00B13BE3" w:rsidP="00B13BE3">
      <w:pPr>
        <w:suppressLineNumbers/>
        <w:ind w:firstLine="720"/>
        <w:jc w:val="both"/>
        <w:rPr>
          <w:rFonts w:ascii="Book Antiqua" w:hAnsi="Book Antiqua"/>
          <w:bCs/>
          <w:color w:val="000000" w:themeColor="text1"/>
        </w:rPr>
      </w:pPr>
    </w:p>
    <w:p w14:paraId="5C4812CB" w14:textId="77777777" w:rsidR="00BE518F" w:rsidRPr="00E079BA" w:rsidRDefault="00BE518F" w:rsidP="00B13BE3">
      <w:pPr>
        <w:suppressLineNumbers/>
        <w:ind w:firstLine="720"/>
        <w:jc w:val="both"/>
        <w:rPr>
          <w:rFonts w:ascii="Book Antiqua" w:hAnsi="Book Antiqua"/>
          <w:bCs/>
          <w:color w:val="000000" w:themeColor="text1"/>
        </w:rPr>
      </w:pPr>
      <w:r w:rsidRPr="00E079BA">
        <w:rPr>
          <w:rFonts w:ascii="Book Antiqua" w:hAnsi="Book Antiqua"/>
          <w:bCs/>
          <w:color w:val="000000" w:themeColor="text1"/>
        </w:rPr>
        <w:t xml:space="preserve">Por todas estas razones, esta </w:t>
      </w:r>
      <w:r>
        <w:rPr>
          <w:rFonts w:ascii="Book Antiqua" w:hAnsi="Book Antiqua"/>
          <w:bCs/>
          <w:color w:val="000000" w:themeColor="text1"/>
        </w:rPr>
        <w:t xml:space="preserve">Asamblea Legislativa, </w:t>
      </w:r>
      <w:r w:rsidRPr="00E079BA">
        <w:rPr>
          <w:rFonts w:ascii="Book Antiqua" w:hAnsi="Book Antiqua"/>
          <w:bCs/>
          <w:color w:val="000000" w:themeColor="text1"/>
        </w:rPr>
        <w:t>considera urgente</w:t>
      </w:r>
      <w:r>
        <w:rPr>
          <w:rFonts w:ascii="Book Antiqua" w:hAnsi="Book Antiqua"/>
          <w:bCs/>
          <w:color w:val="000000" w:themeColor="text1"/>
        </w:rPr>
        <w:t xml:space="preserve">, </w:t>
      </w:r>
      <w:r w:rsidRPr="00E079BA">
        <w:rPr>
          <w:rFonts w:ascii="Book Antiqua" w:hAnsi="Book Antiqua"/>
          <w:bCs/>
          <w:color w:val="000000" w:themeColor="text1"/>
        </w:rPr>
        <w:t xml:space="preserve">meritorio </w:t>
      </w:r>
      <w:r>
        <w:rPr>
          <w:rFonts w:ascii="Book Antiqua" w:hAnsi="Book Antiqua"/>
          <w:bCs/>
          <w:color w:val="000000" w:themeColor="text1"/>
        </w:rPr>
        <w:t xml:space="preserve">e impostergable </w:t>
      </w:r>
      <w:r w:rsidRPr="00E079BA">
        <w:rPr>
          <w:rFonts w:ascii="Book Antiqua" w:hAnsi="Book Antiqua"/>
          <w:bCs/>
          <w:color w:val="000000" w:themeColor="text1"/>
        </w:rPr>
        <w:t>aprobar esta enmienda al Código de Rentas Internas, para así brindar a los contribuyentes mayores herramientas para su retiro, promover la cultura del ahorro, y fortalecer el bienestar colectivo de nuestra sociedad.</w:t>
      </w:r>
    </w:p>
    <w:p w14:paraId="017E1998" w14:textId="77777777" w:rsidR="009807A4" w:rsidRPr="00790693" w:rsidRDefault="009807A4" w:rsidP="00B13BE3">
      <w:pPr>
        <w:jc w:val="both"/>
        <w:rPr>
          <w:rFonts w:ascii="Book Antiqua" w:eastAsia="Book Antiqua" w:hAnsi="Book Antiqua" w:cs="Book Antiqua"/>
          <w:color w:val="000000" w:themeColor="text1"/>
        </w:rPr>
      </w:pPr>
    </w:p>
    <w:p w14:paraId="7955066D" w14:textId="77777777" w:rsidR="00FF2214" w:rsidRPr="007F2135" w:rsidRDefault="00850770" w:rsidP="00B13BE3">
      <w:pPr>
        <w:spacing w:line="480" w:lineRule="auto"/>
        <w:jc w:val="both"/>
        <w:rPr>
          <w:rFonts w:ascii="Book Antiqua" w:eastAsia="Book Antiqua" w:hAnsi="Book Antiqua" w:cs="Book Antiqua"/>
          <w:i/>
          <w:color w:val="000000" w:themeColor="text1"/>
        </w:rPr>
        <w:sectPr w:rsidR="00FF2214" w:rsidRPr="007F2135">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7F2135">
        <w:rPr>
          <w:rFonts w:ascii="Book Antiqua" w:eastAsia="Book Antiqua" w:hAnsi="Book Antiqua" w:cs="Book Antiqua"/>
          <w:i/>
          <w:color w:val="000000" w:themeColor="text1"/>
        </w:rPr>
        <w:t>DECRÉTASE POR LA ASAMBLEA LEGISLATIVA DE PUERTO RICO:</w:t>
      </w:r>
    </w:p>
    <w:p w14:paraId="41927342" w14:textId="77777777" w:rsidR="00BE518F" w:rsidRPr="001558E0" w:rsidRDefault="00BE518F" w:rsidP="00B13BE3">
      <w:pPr>
        <w:pStyle w:val="Heading1"/>
      </w:pPr>
      <w:r w:rsidRPr="001558E0">
        <w:t xml:space="preserve">Artículo </w:t>
      </w:r>
      <w:r>
        <w:t>1</w:t>
      </w:r>
      <w:r w:rsidRPr="001558E0">
        <w:t xml:space="preserve">.- Se añade </w:t>
      </w:r>
      <w:r>
        <w:t>un nuevo</w:t>
      </w:r>
      <w:r w:rsidRPr="001558E0">
        <w:t xml:space="preserve"> </w:t>
      </w:r>
      <w:r>
        <w:t xml:space="preserve">inciso (H) al </w:t>
      </w:r>
      <w:r w:rsidRPr="001558E0">
        <w:t>párrafo (</w:t>
      </w:r>
      <w:r>
        <w:t>7</w:t>
      </w:r>
      <w:r w:rsidRPr="001558E0">
        <w:t xml:space="preserve">) </w:t>
      </w:r>
      <w:r>
        <w:t>de</w:t>
      </w:r>
      <w:r w:rsidRPr="001558E0">
        <w:t xml:space="preserve">l apartado (a) de la Sección </w:t>
      </w:r>
      <w:r>
        <w:t>1033.15</w:t>
      </w:r>
      <w:r w:rsidRPr="001558E0">
        <w:t xml:space="preserve"> de la Ley 1-2011, según enmendada, para que </w:t>
      </w:r>
      <w:r>
        <w:t xml:space="preserve">se </w:t>
      </w:r>
      <w:r w:rsidRPr="001558E0">
        <w:t>lea como sigue: </w:t>
      </w:r>
    </w:p>
    <w:p w14:paraId="2A5C90A8" w14:textId="77777777" w:rsidR="00BE518F" w:rsidRDefault="00BE518F" w:rsidP="00B13BE3">
      <w:pPr>
        <w:pStyle w:val="Heading1"/>
        <w:ind w:firstLine="360"/>
        <w:rPr>
          <w:color w:val="000000" w:themeColor="text1"/>
        </w:rPr>
      </w:pPr>
      <w:r>
        <w:rPr>
          <w:color w:val="000000" w:themeColor="text1"/>
        </w:rPr>
        <w:t>“</w:t>
      </w:r>
      <w:r w:rsidRPr="005E7EDA">
        <w:rPr>
          <w:color w:val="000000" w:themeColor="text1"/>
        </w:rPr>
        <w:t>Sección 1033.15. — Deducciones Aplicables a Contribuyentes que sean Individuos</w:t>
      </w:r>
      <w:r>
        <w:rPr>
          <w:color w:val="000000" w:themeColor="text1"/>
        </w:rPr>
        <w:t>.</w:t>
      </w:r>
    </w:p>
    <w:p w14:paraId="3C26432A" w14:textId="77777777" w:rsidR="00BE518F" w:rsidRDefault="00BE518F" w:rsidP="00B13BE3">
      <w:pPr>
        <w:numPr>
          <w:ilvl w:val="0"/>
          <w:numId w:val="22"/>
        </w:numPr>
        <w:spacing w:line="480" w:lineRule="auto"/>
        <w:jc w:val="both"/>
        <w:textAlignment w:val="baseline"/>
        <w:rPr>
          <w:rFonts w:ascii="Book Antiqua" w:hAnsi="Book Antiqua" w:cs="Segoe UI"/>
          <w:color w:val="000000"/>
        </w:rPr>
      </w:pPr>
      <w:r>
        <w:rPr>
          <w:rFonts w:ascii="Book Antiqua" w:hAnsi="Book Antiqua" w:cs="Segoe UI"/>
          <w:color w:val="000000"/>
        </w:rPr>
        <w:t>…</w:t>
      </w:r>
    </w:p>
    <w:p w14:paraId="22EB7CB3" w14:textId="77777777" w:rsidR="00BE518F" w:rsidRDefault="00BE518F" w:rsidP="00B13BE3">
      <w:pPr>
        <w:numPr>
          <w:ilvl w:val="1"/>
          <w:numId w:val="22"/>
        </w:numPr>
        <w:spacing w:line="480" w:lineRule="auto"/>
        <w:ind w:left="1620"/>
        <w:jc w:val="both"/>
        <w:textAlignment w:val="baseline"/>
        <w:rPr>
          <w:rFonts w:ascii="Book Antiqua" w:hAnsi="Book Antiqua" w:cs="Segoe UI"/>
          <w:color w:val="000000"/>
        </w:rPr>
      </w:pPr>
      <w:r>
        <w:rPr>
          <w:rFonts w:ascii="Book Antiqua" w:hAnsi="Book Antiqua" w:cs="Segoe UI"/>
          <w:color w:val="000000"/>
        </w:rPr>
        <w:t>…</w:t>
      </w:r>
    </w:p>
    <w:p w14:paraId="3F1B9BB8" w14:textId="77777777" w:rsidR="00BE518F" w:rsidRDefault="00BE518F" w:rsidP="00B13BE3">
      <w:pPr>
        <w:spacing w:line="480" w:lineRule="auto"/>
        <w:ind w:left="1620"/>
        <w:jc w:val="both"/>
        <w:textAlignment w:val="baseline"/>
        <w:rPr>
          <w:rFonts w:ascii="Book Antiqua" w:hAnsi="Book Antiqua" w:cs="Segoe UI"/>
          <w:color w:val="000000"/>
        </w:rPr>
      </w:pPr>
      <w:r>
        <w:rPr>
          <w:rFonts w:ascii="Book Antiqua" w:hAnsi="Book Antiqua" w:cs="Segoe UI"/>
          <w:color w:val="000000"/>
        </w:rPr>
        <w:t>…</w:t>
      </w:r>
    </w:p>
    <w:p w14:paraId="2131C0A1" w14:textId="77777777" w:rsidR="00BE518F" w:rsidRDefault="00BE518F" w:rsidP="00B13BE3">
      <w:pPr>
        <w:spacing w:line="480" w:lineRule="auto"/>
        <w:ind w:left="1260"/>
        <w:jc w:val="both"/>
        <w:textAlignment w:val="baseline"/>
        <w:rPr>
          <w:rFonts w:ascii="Book Antiqua" w:hAnsi="Book Antiqua" w:cs="Segoe UI"/>
          <w:color w:val="000000"/>
        </w:rPr>
      </w:pPr>
      <w:r>
        <w:rPr>
          <w:rFonts w:ascii="Book Antiqua" w:hAnsi="Book Antiqua" w:cs="Segoe UI"/>
          <w:color w:val="000000"/>
        </w:rPr>
        <w:t>(7) Ahorros de retiro. -</w:t>
      </w:r>
    </w:p>
    <w:p w14:paraId="0CB7B1B7" w14:textId="77777777" w:rsidR="00BE518F" w:rsidRDefault="00BE518F" w:rsidP="00B13BE3">
      <w:pPr>
        <w:spacing w:line="480" w:lineRule="auto"/>
        <w:ind w:left="1800" w:hanging="180"/>
        <w:jc w:val="both"/>
        <w:textAlignment w:val="baseline"/>
        <w:rPr>
          <w:rFonts w:ascii="Book Antiqua" w:hAnsi="Book Antiqua" w:cs="Segoe UI"/>
          <w:color w:val="000000"/>
        </w:rPr>
      </w:pPr>
      <w:r w:rsidRPr="005E7EDA">
        <w:rPr>
          <w:rFonts w:ascii="Book Antiqua" w:hAnsi="Book Antiqua" w:cs="Segoe UI"/>
          <w:color w:val="000000"/>
        </w:rPr>
        <w:t xml:space="preserve">(A) </w:t>
      </w:r>
      <w:r>
        <w:rPr>
          <w:rFonts w:ascii="Book Antiqua" w:hAnsi="Book Antiqua" w:cs="Segoe UI"/>
          <w:color w:val="000000"/>
        </w:rPr>
        <w:t>…</w:t>
      </w:r>
    </w:p>
    <w:p w14:paraId="7E29690E" w14:textId="77777777" w:rsidR="00BE518F" w:rsidRDefault="00BE518F" w:rsidP="00B13BE3">
      <w:pPr>
        <w:spacing w:line="480" w:lineRule="auto"/>
        <w:ind w:left="1800" w:hanging="180"/>
        <w:jc w:val="both"/>
        <w:textAlignment w:val="baseline"/>
        <w:rPr>
          <w:rFonts w:ascii="Book Antiqua" w:hAnsi="Book Antiqua" w:cs="Segoe UI"/>
          <w:color w:val="000000"/>
        </w:rPr>
      </w:pPr>
      <w:r>
        <w:rPr>
          <w:rFonts w:ascii="Book Antiqua" w:hAnsi="Book Antiqua" w:cs="Segoe UI"/>
          <w:color w:val="000000"/>
        </w:rPr>
        <w:t>…</w:t>
      </w:r>
    </w:p>
    <w:p w14:paraId="15B04B67" w14:textId="77777777" w:rsidR="00BE518F" w:rsidRDefault="00BE518F" w:rsidP="00B13BE3">
      <w:pPr>
        <w:spacing w:line="480" w:lineRule="auto"/>
        <w:ind w:left="2070" w:hanging="450"/>
        <w:jc w:val="both"/>
        <w:textAlignment w:val="baseline"/>
        <w:rPr>
          <w:rFonts w:ascii="Book Antiqua" w:hAnsi="Book Antiqua" w:cs="Segoe UI"/>
          <w:i/>
          <w:iCs/>
          <w:color w:val="000000"/>
        </w:rPr>
      </w:pPr>
      <w:r w:rsidRPr="007E1BB4">
        <w:rPr>
          <w:rFonts w:ascii="Book Antiqua" w:hAnsi="Book Antiqua" w:cs="Segoe UI"/>
          <w:i/>
          <w:iCs/>
          <w:color w:val="000000"/>
        </w:rPr>
        <w:t>(H)</w:t>
      </w:r>
      <w:r w:rsidRPr="005E7EDA">
        <w:rPr>
          <w:rFonts w:ascii="Book Antiqua" w:hAnsi="Book Antiqua" w:cs="Segoe UI"/>
          <w:color w:val="000000"/>
        </w:rPr>
        <w:t xml:space="preserve"> </w:t>
      </w:r>
      <w:r>
        <w:rPr>
          <w:rFonts w:ascii="Book Antiqua" w:hAnsi="Book Antiqua" w:cs="Segoe UI"/>
          <w:i/>
          <w:iCs/>
          <w:color w:val="000000"/>
        </w:rPr>
        <w:t xml:space="preserve">Para años contributivos comenzados luego del 31 de diciembre de 2024 las cantidades máximas permitidas como deducción en este párrafo serán equivalente a la cantidad máxima permitida bajo la Sección 402(g) </w:t>
      </w:r>
      <w:r w:rsidRPr="005E7EDA">
        <w:rPr>
          <w:rFonts w:ascii="Book Antiqua" w:hAnsi="Book Antiqua" w:cs="Segoe UI"/>
          <w:i/>
          <w:iCs/>
          <w:color w:val="000000"/>
        </w:rPr>
        <w:t>del Código de</w:t>
      </w:r>
      <w:r>
        <w:rPr>
          <w:rFonts w:ascii="Book Antiqua" w:hAnsi="Book Antiqua" w:cs="Segoe UI"/>
          <w:i/>
          <w:iCs/>
          <w:color w:val="000000"/>
        </w:rPr>
        <w:t xml:space="preserve"> </w:t>
      </w:r>
      <w:r w:rsidRPr="005E7EDA">
        <w:rPr>
          <w:rFonts w:ascii="Book Antiqua" w:hAnsi="Book Antiqua" w:cs="Segoe UI"/>
          <w:i/>
          <w:iCs/>
          <w:color w:val="000000"/>
        </w:rPr>
        <w:t xml:space="preserve">Rentas Internas de los Estados Unidos de 1986, según enmendado, </w:t>
      </w:r>
      <w:r w:rsidRPr="005E7EDA">
        <w:rPr>
          <w:rFonts w:ascii="Book Antiqua" w:hAnsi="Book Antiqua" w:cs="Segoe UI"/>
          <w:i/>
          <w:iCs/>
          <w:color w:val="000000"/>
        </w:rPr>
        <w:lastRenderedPageBreak/>
        <w:t>o cualquier</w:t>
      </w:r>
      <w:r>
        <w:rPr>
          <w:rFonts w:ascii="Book Antiqua" w:hAnsi="Book Antiqua" w:cs="Segoe UI"/>
          <w:i/>
          <w:iCs/>
          <w:color w:val="000000"/>
        </w:rPr>
        <w:t xml:space="preserve"> </w:t>
      </w:r>
      <w:r w:rsidRPr="005E7EDA">
        <w:rPr>
          <w:rFonts w:ascii="Book Antiqua" w:hAnsi="Book Antiqua" w:cs="Segoe UI"/>
          <w:i/>
          <w:iCs/>
          <w:color w:val="000000"/>
        </w:rPr>
        <w:t>disposición legal sucesora, según ajustado por el Servicio de Rentas Internas Federal</w:t>
      </w:r>
      <w:r>
        <w:rPr>
          <w:rFonts w:ascii="Book Antiqua" w:hAnsi="Book Antiqua" w:cs="Segoe UI"/>
          <w:i/>
          <w:iCs/>
          <w:color w:val="000000"/>
        </w:rPr>
        <w:t>.</w:t>
      </w:r>
    </w:p>
    <w:p w14:paraId="27497813" w14:textId="77777777" w:rsidR="00BE518F" w:rsidRDefault="00BE518F" w:rsidP="00B13BE3">
      <w:pPr>
        <w:spacing w:line="480" w:lineRule="auto"/>
        <w:ind w:left="1440"/>
        <w:jc w:val="both"/>
        <w:textAlignment w:val="baseline"/>
        <w:rPr>
          <w:rFonts w:ascii="Book Antiqua" w:hAnsi="Book Antiqua" w:cs="Segoe UI"/>
          <w:i/>
          <w:iCs/>
          <w:color w:val="000000"/>
        </w:rPr>
      </w:pPr>
      <w:r>
        <w:rPr>
          <w:rFonts w:ascii="Book Antiqua" w:hAnsi="Book Antiqua" w:cs="Segoe UI"/>
          <w:color w:val="000000"/>
        </w:rPr>
        <w:t>(</w:t>
      </w:r>
      <w:r w:rsidRPr="007E1BB4">
        <w:rPr>
          <w:rFonts w:ascii="Book Antiqua" w:hAnsi="Book Antiqua" w:cs="Segoe UI"/>
          <w:color w:val="000000"/>
        </w:rPr>
        <w:t xml:space="preserve">8) </w:t>
      </w:r>
      <w:r>
        <w:rPr>
          <w:rFonts w:ascii="Book Antiqua" w:hAnsi="Book Antiqua" w:cs="Segoe UI"/>
          <w:color w:val="000000"/>
        </w:rPr>
        <w:t>…</w:t>
      </w:r>
    </w:p>
    <w:p w14:paraId="48903995" w14:textId="77777777" w:rsidR="00BE518F" w:rsidRDefault="00BE518F" w:rsidP="00B13BE3">
      <w:pPr>
        <w:spacing w:line="480" w:lineRule="auto"/>
        <w:ind w:left="1440"/>
        <w:jc w:val="both"/>
        <w:textAlignment w:val="baseline"/>
        <w:rPr>
          <w:rFonts w:ascii="Book Antiqua" w:hAnsi="Book Antiqua" w:cs="Segoe UI"/>
          <w:color w:val="000000"/>
        </w:rPr>
      </w:pPr>
      <w:r>
        <w:rPr>
          <w:rFonts w:ascii="Book Antiqua" w:hAnsi="Book Antiqua" w:cs="Segoe UI"/>
          <w:i/>
          <w:iCs/>
          <w:color w:val="000000"/>
        </w:rPr>
        <w:t>…</w:t>
      </w:r>
      <w:r w:rsidRPr="007E1BB4">
        <w:rPr>
          <w:rFonts w:ascii="Book Antiqua" w:hAnsi="Book Antiqua" w:cs="Segoe UI"/>
          <w:color w:val="000000"/>
        </w:rPr>
        <w:t>”</w:t>
      </w:r>
    </w:p>
    <w:p w14:paraId="5FFDEA4F" w14:textId="77777777" w:rsidR="00BE518F" w:rsidRPr="00E15C97" w:rsidRDefault="00BE518F" w:rsidP="00B13BE3">
      <w:pPr>
        <w:pStyle w:val="Heading1"/>
        <w:rPr>
          <w:color w:val="000000" w:themeColor="text1"/>
        </w:rPr>
      </w:pPr>
      <w:r w:rsidRPr="00E15C97">
        <w:rPr>
          <w:color w:val="000000" w:themeColor="text1"/>
        </w:rPr>
        <w:t xml:space="preserve">Artículo </w:t>
      </w:r>
      <w:r>
        <w:rPr>
          <w:color w:val="000000" w:themeColor="text1"/>
        </w:rPr>
        <w:t>2</w:t>
      </w:r>
      <w:r w:rsidRPr="00E15C97">
        <w:rPr>
          <w:color w:val="000000" w:themeColor="text1"/>
        </w:rPr>
        <w:t>.- Vigencia.</w:t>
      </w:r>
    </w:p>
    <w:p w14:paraId="3932C625" w14:textId="165480EA" w:rsidR="0074471F" w:rsidRPr="00557579" w:rsidRDefault="00BE518F" w:rsidP="00B13BE3">
      <w:pPr>
        <w:pStyle w:val="Heading1"/>
        <w:rPr>
          <w:color w:val="000000" w:themeColor="text1"/>
        </w:rPr>
      </w:pPr>
      <w:r w:rsidRPr="00E15C97">
        <w:rPr>
          <w:color w:val="000000" w:themeColor="text1"/>
        </w:rPr>
        <w:t xml:space="preserve">Esta Ley entrará en vigor inmediatamente después de su aprobación. </w:t>
      </w:r>
    </w:p>
    <w:sectPr w:rsidR="0074471F" w:rsidRPr="00557579" w:rsidSect="00BE518F">
      <w:headerReference w:type="even" r:id="rId12"/>
      <w:headerReference w:type="default" r:id="rId13"/>
      <w:headerReference w:type="first" r:id="rId1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A63D5" w14:textId="77777777" w:rsidR="00803B74" w:rsidRPr="007F2135" w:rsidRDefault="00803B74">
      <w:r w:rsidRPr="007F2135">
        <w:separator/>
      </w:r>
    </w:p>
  </w:endnote>
  <w:endnote w:type="continuationSeparator" w:id="0">
    <w:p w14:paraId="6362B6F3" w14:textId="77777777" w:rsidR="00803B74" w:rsidRPr="007F2135" w:rsidRDefault="00803B74">
      <w:r w:rsidRPr="007F2135">
        <w:continuationSeparator/>
      </w:r>
    </w:p>
  </w:endnote>
  <w:endnote w:type="continuationNotice" w:id="1">
    <w:p w14:paraId="002FDC17" w14:textId="77777777" w:rsidR="00803B74" w:rsidRPr="007F2135" w:rsidRDefault="00803B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D8C81B9E-5176-4F50-9956-01BB295BD676}"/>
    <w:embedBold r:id="rId2" w:fontKey="{E0089367-6422-4043-B402-C72228CF8D71}"/>
    <w:embedItalic r:id="rId3" w:fontKey="{833E0BA6-25FB-445F-A601-A4900E8BE62F}"/>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embedRegular r:id="rId4" w:fontKey="{D4ABEA33-4B9B-4845-A4F5-DF2BCADAAD0A}"/>
    <w:embedItalic r:id="rId5" w:fontKey="{C40A6E78-D103-47D3-B33E-A73443CE8D31}"/>
  </w:font>
  <w:font w:name="Georgia">
    <w:panose1 w:val="02040502050405020303"/>
    <w:charset w:val="00"/>
    <w:family w:val="roman"/>
    <w:pitch w:val="variable"/>
    <w:sig w:usb0="00000287" w:usb1="00000000" w:usb2="00000000" w:usb3="00000000" w:csb0="0000009F" w:csb1="00000000"/>
    <w:embedRegular r:id="rId6" w:fontKey="{1E1D9ED4-675B-4A7E-B777-DC73627D852F}"/>
    <w:embedItalic r:id="rId7" w:fontKey="{B43AFE23-35EF-4289-956B-906933B9F978}"/>
  </w:font>
  <w:font w:name="DengXian">
    <w:altName w:val="等线"/>
    <w:panose1 w:val="02010600030101010101"/>
    <w:charset w:val="86"/>
    <w:family w:val="auto"/>
    <w:pitch w:val="variable"/>
    <w:sig w:usb0="A00002BF" w:usb1="38CF7CFA" w:usb2="00000016" w:usb3="00000000" w:csb0="0004000F" w:csb1="00000000"/>
  </w:font>
  <w:font w:name="DXANP N+ Serifa B T,">
    <w:altName w:val="Cambria"/>
    <w:charset w:val="00"/>
    <w:family w:val="auto"/>
    <w:pitch w:val="default"/>
  </w:font>
  <w:font w:name="Aptos">
    <w:charset w:val="00"/>
    <w:family w:val="swiss"/>
    <w:pitch w:val="variable"/>
    <w:sig w:usb0="20000287" w:usb1="00000003" w:usb2="00000000" w:usb3="00000000" w:csb0="0000019F" w:csb1="00000000"/>
    <w:embedRegular r:id="rId8" w:fontKey="{F2169A7C-22FC-41E6-8571-6DEAC0F5BC1F}"/>
    <w:embedItalic r:id="rId9" w:fontKey="{8768B2A8-0494-4660-914B-A35919DC4A07}"/>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10" w:fontKey="{B936D08C-98FD-423F-9399-416FA33EA205}"/>
  </w:font>
  <w:font w:name="Calibri">
    <w:panose1 w:val="020F0502020204030204"/>
    <w:charset w:val="00"/>
    <w:family w:val="swiss"/>
    <w:pitch w:val="variable"/>
    <w:sig w:usb0="E4002EFF" w:usb1="C200247B" w:usb2="00000009" w:usb3="00000000" w:csb0="000001FF" w:csb1="00000000"/>
    <w:embedRegular r:id="rId11" w:fontKey="{7A45CDC8-682B-4DC5-BAC5-5366315C8AB9}"/>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Pr="007F2135"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rsidRPr="007F2135" w14:paraId="7955069F" w14:textId="77777777">
      <w:trPr>
        <w:trHeight w:val="300"/>
      </w:trPr>
      <w:tc>
        <w:tcPr>
          <w:tcW w:w="3120" w:type="dxa"/>
          <w:tcMar>
            <w:top w:w="0" w:type="dxa"/>
            <w:left w:w="108" w:type="dxa"/>
            <w:bottom w:w="0" w:type="dxa"/>
            <w:right w:w="108" w:type="dxa"/>
          </w:tcMar>
        </w:tcPr>
        <w:p w14:paraId="7955069C" w14:textId="77777777" w:rsidR="00FF2214" w:rsidRPr="007F213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Pr="007F213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Pr="007F2135" w:rsidRDefault="00FF2214">
          <w:pPr>
            <w:tabs>
              <w:tab w:val="center" w:pos="4320"/>
              <w:tab w:val="right" w:pos="8640"/>
            </w:tabs>
            <w:ind w:right="-115"/>
            <w:jc w:val="right"/>
            <w:rPr>
              <w:color w:val="000000"/>
            </w:rPr>
          </w:pPr>
        </w:p>
      </w:tc>
    </w:tr>
  </w:tbl>
  <w:p w14:paraId="795506A0" w14:textId="77777777" w:rsidR="00FF2214" w:rsidRPr="007F2135"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Pr="007F2135"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rsidRPr="007F2135" w14:paraId="795506A7" w14:textId="77777777">
      <w:trPr>
        <w:trHeight w:val="300"/>
      </w:trPr>
      <w:tc>
        <w:tcPr>
          <w:tcW w:w="3120" w:type="dxa"/>
          <w:tcMar>
            <w:top w:w="0" w:type="dxa"/>
            <w:left w:w="108" w:type="dxa"/>
            <w:bottom w:w="0" w:type="dxa"/>
            <w:right w:w="108" w:type="dxa"/>
          </w:tcMar>
        </w:tcPr>
        <w:p w14:paraId="795506A4" w14:textId="77777777" w:rsidR="00FF2214" w:rsidRPr="007F213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Pr="007F213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Pr="007F2135" w:rsidRDefault="00FF2214">
          <w:pPr>
            <w:tabs>
              <w:tab w:val="center" w:pos="4320"/>
              <w:tab w:val="right" w:pos="8640"/>
            </w:tabs>
            <w:ind w:right="-115"/>
            <w:jc w:val="right"/>
            <w:rPr>
              <w:color w:val="000000"/>
            </w:rPr>
          </w:pPr>
        </w:p>
      </w:tc>
    </w:tr>
  </w:tbl>
  <w:p w14:paraId="795506A8" w14:textId="77777777" w:rsidR="00FF2214" w:rsidRPr="007F2135"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1099F" w14:textId="77777777" w:rsidR="00803B74" w:rsidRPr="007F2135" w:rsidRDefault="00803B74">
      <w:r w:rsidRPr="007F2135">
        <w:separator/>
      </w:r>
    </w:p>
  </w:footnote>
  <w:footnote w:type="continuationSeparator" w:id="0">
    <w:p w14:paraId="444628A6" w14:textId="77777777" w:rsidR="00803B74" w:rsidRPr="007F2135" w:rsidRDefault="00803B74">
      <w:r w:rsidRPr="007F2135">
        <w:continuationSeparator/>
      </w:r>
    </w:p>
  </w:footnote>
  <w:footnote w:type="continuationNotice" w:id="1">
    <w:p w14:paraId="52141F30" w14:textId="77777777" w:rsidR="00803B74" w:rsidRPr="007F2135" w:rsidRDefault="00803B7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Pr="007F2135" w:rsidRDefault="00850770">
    <w:pPr>
      <w:tabs>
        <w:tab w:val="center" w:pos="4320"/>
        <w:tab w:val="right" w:pos="8640"/>
      </w:tabs>
      <w:jc w:val="center"/>
      <w:rPr>
        <w:color w:val="000000"/>
      </w:rPr>
    </w:pPr>
    <w:r w:rsidRPr="007F2135">
      <w:rPr>
        <w:color w:val="000000"/>
      </w:rPr>
      <w:fldChar w:fldCharType="begin"/>
    </w:r>
    <w:r w:rsidRPr="007F2135">
      <w:rPr>
        <w:color w:val="000000"/>
      </w:rPr>
      <w:instrText>PAGE</w:instrText>
    </w:r>
    <w:r w:rsidRPr="007F2135">
      <w:rPr>
        <w:color w:val="000000"/>
      </w:rPr>
      <w:fldChar w:fldCharType="separate"/>
    </w:r>
    <w:r w:rsidRPr="007F2135">
      <w:rPr>
        <w:color w:val="000000"/>
      </w:rPr>
      <w:t>2</w:t>
    </w:r>
    <w:r w:rsidRPr="007F2135">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59A28A64" w:rsidR="00FF2214" w:rsidRPr="007F2135" w:rsidRDefault="00850770">
    <w:pPr>
      <w:tabs>
        <w:tab w:val="center" w:pos="4320"/>
        <w:tab w:val="right" w:pos="8640"/>
      </w:tabs>
      <w:jc w:val="right"/>
      <w:rPr>
        <w:color w:val="000000"/>
      </w:rPr>
    </w:pPr>
    <w:r w:rsidRPr="007F2135">
      <w:rPr>
        <w:color w:val="000000"/>
      </w:rPr>
      <w:t>A-0</w:t>
    </w:r>
    <w:r w:rsidR="009416EA">
      <w:rPr>
        <w:color w:val="000000"/>
      </w:rPr>
      <w:t>4</w:t>
    </w:r>
    <w:r w:rsidR="00EF0A9E">
      <w:rPr>
        <w:color w:val="000000"/>
      </w:rPr>
      <w:t>9</w:t>
    </w:r>
  </w:p>
  <w:p w14:paraId="795506A2" w14:textId="77777777" w:rsidR="00FF2214" w:rsidRPr="007F2135" w:rsidRDefault="00850770">
    <w:pPr>
      <w:tabs>
        <w:tab w:val="center" w:pos="4320"/>
        <w:tab w:val="right" w:pos="8640"/>
      </w:tabs>
      <w:rPr>
        <w:color w:val="000000"/>
      </w:rPr>
    </w:pPr>
    <w:r w:rsidRPr="007F2135">
      <w:rPr>
        <w:color w:val="000000"/>
      </w:rPr>
      <w:tab/>
    </w:r>
    <w:r w:rsidRPr="007F2135">
      <w:rPr>
        <w:color w:val="00000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ED554" w14:textId="12CC36E2" w:rsidR="00BE518F" w:rsidRDefault="00BE518F">
    <w:pPr>
      <w:pStyle w:val="Header"/>
    </w:pPr>
    <w:r>
      <w:rPr>
        <w:noProof/>
      </w:rPr>
      <mc:AlternateContent>
        <mc:Choice Requires="wps">
          <w:drawing>
            <wp:anchor distT="0" distB="0" distL="114300" distR="114300" simplePos="0" relativeHeight="251659264" behindDoc="1" locked="0" layoutInCell="0" allowOverlap="1" wp14:anchorId="0AB962E2" wp14:editId="189121D9">
              <wp:simplePos x="0" y="0"/>
              <wp:positionH relativeFrom="margin">
                <wp:align>center</wp:align>
              </wp:positionH>
              <wp:positionV relativeFrom="margin">
                <wp:align>center</wp:align>
              </wp:positionV>
              <wp:extent cx="6703695" cy="1675765"/>
              <wp:effectExtent l="0" t="1714500" r="0" b="1848485"/>
              <wp:wrapNone/>
              <wp:docPr id="98525568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703695" cy="16757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04A74C0" w14:textId="77777777" w:rsidR="00BE518F" w:rsidRDefault="00BE518F" w:rsidP="00BE518F">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
          <w:pict>
            <v:shapetype w14:anchorId="0AB962E2" id="_x0000_t202" coordsize="21600,21600" o:spt="202" path="m,l,21600r21600,l21600,xe">
              <v:stroke joinstyle="miter"/>
              <v:path gradientshapeok="t" o:connecttype="rect"/>
            </v:shapetype>
            <v:shape id="Text Box 1" o:spid="_x0000_s1026" type="#_x0000_t202" style="position:absolute;margin-left:0;margin-top:0;width:527.85pt;height:131.9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" o:allowincell="f" filled="f" stroked="f">
              <v:stroke joinstyle="round"/>
              <o:lock v:ext="edit" shapetype="t"/>
              <v:textbox style="mso-fit-shape-to-text:t">
                <w:txbxContent>
                  <w:p w14:paraId="304A74C0" w14:textId="77777777" w:rsidR="00BE518F" w:rsidRDefault="00BE518F" w:rsidP="00BE518F">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Borrador</w:t>
                    </w:r>
                  </w:p>
                </w:txbxContent>
              </v:textbox>
              <w10:wrap anchorx="margin" anchory="margin"/>
            </v:shape>
          </w:pict>
        </mc:Fallback>
      </mc:AlternateContent>
    </w:r>
  </w:p>
  <w:p w14:paraId="21CAD16F" w14:textId="77777777" w:rsidR="00BE518F" w:rsidRDefault="00BE518F"/>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E8638" w14:textId="45B4DE04" w:rsidR="00BE518F" w:rsidRDefault="00BE518F" w:rsidP="006B0761">
    <w:pPr>
      <w:pStyle w:val="Header"/>
      <w:jc w:val="center"/>
    </w:pPr>
    <w:r>
      <w:rPr>
        <w:noProof/>
      </w:rPr>
      <mc:AlternateContent>
        <mc:Choice Requires="wps">
          <w:drawing>
            <wp:anchor distT="0" distB="0" distL="114300" distR="114300" simplePos="0" relativeHeight="251660288" behindDoc="1" locked="0" layoutInCell="0" allowOverlap="1" wp14:anchorId="05131E52" wp14:editId="268E8C9B">
              <wp:simplePos x="0" y="0"/>
              <wp:positionH relativeFrom="margin">
                <wp:align>center</wp:align>
              </wp:positionH>
              <wp:positionV relativeFrom="margin">
                <wp:align>center</wp:align>
              </wp:positionV>
              <wp:extent cx="6703695" cy="1675765"/>
              <wp:effectExtent l="0" t="1714500" r="0" b="1848485"/>
              <wp:wrapNone/>
              <wp:docPr id="10572412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703695" cy="16757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71047F1" w14:textId="77777777" w:rsidR="00BE518F" w:rsidRDefault="00BE518F" w:rsidP="00BE518F">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
          <w:pict>
            <v:shapetype w14:anchorId="05131E52" id="_x0000_t202" coordsize="21600,21600" o:spt="202" path="m,l,21600r21600,l21600,xe">
              <v:stroke joinstyle="miter"/>
              <v:path gradientshapeok="t" o:connecttype="rect"/>
            </v:shapetype>
            <v:shape id="Text Box 2" o:spid="_x0000_s1027" type="#_x0000_t202" style="position:absolute;left:0;text-align:left;margin-left:0;margin-top:0;width:527.85pt;height:131.9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" o:allowincell="f" filled="f" stroked="f">
              <v:stroke joinstyle="round"/>
              <o:lock v:ext="edit" shapetype="t"/>
              <v:textbox style="mso-fit-shape-to-text:t">
                <w:txbxContent>
                  <w:p w14:paraId="671047F1" w14:textId="77777777" w:rsidR="00BE518F" w:rsidRDefault="00BE518F" w:rsidP="00BE518F">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Borrador</w:t>
                    </w:r>
                  </w:p>
                </w:txbxContent>
              </v:textbox>
              <w10:wrap anchorx="margin" anchory="margin"/>
            </v:shape>
          </w:pict>
        </mc:Fallback>
      </mc:AlternateConten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r>
      <w:rPr>
        <w:rStyle w:val="PageNumber"/>
      </w:rPr>
      <w:br/>
    </w:r>
    <w:r>
      <w:rPr>
        <w:rStyle w:val="PageNumber"/>
      </w:rPr>
      <w:br/>
    </w:r>
    <w:r>
      <w:rPr>
        <w:rStyle w:val="PageNumber"/>
      </w:rPr>
      <w:br/>
    </w:r>
  </w:p>
  <w:p w14:paraId="47FFBABB" w14:textId="77777777" w:rsidR="00BE518F" w:rsidRDefault="00BE518F"/>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BC7F2" w14:textId="77777777" w:rsidR="00BE518F" w:rsidRDefault="00BE518F" w:rsidP="00B36D83">
    <w:pPr>
      <w:pStyle w:val="Header"/>
      <w:jc w:val="right"/>
    </w:pPr>
    <w:r>
      <w:t>A-049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6B0C6F38"/>
    <w:multiLevelType w:val="multilevel"/>
    <w:tmpl w:val="0358C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9022361"/>
    <w:multiLevelType w:val="hybridMultilevel"/>
    <w:tmpl w:val="93EC2CA4"/>
    <w:lvl w:ilvl="0" w:tplc="FFFFFFFF">
      <w:start w:val="1"/>
      <w:numFmt w:val="lowerLetter"/>
      <w:lvlText w:val="(%1)"/>
      <w:lvlJc w:val="left"/>
      <w:pPr>
        <w:ind w:left="1080" w:hanging="360"/>
      </w:pPr>
      <w:rPr>
        <w:rFonts w:hint="default"/>
      </w:rPr>
    </w:lvl>
    <w:lvl w:ilvl="1" w:tplc="69F455C2">
      <w:start w:val="1"/>
      <w:numFmt w:val="decimal"/>
      <w:lvlText w:val="(%2)"/>
      <w:lvlJc w:val="left"/>
      <w:pPr>
        <w:ind w:left="225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514543333">
    <w:abstractNumId w:val="10"/>
  </w:num>
  <w:num w:numId="2" w16cid:durableId="1844394367">
    <w:abstractNumId w:val="4"/>
  </w:num>
  <w:num w:numId="3" w16cid:durableId="48185947">
    <w:abstractNumId w:val="20"/>
  </w:num>
  <w:num w:numId="4" w16cid:durableId="1783574521">
    <w:abstractNumId w:val="15"/>
  </w:num>
  <w:num w:numId="5" w16cid:durableId="443111931">
    <w:abstractNumId w:val="13"/>
  </w:num>
  <w:num w:numId="6" w16cid:durableId="1153910825">
    <w:abstractNumId w:val="1"/>
  </w:num>
  <w:num w:numId="7" w16cid:durableId="281156772">
    <w:abstractNumId w:val="16"/>
  </w:num>
  <w:num w:numId="8" w16cid:durableId="2092505804">
    <w:abstractNumId w:val="0"/>
  </w:num>
  <w:num w:numId="9" w16cid:durableId="1241595162">
    <w:abstractNumId w:val="3"/>
  </w:num>
  <w:num w:numId="10" w16cid:durableId="1333600705">
    <w:abstractNumId w:val="6"/>
  </w:num>
  <w:num w:numId="11" w16cid:durableId="384835755">
    <w:abstractNumId w:val="7"/>
  </w:num>
  <w:num w:numId="12" w16cid:durableId="1844976573">
    <w:abstractNumId w:val="11"/>
  </w:num>
  <w:num w:numId="13" w16cid:durableId="1566984903">
    <w:abstractNumId w:val="9"/>
  </w:num>
  <w:num w:numId="14" w16cid:durableId="2070571449">
    <w:abstractNumId w:val="17"/>
  </w:num>
  <w:num w:numId="15" w16cid:durableId="486555809">
    <w:abstractNumId w:val="8"/>
  </w:num>
  <w:num w:numId="16" w16cid:durableId="549342782">
    <w:abstractNumId w:val="19"/>
  </w:num>
  <w:num w:numId="17" w16cid:durableId="1839929571">
    <w:abstractNumId w:val="2"/>
  </w:num>
  <w:num w:numId="18" w16cid:durableId="1698197307">
    <w:abstractNumId w:val="5"/>
  </w:num>
  <w:num w:numId="19" w16cid:durableId="2127237579">
    <w:abstractNumId w:val="12"/>
  </w:num>
  <w:num w:numId="20" w16cid:durableId="1307661653">
    <w:abstractNumId w:val="14"/>
  </w:num>
  <w:num w:numId="21" w16cid:durableId="1707103882">
    <w:abstractNumId w:val="18"/>
  </w:num>
  <w:num w:numId="22" w16cid:durableId="36544466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2C6"/>
    <w:rsid w:val="0001054D"/>
    <w:rsid w:val="000107AB"/>
    <w:rsid w:val="00010836"/>
    <w:rsid w:val="0001793B"/>
    <w:rsid w:val="00022FC4"/>
    <w:rsid w:val="00027C66"/>
    <w:rsid w:val="00032F6A"/>
    <w:rsid w:val="00040CAA"/>
    <w:rsid w:val="000502AE"/>
    <w:rsid w:val="00052113"/>
    <w:rsid w:val="00056D71"/>
    <w:rsid w:val="00057EF4"/>
    <w:rsid w:val="00066DD3"/>
    <w:rsid w:val="0007036F"/>
    <w:rsid w:val="000741B3"/>
    <w:rsid w:val="0008657D"/>
    <w:rsid w:val="00091F49"/>
    <w:rsid w:val="00093558"/>
    <w:rsid w:val="00094484"/>
    <w:rsid w:val="0009603C"/>
    <w:rsid w:val="000A1DC3"/>
    <w:rsid w:val="000A33B9"/>
    <w:rsid w:val="000B33EC"/>
    <w:rsid w:val="000B7038"/>
    <w:rsid w:val="000B757B"/>
    <w:rsid w:val="000B77A8"/>
    <w:rsid w:val="000C0F6A"/>
    <w:rsid w:val="000C5223"/>
    <w:rsid w:val="000C58FF"/>
    <w:rsid w:val="000C68E5"/>
    <w:rsid w:val="000D2EB5"/>
    <w:rsid w:val="000D30A4"/>
    <w:rsid w:val="000E515E"/>
    <w:rsid w:val="000E6633"/>
    <w:rsid w:val="000F222B"/>
    <w:rsid w:val="00113415"/>
    <w:rsid w:val="001150B3"/>
    <w:rsid w:val="00115129"/>
    <w:rsid w:val="001216F2"/>
    <w:rsid w:val="0012419B"/>
    <w:rsid w:val="001255FB"/>
    <w:rsid w:val="001275A9"/>
    <w:rsid w:val="001336EE"/>
    <w:rsid w:val="00133D83"/>
    <w:rsid w:val="001433C2"/>
    <w:rsid w:val="001437B2"/>
    <w:rsid w:val="00150C87"/>
    <w:rsid w:val="00152B9A"/>
    <w:rsid w:val="00157BB5"/>
    <w:rsid w:val="001613A5"/>
    <w:rsid w:val="00164E97"/>
    <w:rsid w:val="001677A8"/>
    <w:rsid w:val="0017795B"/>
    <w:rsid w:val="00185EA9"/>
    <w:rsid w:val="00191362"/>
    <w:rsid w:val="00194A5E"/>
    <w:rsid w:val="00194D59"/>
    <w:rsid w:val="0019674C"/>
    <w:rsid w:val="001969E8"/>
    <w:rsid w:val="001A1EA2"/>
    <w:rsid w:val="001C05DD"/>
    <w:rsid w:val="001C1387"/>
    <w:rsid w:val="001C50A0"/>
    <w:rsid w:val="001C7468"/>
    <w:rsid w:val="001D07B3"/>
    <w:rsid w:val="001D0FDF"/>
    <w:rsid w:val="001D1537"/>
    <w:rsid w:val="001D4BBB"/>
    <w:rsid w:val="001D54A8"/>
    <w:rsid w:val="001E1A20"/>
    <w:rsid w:val="001F0888"/>
    <w:rsid w:val="001F0F16"/>
    <w:rsid w:val="001F3565"/>
    <w:rsid w:val="001F4366"/>
    <w:rsid w:val="0021009A"/>
    <w:rsid w:val="002121D5"/>
    <w:rsid w:val="002138BE"/>
    <w:rsid w:val="00226D6B"/>
    <w:rsid w:val="00230215"/>
    <w:rsid w:val="002304C5"/>
    <w:rsid w:val="002318F0"/>
    <w:rsid w:val="00231C2C"/>
    <w:rsid w:val="0023393F"/>
    <w:rsid w:val="002429DB"/>
    <w:rsid w:val="002435A4"/>
    <w:rsid w:val="0024422E"/>
    <w:rsid w:val="00251AFB"/>
    <w:rsid w:val="00252646"/>
    <w:rsid w:val="00254DCC"/>
    <w:rsid w:val="002600AE"/>
    <w:rsid w:val="00260FC0"/>
    <w:rsid w:val="002646F8"/>
    <w:rsid w:val="00266688"/>
    <w:rsid w:val="00273031"/>
    <w:rsid w:val="00285A15"/>
    <w:rsid w:val="0028794F"/>
    <w:rsid w:val="00291A4F"/>
    <w:rsid w:val="002A1D65"/>
    <w:rsid w:val="002A23EE"/>
    <w:rsid w:val="002A4131"/>
    <w:rsid w:val="002A4F4F"/>
    <w:rsid w:val="002B2FBB"/>
    <w:rsid w:val="002B5618"/>
    <w:rsid w:val="002B62EE"/>
    <w:rsid w:val="002B7906"/>
    <w:rsid w:val="002C1726"/>
    <w:rsid w:val="002C5A5A"/>
    <w:rsid w:val="002D6159"/>
    <w:rsid w:val="002F21CF"/>
    <w:rsid w:val="002F48BA"/>
    <w:rsid w:val="002F5B16"/>
    <w:rsid w:val="00302E03"/>
    <w:rsid w:val="00302F90"/>
    <w:rsid w:val="0030308D"/>
    <w:rsid w:val="00310FDD"/>
    <w:rsid w:val="0031323F"/>
    <w:rsid w:val="00313C97"/>
    <w:rsid w:val="00314E6B"/>
    <w:rsid w:val="00321AB7"/>
    <w:rsid w:val="0032794E"/>
    <w:rsid w:val="00332E7A"/>
    <w:rsid w:val="00343CBC"/>
    <w:rsid w:val="0034626A"/>
    <w:rsid w:val="00346582"/>
    <w:rsid w:val="003524D5"/>
    <w:rsid w:val="00356264"/>
    <w:rsid w:val="00356E97"/>
    <w:rsid w:val="00365FFA"/>
    <w:rsid w:val="00371D68"/>
    <w:rsid w:val="00372E7F"/>
    <w:rsid w:val="0037751A"/>
    <w:rsid w:val="00381E1D"/>
    <w:rsid w:val="00391B13"/>
    <w:rsid w:val="003A2100"/>
    <w:rsid w:val="003B17EE"/>
    <w:rsid w:val="003B2357"/>
    <w:rsid w:val="003B6F6C"/>
    <w:rsid w:val="003C79D6"/>
    <w:rsid w:val="003D3B08"/>
    <w:rsid w:val="003D42BF"/>
    <w:rsid w:val="003D4499"/>
    <w:rsid w:val="003E0CF2"/>
    <w:rsid w:val="003E2D11"/>
    <w:rsid w:val="003E30F3"/>
    <w:rsid w:val="003F18AA"/>
    <w:rsid w:val="003F352A"/>
    <w:rsid w:val="00411B21"/>
    <w:rsid w:val="00411D69"/>
    <w:rsid w:val="004143E0"/>
    <w:rsid w:val="00415E5D"/>
    <w:rsid w:val="00416F13"/>
    <w:rsid w:val="0041790E"/>
    <w:rsid w:val="004221C5"/>
    <w:rsid w:val="004246A8"/>
    <w:rsid w:val="00425710"/>
    <w:rsid w:val="0042619D"/>
    <w:rsid w:val="00432896"/>
    <w:rsid w:val="00437135"/>
    <w:rsid w:val="00437DC4"/>
    <w:rsid w:val="004403A8"/>
    <w:rsid w:val="00444257"/>
    <w:rsid w:val="00447F1B"/>
    <w:rsid w:val="00452649"/>
    <w:rsid w:val="00461FBD"/>
    <w:rsid w:val="00462353"/>
    <w:rsid w:val="00462BEA"/>
    <w:rsid w:val="00465256"/>
    <w:rsid w:val="004674AD"/>
    <w:rsid w:val="0048210C"/>
    <w:rsid w:val="0049425A"/>
    <w:rsid w:val="004A0EAF"/>
    <w:rsid w:val="004A5974"/>
    <w:rsid w:val="004A63FB"/>
    <w:rsid w:val="004A763E"/>
    <w:rsid w:val="004A7CA2"/>
    <w:rsid w:val="004B290C"/>
    <w:rsid w:val="004B357F"/>
    <w:rsid w:val="004C411D"/>
    <w:rsid w:val="004C41AE"/>
    <w:rsid w:val="004C6236"/>
    <w:rsid w:val="004D03F5"/>
    <w:rsid w:val="004D0CDB"/>
    <w:rsid w:val="004D7071"/>
    <w:rsid w:val="004E04A9"/>
    <w:rsid w:val="004E6136"/>
    <w:rsid w:val="004F6B8B"/>
    <w:rsid w:val="005003F6"/>
    <w:rsid w:val="00502B14"/>
    <w:rsid w:val="00503836"/>
    <w:rsid w:val="00503C13"/>
    <w:rsid w:val="00504742"/>
    <w:rsid w:val="00506CA0"/>
    <w:rsid w:val="00511693"/>
    <w:rsid w:val="00521CE8"/>
    <w:rsid w:val="005229AD"/>
    <w:rsid w:val="00524FBA"/>
    <w:rsid w:val="00526AC9"/>
    <w:rsid w:val="00527B13"/>
    <w:rsid w:val="00534596"/>
    <w:rsid w:val="005427F8"/>
    <w:rsid w:val="00543529"/>
    <w:rsid w:val="00546040"/>
    <w:rsid w:val="00552C7A"/>
    <w:rsid w:val="00556C43"/>
    <w:rsid w:val="00557579"/>
    <w:rsid w:val="005640D7"/>
    <w:rsid w:val="0056577A"/>
    <w:rsid w:val="00573345"/>
    <w:rsid w:val="0057336F"/>
    <w:rsid w:val="00573C36"/>
    <w:rsid w:val="0057614A"/>
    <w:rsid w:val="00576725"/>
    <w:rsid w:val="00580739"/>
    <w:rsid w:val="00591957"/>
    <w:rsid w:val="005A3527"/>
    <w:rsid w:val="005A5C2E"/>
    <w:rsid w:val="005B3512"/>
    <w:rsid w:val="005B3BBD"/>
    <w:rsid w:val="005C3826"/>
    <w:rsid w:val="005C3AFC"/>
    <w:rsid w:val="005C7524"/>
    <w:rsid w:val="005D3EB3"/>
    <w:rsid w:val="005D7F54"/>
    <w:rsid w:val="005E3602"/>
    <w:rsid w:val="005E3680"/>
    <w:rsid w:val="005E4152"/>
    <w:rsid w:val="005E63C3"/>
    <w:rsid w:val="005E7EC5"/>
    <w:rsid w:val="005F0A2C"/>
    <w:rsid w:val="005F0E8D"/>
    <w:rsid w:val="005F265C"/>
    <w:rsid w:val="005F2872"/>
    <w:rsid w:val="005F486E"/>
    <w:rsid w:val="0060246B"/>
    <w:rsid w:val="00604DA6"/>
    <w:rsid w:val="006156E3"/>
    <w:rsid w:val="00615B4D"/>
    <w:rsid w:val="0061628B"/>
    <w:rsid w:val="0062471D"/>
    <w:rsid w:val="006414C7"/>
    <w:rsid w:val="00642C79"/>
    <w:rsid w:val="006430D0"/>
    <w:rsid w:val="0064494E"/>
    <w:rsid w:val="00654571"/>
    <w:rsid w:val="00657A02"/>
    <w:rsid w:val="00663D06"/>
    <w:rsid w:val="00670249"/>
    <w:rsid w:val="00670CA7"/>
    <w:rsid w:val="0068065A"/>
    <w:rsid w:val="006819FE"/>
    <w:rsid w:val="00694E17"/>
    <w:rsid w:val="006A1488"/>
    <w:rsid w:val="006B17C2"/>
    <w:rsid w:val="006B3A56"/>
    <w:rsid w:val="006B78AD"/>
    <w:rsid w:val="006C4755"/>
    <w:rsid w:val="006C5540"/>
    <w:rsid w:val="006C6334"/>
    <w:rsid w:val="006D1974"/>
    <w:rsid w:val="006E1314"/>
    <w:rsid w:val="006E37D2"/>
    <w:rsid w:val="006E7A33"/>
    <w:rsid w:val="006F0B06"/>
    <w:rsid w:val="006F205C"/>
    <w:rsid w:val="006F6D54"/>
    <w:rsid w:val="006F7FEA"/>
    <w:rsid w:val="00702DBD"/>
    <w:rsid w:val="007164D0"/>
    <w:rsid w:val="007167E7"/>
    <w:rsid w:val="007255E2"/>
    <w:rsid w:val="00725A20"/>
    <w:rsid w:val="00730772"/>
    <w:rsid w:val="00731270"/>
    <w:rsid w:val="0073352B"/>
    <w:rsid w:val="00736EAA"/>
    <w:rsid w:val="00740BAC"/>
    <w:rsid w:val="0074471F"/>
    <w:rsid w:val="00753E10"/>
    <w:rsid w:val="00755AEC"/>
    <w:rsid w:val="00755DDC"/>
    <w:rsid w:val="00760792"/>
    <w:rsid w:val="00764D63"/>
    <w:rsid w:val="0077017C"/>
    <w:rsid w:val="00773ABA"/>
    <w:rsid w:val="0078017D"/>
    <w:rsid w:val="00781480"/>
    <w:rsid w:val="00790693"/>
    <w:rsid w:val="00791FA9"/>
    <w:rsid w:val="00795BD6"/>
    <w:rsid w:val="007A346E"/>
    <w:rsid w:val="007A4745"/>
    <w:rsid w:val="007A5875"/>
    <w:rsid w:val="007B090C"/>
    <w:rsid w:val="007B5C75"/>
    <w:rsid w:val="007C7157"/>
    <w:rsid w:val="007D76E0"/>
    <w:rsid w:val="007E368D"/>
    <w:rsid w:val="007F2135"/>
    <w:rsid w:val="00803B74"/>
    <w:rsid w:val="00804D98"/>
    <w:rsid w:val="00805B64"/>
    <w:rsid w:val="00805D96"/>
    <w:rsid w:val="00807CED"/>
    <w:rsid w:val="00812840"/>
    <w:rsid w:val="008316F2"/>
    <w:rsid w:val="00831773"/>
    <w:rsid w:val="008337A4"/>
    <w:rsid w:val="00834801"/>
    <w:rsid w:val="00836115"/>
    <w:rsid w:val="00836710"/>
    <w:rsid w:val="008402C1"/>
    <w:rsid w:val="008450D8"/>
    <w:rsid w:val="00850770"/>
    <w:rsid w:val="008574AE"/>
    <w:rsid w:val="00864305"/>
    <w:rsid w:val="008670BC"/>
    <w:rsid w:val="008720A6"/>
    <w:rsid w:val="00881D48"/>
    <w:rsid w:val="008863D7"/>
    <w:rsid w:val="0089008A"/>
    <w:rsid w:val="00890C4D"/>
    <w:rsid w:val="00891773"/>
    <w:rsid w:val="008925BB"/>
    <w:rsid w:val="008A1F5E"/>
    <w:rsid w:val="008A284A"/>
    <w:rsid w:val="008A5641"/>
    <w:rsid w:val="008B1AF6"/>
    <w:rsid w:val="008B3680"/>
    <w:rsid w:val="008C0934"/>
    <w:rsid w:val="008D172D"/>
    <w:rsid w:val="008D2008"/>
    <w:rsid w:val="008D5A27"/>
    <w:rsid w:val="008D5B00"/>
    <w:rsid w:val="008E23CC"/>
    <w:rsid w:val="008E3AED"/>
    <w:rsid w:val="008E5542"/>
    <w:rsid w:val="008E5DA2"/>
    <w:rsid w:val="008F27E4"/>
    <w:rsid w:val="008F7FC7"/>
    <w:rsid w:val="0090179D"/>
    <w:rsid w:val="009061B2"/>
    <w:rsid w:val="009063F6"/>
    <w:rsid w:val="00910CF1"/>
    <w:rsid w:val="00916051"/>
    <w:rsid w:val="009160BD"/>
    <w:rsid w:val="0091725F"/>
    <w:rsid w:val="00922818"/>
    <w:rsid w:val="00930E48"/>
    <w:rsid w:val="0093314A"/>
    <w:rsid w:val="00934C44"/>
    <w:rsid w:val="0093744C"/>
    <w:rsid w:val="009416EA"/>
    <w:rsid w:val="00942E06"/>
    <w:rsid w:val="00950505"/>
    <w:rsid w:val="00950A46"/>
    <w:rsid w:val="00952875"/>
    <w:rsid w:val="00954675"/>
    <w:rsid w:val="00962C3E"/>
    <w:rsid w:val="00963E17"/>
    <w:rsid w:val="00965195"/>
    <w:rsid w:val="00970540"/>
    <w:rsid w:val="00971D18"/>
    <w:rsid w:val="00975B0E"/>
    <w:rsid w:val="009807A4"/>
    <w:rsid w:val="009833D3"/>
    <w:rsid w:val="009927E5"/>
    <w:rsid w:val="009A0ED5"/>
    <w:rsid w:val="009A608A"/>
    <w:rsid w:val="009B47BF"/>
    <w:rsid w:val="009D1C75"/>
    <w:rsid w:val="009D5726"/>
    <w:rsid w:val="009D61E3"/>
    <w:rsid w:val="009D7450"/>
    <w:rsid w:val="009D79EC"/>
    <w:rsid w:val="009E36AA"/>
    <w:rsid w:val="009F15AE"/>
    <w:rsid w:val="00A02203"/>
    <w:rsid w:val="00A04577"/>
    <w:rsid w:val="00A11BAB"/>
    <w:rsid w:val="00A1720E"/>
    <w:rsid w:val="00A22039"/>
    <w:rsid w:val="00A23051"/>
    <w:rsid w:val="00A23581"/>
    <w:rsid w:val="00A23CBE"/>
    <w:rsid w:val="00A26252"/>
    <w:rsid w:val="00A26489"/>
    <w:rsid w:val="00A30925"/>
    <w:rsid w:val="00A3392B"/>
    <w:rsid w:val="00A41F69"/>
    <w:rsid w:val="00A44362"/>
    <w:rsid w:val="00A47378"/>
    <w:rsid w:val="00A47BDC"/>
    <w:rsid w:val="00A52322"/>
    <w:rsid w:val="00A52F9B"/>
    <w:rsid w:val="00A5416B"/>
    <w:rsid w:val="00A55370"/>
    <w:rsid w:val="00A62528"/>
    <w:rsid w:val="00A67A3A"/>
    <w:rsid w:val="00A770A7"/>
    <w:rsid w:val="00A7759E"/>
    <w:rsid w:val="00A8093F"/>
    <w:rsid w:val="00A860DC"/>
    <w:rsid w:val="00A92D34"/>
    <w:rsid w:val="00A94A37"/>
    <w:rsid w:val="00A9567F"/>
    <w:rsid w:val="00AA1BAB"/>
    <w:rsid w:val="00AB417C"/>
    <w:rsid w:val="00AB6B2F"/>
    <w:rsid w:val="00AC7A4D"/>
    <w:rsid w:val="00AD173C"/>
    <w:rsid w:val="00AD1CE3"/>
    <w:rsid w:val="00AD2586"/>
    <w:rsid w:val="00AD39F1"/>
    <w:rsid w:val="00AD3CF8"/>
    <w:rsid w:val="00AD473B"/>
    <w:rsid w:val="00AD4C7D"/>
    <w:rsid w:val="00AE1FE1"/>
    <w:rsid w:val="00AF19DC"/>
    <w:rsid w:val="00AF26DE"/>
    <w:rsid w:val="00B00227"/>
    <w:rsid w:val="00B01686"/>
    <w:rsid w:val="00B02CD9"/>
    <w:rsid w:val="00B03F2F"/>
    <w:rsid w:val="00B06BD6"/>
    <w:rsid w:val="00B06EBD"/>
    <w:rsid w:val="00B12738"/>
    <w:rsid w:val="00B139D2"/>
    <w:rsid w:val="00B13BE3"/>
    <w:rsid w:val="00B13D1B"/>
    <w:rsid w:val="00B14DA2"/>
    <w:rsid w:val="00B155EE"/>
    <w:rsid w:val="00B158BC"/>
    <w:rsid w:val="00B20626"/>
    <w:rsid w:val="00B231AC"/>
    <w:rsid w:val="00B23F46"/>
    <w:rsid w:val="00B24BAA"/>
    <w:rsid w:val="00B34B9F"/>
    <w:rsid w:val="00B41851"/>
    <w:rsid w:val="00B51DBD"/>
    <w:rsid w:val="00B5375E"/>
    <w:rsid w:val="00B54199"/>
    <w:rsid w:val="00B54499"/>
    <w:rsid w:val="00B57F92"/>
    <w:rsid w:val="00B60014"/>
    <w:rsid w:val="00B70B63"/>
    <w:rsid w:val="00B72A6A"/>
    <w:rsid w:val="00B74EC0"/>
    <w:rsid w:val="00B81E44"/>
    <w:rsid w:val="00B84666"/>
    <w:rsid w:val="00B84B1D"/>
    <w:rsid w:val="00B87A1C"/>
    <w:rsid w:val="00B87D3C"/>
    <w:rsid w:val="00B950B6"/>
    <w:rsid w:val="00BA3CB8"/>
    <w:rsid w:val="00BA70CD"/>
    <w:rsid w:val="00BB3314"/>
    <w:rsid w:val="00BB3C4F"/>
    <w:rsid w:val="00BB48CC"/>
    <w:rsid w:val="00BB4F4D"/>
    <w:rsid w:val="00BC1AD6"/>
    <w:rsid w:val="00BD11DE"/>
    <w:rsid w:val="00BD1EF6"/>
    <w:rsid w:val="00BD4F99"/>
    <w:rsid w:val="00BE14D9"/>
    <w:rsid w:val="00BE2036"/>
    <w:rsid w:val="00BE4BBF"/>
    <w:rsid w:val="00BE518F"/>
    <w:rsid w:val="00BE55AC"/>
    <w:rsid w:val="00BE6A63"/>
    <w:rsid w:val="00BE7D02"/>
    <w:rsid w:val="00BF5A14"/>
    <w:rsid w:val="00BF5DE6"/>
    <w:rsid w:val="00C004A4"/>
    <w:rsid w:val="00C05E49"/>
    <w:rsid w:val="00C05E9D"/>
    <w:rsid w:val="00C13DC9"/>
    <w:rsid w:val="00C25487"/>
    <w:rsid w:val="00C32AB8"/>
    <w:rsid w:val="00C32AF1"/>
    <w:rsid w:val="00C33CEB"/>
    <w:rsid w:val="00C361CD"/>
    <w:rsid w:val="00C57448"/>
    <w:rsid w:val="00C635EB"/>
    <w:rsid w:val="00C71782"/>
    <w:rsid w:val="00C72FDE"/>
    <w:rsid w:val="00C8076C"/>
    <w:rsid w:val="00C87975"/>
    <w:rsid w:val="00C90DA0"/>
    <w:rsid w:val="00C93262"/>
    <w:rsid w:val="00C97C1A"/>
    <w:rsid w:val="00CA38D8"/>
    <w:rsid w:val="00CA3F74"/>
    <w:rsid w:val="00CA5BDF"/>
    <w:rsid w:val="00CB2AE9"/>
    <w:rsid w:val="00CB6810"/>
    <w:rsid w:val="00CC12B7"/>
    <w:rsid w:val="00CC16C2"/>
    <w:rsid w:val="00CC1FDA"/>
    <w:rsid w:val="00CC2987"/>
    <w:rsid w:val="00CC3134"/>
    <w:rsid w:val="00CC3852"/>
    <w:rsid w:val="00CC4EDC"/>
    <w:rsid w:val="00CD0E6C"/>
    <w:rsid w:val="00CD7B56"/>
    <w:rsid w:val="00CE36C8"/>
    <w:rsid w:val="00CF3010"/>
    <w:rsid w:val="00CF4242"/>
    <w:rsid w:val="00CF70FE"/>
    <w:rsid w:val="00D00EE1"/>
    <w:rsid w:val="00D21E5F"/>
    <w:rsid w:val="00D24065"/>
    <w:rsid w:val="00D312C4"/>
    <w:rsid w:val="00D42696"/>
    <w:rsid w:val="00D43E19"/>
    <w:rsid w:val="00D468EE"/>
    <w:rsid w:val="00D50765"/>
    <w:rsid w:val="00D50CD3"/>
    <w:rsid w:val="00D70D0B"/>
    <w:rsid w:val="00D84992"/>
    <w:rsid w:val="00D937E3"/>
    <w:rsid w:val="00D938F9"/>
    <w:rsid w:val="00D95879"/>
    <w:rsid w:val="00D962FB"/>
    <w:rsid w:val="00DA5EB9"/>
    <w:rsid w:val="00DD225A"/>
    <w:rsid w:val="00DD27A7"/>
    <w:rsid w:val="00DD392D"/>
    <w:rsid w:val="00DD4EC2"/>
    <w:rsid w:val="00DD633A"/>
    <w:rsid w:val="00DE4C0D"/>
    <w:rsid w:val="00DF4DB8"/>
    <w:rsid w:val="00DF5718"/>
    <w:rsid w:val="00DF5E51"/>
    <w:rsid w:val="00E03053"/>
    <w:rsid w:val="00E05064"/>
    <w:rsid w:val="00E138E0"/>
    <w:rsid w:val="00E142DA"/>
    <w:rsid w:val="00E22AE3"/>
    <w:rsid w:val="00E22CE1"/>
    <w:rsid w:val="00E2741C"/>
    <w:rsid w:val="00E30811"/>
    <w:rsid w:val="00E31356"/>
    <w:rsid w:val="00E45E9B"/>
    <w:rsid w:val="00E64141"/>
    <w:rsid w:val="00E65583"/>
    <w:rsid w:val="00E67017"/>
    <w:rsid w:val="00E673B7"/>
    <w:rsid w:val="00E73B27"/>
    <w:rsid w:val="00E75D0B"/>
    <w:rsid w:val="00E83E85"/>
    <w:rsid w:val="00E8449E"/>
    <w:rsid w:val="00E87812"/>
    <w:rsid w:val="00E90225"/>
    <w:rsid w:val="00E93811"/>
    <w:rsid w:val="00E97260"/>
    <w:rsid w:val="00EA3595"/>
    <w:rsid w:val="00EA5801"/>
    <w:rsid w:val="00EA6377"/>
    <w:rsid w:val="00EB087E"/>
    <w:rsid w:val="00EB0D65"/>
    <w:rsid w:val="00EB506F"/>
    <w:rsid w:val="00EC1C10"/>
    <w:rsid w:val="00EC2169"/>
    <w:rsid w:val="00EC31D3"/>
    <w:rsid w:val="00EC69F6"/>
    <w:rsid w:val="00ED3996"/>
    <w:rsid w:val="00ED3D87"/>
    <w:rsid w:val="00ED5A58"/>
    <w:rsid w:val="00EE009B"/>
    <w:rsid w:val="00EE1D75"/>
    <w:rsid w:val="00EF0A9E"/>
    <w:rsid w:val="00EF2711"/>
    <w:rsid w:val="00EF2D8D"/>
    <w:rsid w:val="00F026C9"/>
    <w:rsid w:val="00F07C7D"/>
    <w:rsid w:val="00F16B71"/>
    <w:rsid w:val="00F16C58"/>
    <w:rsid w:val="00F245C1"/>
    <w:rsid w:val="00F26925"/>
    <w:rsid w:val="00F27415"/>
    <w:rsid w:val="00F3308A"/>
    <w:rsid w:val="00F36138"/>
    <w:rsid w:val="00F42967"/>
    <w:rsid w:val="00F519A3"/>
    <w:rsid w:val="00F55BC6"/>
    <w:rsid w:val="00F571EB"/>
    <w:rsid w:val="00F65464"/>
    <w:rsid w:val="00F70223"/>
    <w:rsid w:val="00F70BEF"/>
    <w:rsid w:val="00F70D38"/>
    <w:rsid w:val="00F739FE"/>
    <w:rsid w:val="00F813CD"/>
    <w:rsid w:val="00F858BD"/>
    <w:rsid w:val="00FA0CB1"/>
    <w:rsid w:val="00FA11F4"/>
    <w:rsid w:val="00FB470E"/>
    <w:rsid w:val="00FB77D5"/>
    <w:rsid w:val="00FD065B"/>
    <w:rsid w:val="00FD093E"/>
    <w:rsid w:val="00FD59D9"/>
    <w:rsid w:val="00FE2D53"/>
    <w:rsid w:val="00FF2214"/>
    <w:rsid w:val="00FF3F60"/>
    <w:rsid w:val="00FF7C2C"/>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9550656"/>
  <w15:docId w15:val="{31EE50A7-F005-43BD-9F6D-5D63C61CA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PR"/>
    </w:rPr>
  </w:style>
  <w:style w:type="paragraph" w:styleId="Heading1">
    <w:name w:val="heading 1"/>
    <w:basedOn w:val="Normal"/>
    <w:next w:val="Normal"/>
    <w:link w:val="Heading1Char"/>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99"/>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character" w:customStyle="1" w:styleId="Heading1Char">
    <w:name w:val="Heading 1 Char"/>
    <w:basedOn w:val="DefaultParagraphFont"/>
    <w:link w:val="Heading1"/>
    <w:rsid w:val="00226D6B"/>
    <w:rPr>
      <w:rFonts w:ascii="Book Antiqua" w:hAnsi="Book Antiqua"/>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985890094">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778401605">
      <w:bodyDiv w:val="1"/>
      <w:marLeft w:val="0"/>
      <w:marRight w:val="0"/>
      <w:marTop w:val="0"/>
      <w:marBottom w:val="0"/>
      <w:divBdr>
        <w:top w:val="none" w:sz="0" w:space="0" w:color="auto"/>
        <w:left w:val="none" w:sz="0" w:space="0" w:color="auto"/>
        <w:bottom w:val="none" w:sz="0" w:space="0" w:color="auto"/>
        <w:right w:val="none" w:sz="0" w:space="0" w:color="auto"/>
      </w:divBdr>
      <w:divsChild>
        <w:div w:id="589853890">
          <w:marLeft w:val="0"/>
          <w:marRight w:val="0"/>
          <w:marTop w:val="0"/>
          <w:marBottom w:val="0"/>
          <w:divBdr>
            <w:top w:val="none" w:sz="0" w:space="0" w:color="auto"/>
            <w:left w:val="none" w:sz="0" w:space="0" w:color="auto"/>
            <w:bottom w:val="none" w:sz="0" w:space="0" w:color="auto"/>
            <w:right w:val="none" w:sz="0" w:space="0" w:color="auto"/>
          </w:divBdr>
          <w:divsChild>
            <w:div w:id="82334990">
              <w:marLeft w:val="0"/>
              <w:marRight w:val="0"/>
              <w:marTop w:val="0"/>
              <w:marBottom w:val="0"/>
              <w:divBdr>
                <w:top w:val="none" w:sz="0" w:space="0" w:color="auto"/>
                <w:left w:val="none" w:sz="0" w:space="0" w:color="auto"/>
                <w:bottom w:val="none" w:sz="0" w:space="0" w:color="auto"/>
                <w:right w:val="none" w:sz="0" w:space="0" w:color="auto"/>
              </w:divBdr>
            </w:div>
          </w:divsChild>
        </w:div>
        <w:div w:id="705981687">
          <w:marLeft w:val="0"/>
          <w:marRight w:val="0"/>
          <w:marTop w:val="0"/>
          <w:marBottom w:val="0"/>
          <w:divBdr>
            <w:top w:val="none" w:sz="0" w:space="0" w:color="auto"/>
            <w:left w:val="none" w:sz="0" w:space="0" w:color="auto"/>
            <w:bottom w:val="none" w:sz="0" w:space="0" w:color="auto"/>
            <w:right w:val="none" w:sz="0" w:space="0" w:color="auto"/>
          </w:divBdr>
          <w:divsChild>
            <w:div w:id="1468159046">
              <w:marLeft w:val="0"/>
              <w:marRight w:val="0"/>
              <w:marTop w:val="0"/>
              <w:marBottom w:val="0"/>
              <w:divBdr>
                <w:top w:val="none" w:sz="0" w:space="0" w:color="auto"/>
                <w:left w:val="none" w:sz="0" w:space="0" w:color="auto"/>
                <w:bottom w:val="none" w:sz="0" w:space="0" w:color="auto"/>
                <w:right w:val="none" w:sz="0" w:space="0" w:color="auto"/>
              </w:divBdr>
              <w:divsChild>
                <w:div w:id="30166318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442914033">
          <w:marLeft w:val="0"/>
          <w:marRight w:val="0"/>
          <w:marTop w:val="0"/>
          <w:marBottom w:val="0"/>
          <w:divBdr>
            <w:top w:val="none" w:sz="0" w:space="0" w:color="auto"/>
            <w:left w:val="none" w:sz="0" w:space="0" w:color="auto"/>
            <w:bottom w:val="none" w:sz="0" w:space="0" w:color="auto"/>
            <w:right w:val="none" w:sz="0" w:space="0" w:color="auto"/>
          </w:divBdr>
          <w:divsChild>
            <w:div w:id="1295792478">
              <w:marLeft w:val="0"/>
              <w:marRight w:val="0"/>
              <w:marTop w:val="0"/>
              <w:marBottom w:val="0"/>
              <w:divBdr>
                <w:top w:val="none" w:sz="0" w:space="0" w:color="auto"/>
                <w:left w:val="none" w:sz="0" w:space="0" w:color="auto"/>
                <w:bottom w:val="none" w:sz="0" w:space="0" w:color="auto"/>
                <w:right w:val="none" w:sz="0" w:space="0" w:color="auto"/>
              </w:divBdr>
              <w:divsChild>
                <w:div w:id="44033926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842892863">
      <w:bodyDiv w:val="1"/>
      <w:marLeft w:val="0"/>
      <w:marRight w:val="0"/>
      <w:marTop w:val="0"/>
      <w:marBottom w:val="0"/>
      <w:divBdr>
        <w:top w:val="none" w:sz="0" w:space="0" w:color="auto"/>
        <w:left w:val="none" w:sz="0" w:space="0" w:color="auto"/>
        <w:bottom w:val="none" w:sz="0" w:space="0" w:color="auto"/>
        <w:right w:val="none" w:sz="0" w:space="0" w:color="auto"/>
      </w:divBdr>
      <w:divsChild>
        <w:div w:id="289943278">
          <w:marLeft w:val="0"/>
          <w:marRight w:val="0"/>
          <w:marTop w:val="0"/>
          <w:marBottom w:val="0"/>
          <w:divBdr>
            <w:top w:val="none" w:sz="0" w:space="0" w:color="auto"/>
            <w:left w:val="none" w:sz="0" w:space="0" w:color="auto"/>
            <w:bottom w:val="none" w:sz="0" w:space="0" w:color="auto"/>
            <w:right w:val="none" w:sz="0" w:space="0" w:color="auto"/>
          </w:divBdr>
          <w:divsChild>
            <w:div w:id="1949577013">
              <w:marLeft w:val="0"/>
              <w:marRight w:val="0"/>
              <w:marTop w:val="0"/>
              <w:marBottom w:val="0"/>
              <w:divBdr>
                <w:top w:val="none" w:sz="0" w:space="0" w:color="auto"/>
                <w:left w:val="none" w:sz="0" w:space="0" w:color="auto"/>
                <w:bottom w:val="none" w:sz="0" w:space="0" w:color="auto"/>
                <w:right w:val="none" w:sz="0" w:space="0" w:color="auto"/>
              </w:divBdr>
            </w:div>
          </w:divsChild>
        </w:div>
        <w:div w:id="1063452766">
          <w:marLeft w:val="0"/>
          <w:marRight w:val="0"/>
          <w:marTop w:val="0"/>
          <w:marBottom w:val="0"/>
          <w:divBdr>
            <w:top w:val="none" w:sz="0" w:space="0" w:color="auto"/>
            <w:left w:val="none" w:sz="0" w:space="0" w:color="auto"/>
            <w:bottom w:val="none" w:sz="0" w:space="0" w:color="auto"/>
            <w:right w:val="none" w:sz="0" w:space="0" w:color="auto"/>
          </w:divBdr>
          <w:divsChild>
            <w:div w:id="1370497011">
              <w:marLeft w:val="0"/>
              <w:marRight w:val="0"/>
              <w:marTop w:val="0"/>
              <w:marBottom w:val="0"/>
              <w:divBdr>
                <w:top w:val="none" w:sz="0" w:space="0" w:color="auto"/>
                <w:left w:val="none" w:sz="0" w:space="0" w:color="auto"/>
                <w:bottom w:val="none" w:sz="0" w:space="0" w:color="auto"/>
                <w:right w:val="none" w:sz="0" w:space="0" w:color="auto"/>
              </w:divBdr>
              <w:divsChild>
                <w:div w:id="11464118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084718089">
          <w:marLeft w:val="0"/>
          <w:marRight w:val="0"/>
          <w:marTop w:val="0"/>
          <w:marBottom w:val="0"/>
          <w:divBdr>
            <w:top w:val="none" w:sz="0" w:space="0" w:color="auto"/>
            <w:left w:val="none" w:sz="0" w:space="0" w:color="auto"/>
            <w:bottom w:val="none" w:sz="0" w:space="0" w:color="auto"/>
            <w:right w:val="none" w:sz="0" w:space="0" w:color="auto"/>
          </w:divBdr>
          <w:divsChild>
            <w:div w:id="148250925">
              <w:marLeft w:val="0"/>
              <w:marRight w:val="0"/>
              <w:marTop w:val="0"/>
              <w:marBottom w:val="0"/>
              <w:divBdr>
                <w:top w:val="none" w:sz="0" w:space="0" w:color="auto"/>
                <w:left w:val="none" w:sz="0" w:space="0" w:color="auto"/>
                <w:bottom w:val="none" w:sz="0" w:space="0" w:color="auto"/>
                <w:right w:val="none" w:sz="0" w:space="0" w:color="auto"/>
              </w:divBdr>
              <w:divsChild>
                <w:div w:id="6206482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906599753">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5.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951</Words>
  <Characters>5425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Gladys J. Burgos Torres</cp:lastModifiedBy>
  <cp:revision>5</cp:revision>
  <cp:lastPrinted>2025-01-23T03:05:00Z</cp:lastPrinted>
  <dcterms:created xsi:type="dcterms:W3CDTF">2025-04-04T21:18:00Z</dcterms:created>
  <dcterms:modified xsi:type="dcterms:W3CDTF">2025-04-07T14:02:00Z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