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A1307C" w:rsidRDefault="00850770">
      <w:pPr>
        <w:jc w:val="center"/>
        <w:rPr>
          <w:rFonts w:ascii="Book Antiqua" w:eastAsia="Book Antiqua" w:hAnsi="Book Antiqua" w:cs="Book Antiqua"/>
          <w:bCs/>
          <w:color w:val="000000" w:themeColor="text1"/>
          <w:sz w:val="28"/>
          <w:szCs w:val="28"/>
        </w:rPr>
      </w:pPr>
      <w:r w:rsidRPr="00A1307C">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A1307C">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72ADE31D"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181B2B">
        <w:rPr>
          <w:rFonts w:ascii="Book Antiqua" w:hAnsi="Book Antiqua"/>
          <w:b/>
          <w:color w:val="000000" w:themeColor="text1"/>
          <w:sz w:val="52"/>
          <w:szCs w:val="52"/>
        </w:rPr>
        <w:t xml:space="preserve"> 50</w:t>
      </w:r>
      <w:r w:rsidR="00333524">
        <w:rPr>
          <w:rFonts w:ascii="Book Antiqua" w:hAnsi="Book Antiqua"/>
          <w:b/>
          <w:color w:val="000000" w:themeColor="text1"/>
          <w:sz w:val="52"/>
          <w:szCs w:val="52"/>
        </w:rPr>
        <w:t>4</w:t>
      </w:r>
    </w:p>
    <w:p w14:paraId="4A8A7A6F" w14:textId="77777777" w:rsidR="00950505" w:rsidRPr="007F2135" w:rsidRDefault="00950505" w:rsidP="00950505">
      <w:pPr>
        <w:jc w:val="center"/>
        <w:rPr>
          <w:rFonts w:ascii="Book Antiqua" w:hAnsi="Book Antiqua"/>
          <w:color w:val="000000" w:themeColor="text1"/>
        </w:rPr>
      </w:pPr>
    </w:p>
    <w:p w14:paraId="3D87D176" w14:textId="6164388B" w:rsidR="00950505" w:rsidRPr="007F2135" w:rsidRDefault="00A1307C"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w:t>
      </w:r>
      <w:proofErr w:type="spellStart"/>
      <w:r w:rsidR="00B02CD9" w:rsidRPr="007F2135">
        <w:rPr>
          <w:rFonts w:ascii="Book Antiqua" w:eastAsia="Aptos" w:hAnsi="Book Antiqua"/>
          <w:i/>
          <w:iCs/>
          <w:kern w:val="2"/>
          <w14:ligatures w14:val="standardContextual"/>
        </w:rPr>
        <w:t>Atiles</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w:t>
      </w:r>
      <w:proofErr w:type="spellStart"/>
      <w:r w:rsidR="00B02CD9" w:rsidRPr="007F2135">
        <w:rPr>
          <w:rFonts w:ascii="Book Antiqua" w:eastAsia="Aptos" w:hAnsi="Book Antiqua"/>
          <w:i/>
          <w:iCs/>
          <w:kern w:val="2"/>
          <w14:ligatures w14:val="standardContextual"/>
        </w:rPr>
        <w:t>González</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Morey</w:t>
      </w:r>
      <w:proofErr w:type="spellEnd"/>
      <w:r w:rsidR="00B02CD9" w:rsidRPr="007F2135">
        <w:rPr>
          <w:rFonts w:ascii="Book Antiqua" w:eastAsia="Aptos" w:hAnsi="Book Antiqua"/>
          <w:i/>
          <w:iCs/>
          <w:kern w:val="2"/>
          <w14:ligatures w14:val="standardContextual"/>
        </w:rPr>
        <w:t xml:space="preserve">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3C019C33" w:rsidR="00950505" w:rsidRPr="007F2135" w:rsidRDefault="003D1132" w:rsidP="00950505">
      <w:pPr>
        <w:jc w:val="center"/>
        <w:rPr>
          <w:rFonts w:ascii="Book Antiqua" w:hAnsi="Book Antiqua"/>
          <w:color w:val="000000" w:themeColor="text1"/>
        </w:rPr>
      </w:pPr>
      <w:r w:rsidRPr="003D1132">
        <w:rPr>
          <w:rFonts w:ascii="Book Antiqua" w:hAnsi="Book Antiqua"/>
          <w:color w:val="000000" w:themeColor="text1"/>
        </w:rPr>
        <w:t>Referido a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1790E5B9" w14:textId="77777777" w:rsidR="00822714" w:rsidRPr="00541580" w:rsidRDefault="00850770" w:rsidP="00822714">
      <w:pPr>
        <w:ind w:left="540" w:hanging="540"/>
        <w:jc w:val="both"/>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822714" w:rsidRPr="00541580">
        <w:rPr>
          <w:rFonts w:ascii="Book Antiqua" w:hAnsi="Book Antiqua"/>
          <w:color w:val="000000" w:themeColor="text1"/>
        </w:rPr>
        <w:t xml:space="preserve">enmendar las Secciones 1010.01, 1010.05, 1021.02, 1022.04, 1022.07, 1034.04, 1035.08, 1040.02, 1061.03, 1061.04, 1061.09, 1061.16, 1061.17, 1061.25, 1063.05, 1063.15, 1063.16, 1078.02, 4010.01, 6041.10, 6051.21, 6055.03, y 6055.06 de la Ley 1-2011, según enmendada, conocida como “Código de Rentas Internas de Puerto Rico de 2011”; enmendar los Artículos 15.01, 15.03 y 17.01 de la Ley 164-2009, según enmendada, conocida como la “Ley General de Corporaciones para el Estado Libre Asociado de Puerto Rico"; enmendar los Artículos 7.135 y 7.207 de la Ley 107-2020, según enmendada, conocida como “Código Municipal de Puerto Rico de 2011”; enmendar las Secciones 6011.05, 6020.09, 6020.10, 6060.05 y 6070.66 de la Ley 60-2019, según enmendada, conocida como “Código de Incentivos de Puerto Rico”; con el fin de simplificar y uniformar fechas de radicación de las distintas planillas requeridas a los negocios, reducir el cumplimiento contributivo en Puerto Rico estableciendo el marco conceptual para un Acuerdo Colaborativo entre el Departamento de Hacienda y el Departamento del Trabajo y Recursos Humanos con el Propósito de Consolidar la Presentación de las Planillas Presentadas por los Patronos sobre los </w:t>
      </w:r>
      <w:r w:rsidR="00822714" w:rsidRPr="00541580">
        <w:rPr>
          <w:rFonts w:ascii="Book Antiqua" w:hAnsi="Book Antiqua"/>
          <w:color w:val="000000" w:themeColor="text1"/>
        </w:rPr>
        <w:lastRenderedPageBreak/>
        <w:t>Impuestos de Nómina relacionados a los Salarios Pagados a los Empleados; mejorar la fiscalización facilitando se transfiera información de algunas agencias del Gobierno con el Departamento de Hacienda referente a propiedades de personas; y para otros fines relacionados.</w:t>
      </w:r>
    </w:p>
    <w:p w14:paraId="726F9974" w14:textId="70D84368" w:rsidR="000B77A8" w:rsidRPr="007F2135" w:rsidRDefault="000B77A8" w:rsidP="00BE518F">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4C77C72C" w14:textId="77777777" w:rsidR="00447F1B" w:rsidRDefault="00447F1B" w:rsidP="00447F1B">
      <w:pPr>
        <w:jc w:val="both"/>
        <w:rPr>
          <w:rFonts w:ascii="Book Antiqua" w:eastAsia="Book Antiqua" w:hAnsi="Book Antiqua" w:cs="Book Antiqua"/>
          <w:color w:val="000000" w:themeColor="text1"/>
        </w:rPr>
      </w:pPr>
    </w:p>
    <w:p w14:paraId="64821A73" w14:textId="77777777" w:rsidR="00822714" w:rsidRPr="00541580" w:rsidRDefault="00822714" w:rsidP="00822714">
      <w:pPr>
        <w:ind w:firstLine="720"/>
        <w:jc w:val="both"/>
        <w:rPr>
          <w:rFonts w:ascii="Book Antiqua" w:hAnsi="Book Antiqua"/>
          <w:color w:val="000000" w:themeColor="text1"/>
        </w:rPr>
      </w:pPr>
      <w:r w:rsidRPr="00541580">
        <w:rPr>
          <w:rFonts w:ascii="Book Antiqua" w:hAnsi="Book Antiqua"/>
          <w:color w:val="000000" w:themeColor="text1"/>
        </w:rPr>
        <w:t xml:space="preserve">Los procesos de reingeniería gubernamental requieren un análisis responsable, tomando en cuenta que su ejecución e implementación recaerá en la ciudadanía. El Gobierno de Puerto Rico tiene un compromiso con facilitar los servicios que los puertorriqueños (as) reciben, y de igual modo, mejorar su calidad de vida. En ese sentido, el panorama económico actual requiere que se realicen reformas profundas y comprensivas en diferentes áreas de nuestra realidad fiscal, como lo es una reforma contributiva. </w:t>
      </w:r>
    </w:p>
    <w:p w14:paraId="6E3DAB48" w14:textId="77777777" w:rsidR="00822714" w:rsidRDefault="00822714" w:rsidP="00822714">
      <w:pPr>
        <w:ind w:firstLine="720"/>
        <w:jc w:val="both"/>
        <w:rPr>
          <w:rFonts w:ascii="Book Antiqua" w:hAnsi="Book Antiqua"/>
          <w:color w:val="000000" w:themeColor="text1"/>
        </w:rPr>
      </w:pPr>
    </w:p>
    <w:p w14:paraId="4EE0CC83" w14:textId="77777777" w:rsidR="00822714" w:rsidRPr="00541580" w:rsidRDefault="00822714" w:rsidP="00822714">
      <w:pPr>
        <w:ind w:firstLine="720"/>
        <w:jc w:val="both"/>
        <w:rPr>
          <w:rFonts w:ascii="Book Antiqua" w:hAnsi="Book Antiqua"/>
          <w:color w:val="000000" w:themeColor="text1"/>
        </w:rPr>
      </w:pPr>
      <w:r w:rsidRPr="00541580">
        <w:rPr>
          <w:rFonts w:ascii="Book Antiqua" w:hAnsi="Book Antiqua"/>
          <w:color w:val="000000" w:themeColor="text1"/>
        </w:rPr>
        <w:t xml:space="preserve">Para la gran mayoría de los individuos, toda la información que requiere para llenar su planilla de contribuciones sobre ingresos ya está en manos de Hacienda. El Departamento de Hacienda ya recibe la información de los ingresos de individuos a través de las planillas informativas los empleadores están obligados a radicar. También recibe información de los intereses hipotecarios y las aportaciones a las </w:t>
      </w:r>
      <w:proofErr w:type="spellStart"/>
      <w:r w:rsidRPr="00541580">
        <w:rPr>
          <w:rFonts w:ascii="Book Antiqua" w:hAnsi="Book Antiqua"/>
          <w:color w:val="000000" w:themeColor="text1"/>
        </w:rPr>
        <w:t>IRAs</w:t>
      </w:r>
      <w:proofErr w:type="spellEnd"/>
      <w:r w:rsidRPr="00541580">
        <w:rPr>
          <w:rFonts w:ascii="Book Antiqua" w:hAnsi="Book Antiqua"/>
          <w:color w:val="000000" w:themeColor="text1"/>
        </w:rPr>
        <w:t xml:space="preserve"> a través de las informativas que radican los bancos y las instituciones financieras.</w:t>
      </w:r>
    </w:p>
    <w:p w14:paraId="21129209" w14:textId="77777777" w:rsidR="00822714" w:rsidRDefault="00822714" w:rsidP="00822714">
      <w:pPr>
        <w:ind w:firstLine="720"/>
        <w:jc w:val="both"/>
        <w:rPr>
          <w:rFonts w:ascii="Book Antiqua" w:eastAsia="Arial Unicode MS" w:hAnsi="Book Antiqua"/>
          <w:color w:val="000000" w:themeColor="text1"/>
          <w:bdr w:val="nil"/>
        </w:rPr>
      </w:pPr>
    </w:p>
    <w:p w14:paraId="607931F1" w14:textId="77777777" w:rsidR="00822714" w:rsidRPr="00822714" w:rsidRDefault="00822714" w:rsidP="00822714">
      <w:pPr>
        <w:ind w:firstLine="720"/>
        <w:jc w:val="both"/>
        <w:rPr>
          <w:rFonts w:ascii="Book Antiqua" w:hAnsi="Book Antiqua"/>
          <w:color w:val="000000" w:themeColor="text1"/>
          <w:lang w:val="en-US"/>
        </w:rPr>
      </w:pPr>
      <w:r w:rsidRPr="00541580">
        <w:rPr>
          <w:rFonts w:ascii="Book Antiqua" w:eastAsia="Arial Unicode MS" w:hAnsi="Book Antiqua"/>
          <w:color w:val="000000" w:themeColor="text1"/>
          <w:bdr w:val="nil"/>
        </w:rPr>
        <w:t>Ahora bien, a tenor con la Ley Federal “</w:t>
      </w:r>
      <w:r w:rsidRPr="00541580">
        <w:rPr>
          <w:rFonts w:ascii="Book Antiqua" w:eastAsia="Arial Unicode MS" w:hAnsi="Book Antiqua"/>
          <w:i/>
          <w:iCs/>
          <w:color w:val="000000" w:themeColor="text1"/>
          <w:bdr w:val="nil"/>
        </w:rPr>
        <w:t xml:space="preserve">Puerto Rico </w:t>
      </w:r>
      <w:proofErr w:type="spellStart"/>
      <w:r w:rsidRPr="00541580">
        <w:rPr>
          <w:rFonts w:ascii="Book Antiqua" w:eastAsia="Arial Unicode MS" w:hAnsi="Book Antiqua"/>
          <w:i/>
          <w:iCs/>
          <w:color w:val="000000" w:themeColor="text1"/>
          <w:bdr w:val="nil"/>
        </w:rPr>
        <w:t>Oversight</w:t>
      </w:r>
      <w:proofErr w:type="spellEnd"/>
      <w:r w:rsidRPr="00541580">
        <w:rPr>
          <w:rFonts w:ascii="Book Antiqua" w:eastAsia="Arial Unicode MS" w:hAnsi="Book Antiqua"/>
          <w:i/>
          <w:iCs/>
          <w:color w:val="000000" w:themeColor="text1"/>
          <w:bdr w:val="nil"/>
        </w:rPr>
        <w:t xml:space="preserve">, Management, and </w:t>
      </w:r>
      <w:proofErr w:type="spellStart"/>
      <w:r w:rsidRPr="00541580">
        <w:rPr>
          <w:rFonts w:ascii="Book Antiqua" w:eastAsia="Arial Unicode MS" w:hAnsi="Book Antiqua"/>
          <w:i/>
          <w:iCs/>
          <w:color w:val="000000" w:themeColor="text1"/>
          <w:bdr w:val="nil"/>
        </w:rPr>
        <w:t>Economic</w:t>
      </w:r>
      <w:proofErr w:type="spellEnd"/>
      <w:r w:rsidRPr="00541580">
        <w:rPr>
          <w:rFonts w:ascii="Book Antiqua" w:eastAsia="Arial Unicode MS" w:hAnsi="Book Antiqua"/>
          <w:i/>
          <w:iCs/>
          <w:color w:val="000000" w:themeColor="text1"/>
          <w:bdr w:val="nil"/>
        </w:rPr>
        <w:t xml:space="preserve"> </w:t>
      </w:r>
      <w:proofErr w:type="spellStart"/>
      <w:r w:rsidRPr="00541580">
        <w:rPr>
          <w:rFonts w:ascii="Book Antiqua" w:eastAsia="Arial Unicode MS" w:hAnsi="Book Antiqua"/>
          <w:i/>
          <w:iCs/>
          <w:color w:val="000000" w:themeColor="text1"/>
          <w:bdr w:val="nil"/>
        </w:rPr>
        <w:t>Stability</w:t>
      </w:r>
      <w:proofErr w:type="spellEnd"/>
      <w:r w:rsidRPr="00541580">
        <w:rPr>
          <w:rFonts w:ascii="Book Antiqua" w:eastAsia="Arial Unicode MS" w:hAnsi="Book Antiqua"/>
          <w:i/>
          <w:iCs/>
          <w:color w:val="000000" w:themeColor="text1"/>
          <w:bdr w:val="nil"/>
        </w:rPr>
        <w:t xml:space="preserve"> </w:t>
      </w:r>
      <w:proofErr w:type="spellStart"/>
      <w:r w:rsidRPr="00541580">
        <w:rPr>
          <w:rFonts w:ascii="Book Antiqua" w:eastAsia="Arial Unicode MS" w:hAnsi="Book Antiqua"/>
          <w:i/>
          <w:iCs/>
          <w:color w:val="000000" w:themeColor="text1"/>
          <w:bdr w:val="nil"/>
        </w:rPr>
        <w:t>Act</w:t>
      </w:r>
      <w:proofErr w:type="spellEnd"/>
      <w:r w:rsidRPr="00541580">
        <w:rPr>
          <w:rFonts w:ascii="Book Antiqua" w:eastAsia="Arial Unicode MS" w:hAnsi="Book Antiqua"/>
          <w:color w:val="000000" w:themeColor="text1"/>
          <w:bdr w:val="nil"/>
        </w:rPr>
        <w:t>”, Pub. L. No. 114-187, 48 USC § 2101 (2016) (Ley PROMESA, por sus siglas en inglés), y cónsono con el Plan Fiscal, el Gobierno de Puerto Rico debe asegurar que las iniciativas y propuestas contributivas sean fiscalmente neutrales, lo cual fue evaluado previo la radicación de esta pieza legislativa.  Como sabemos, años tras año se discute la necesidad de una reforma holística y diligente de nuestro sistema contributivo, y la importancia que tiene para la ruta de progreso económico de Puerto Rico. Según se desprende del Plan Fiscal para el Gobierno de Puerto Rico “…[</w:t>
      </w:r>
      <w:r w:rsidRPr="00541580">
        <w:rPr>
          <w:rFonts w:ascii="Book Antiqua" w:eastAsia="Arial Unicode MS" w:hAnsi="Book Antiqua"/>
          <w:i/>
          <w:iCs/>
          <w:color w:val="000000" w:themeColor="text1"/>
          <w:bdr w:val="nil"/>
        </w:rPr>
        <w:t>a]</w:t>
      </w:r>
      <w:proofErr w:type="spellStart"/>
      <w:r w:rsidRPr="00B15515">
        <w:rPr>
          <w:rFonts w:ascii="Book Antiqua" w:eastAsia="Arial Unicode MS" w:hAnsi="Book Antiqua"/>
          <w:i/>
          <w:color w:val="000000" w:themeColor="text1"/>
          <w:bdr w:val="nil"/>
          <w:lang w:val="es-ES"/>
        </w:rPr>
        <w:t>ctual</w:t>
      </w:r>
      <w:proofErr w:type="spellEnd"/>
      <w:r w:rsidRPr="00B15515">
        <w:rPr>
          <w:rFonts w:ascii="Book Antiqua" w:eastAsia="Arial Unicode MS" w:hAnsi="Book Antiqua"/>
          <w:i/>
          <w:color w:val="000000" w:themeColor="text1"/>
          <w:bdr w:val="nil"/>
          <w:lang w:val="es-ES"/>
        </w:rPr>
        <w:t xml:space="preserve"> Puerto </w:t>
      </w:r>
      <w:proofErr w:type="spellStart"/>
      <w:r w:rsidRPr="00B15515">
        <w:rPr>
          <w:rFonts w:ascii="Book Antiqua" w:eastAsia="Arial Unicode MS" w:hAnsi="Book Antiqua"/>
          <w:i/>
          <w:color w:val="000000" w:themeColor="text1"/>
          <w:bdr w:val="nil"/>
          <w:lang w:val="es-ES"/>
        </w:rPr>
        <w:t>Rico’s</w:t>
      </w:r>
      <w:proofErr w:type="spellEnd"/>
      <w:r w:rsidRPr="00B15515">
        <w:rPr>
          <w:rFonts w:ascii="Book Antiqua" w:eastAsia="Arial Unicode MS" w:hAnsi="Book Antiqua"/>
          <w:i/>
          <w:color w:val="000000" w:themeColor="text1"/>
          <w:bdr w:val="nil"/>
          <w:lang w:val="es-ES"/>
        </w:rPr>
        <w:t xml:space="preserve"> </w:t>
      </w:r>
      <w:proofErr w:type="spellStart"/>
      <w:r w:rsidRPr="00B15515">
        <w:rPr>
          <w:rFonts w:ascii="Book Antiqua" w:eastAsia="Arial Unicode MS" w:hAnsi="Book Antiqua"/>
          <w:i/>
          <w:color w:val="000000" w:themeColor="text1"/>
          <w:bdr w:val="nil"/>
          <w:lang w:val="es-ES"/>
        </w:rPr>
        <w:t>tax</w:t>
      </w:r>
      <w:proofErr w:type="spellEnd"/>
      <w:r w:rsidRPr="00B15515">
        <w:rPr>
          <w:rFonts w:ascii="Book Antiqua" w:eastAsia="Arial Unicode MS" w:hAnsi="Book Antiqua"/>
          <w:i/>
          <w:color w:val="000000" w:themeColor="text1"/>
          <w:bdr w:val="nil"/>
          <w:lang w:val="es-ES"/>
        </w:rPr>
        <w:t xml:space="preserve"> </w:t>
      </w:r>
      <w:proofErr w:type="spellStart"/>
      <w:r w:rsidRPr="00B15515">
        <w:rPr>
          <w:rFonts w:ascii="Book Antiqua" w:eastAsia="Arial Unicode MS" w:hAnsi="Book Antiqua"/>
          <w:i/>
          <w:color w:val="000000" w:themeColor="text1"/>
          <w:bdr w:val="nil"/>
          <w:lang w:val="es-ES"/>
        </w:rPr>
        <w:t>structures</w:t>
      </w:r>
      <w:proofErr w:type="spellEnd"/>
      <w:r w:rsidRPr="00B15515">
        <w:rPr>
          <w:rFonts w:ascii="Book Antiqua" w:eastAsia="Arial Unicode MS" w:hAnsi="Book Antiqua"/>
          <w:i/>
          <w:color w:val="000000" w:themeColor="text1"/>
          <w:bdr w:val="nil"/>
          <w:lang w:val="es-ES"/>
        </w:rPr>
        <w:t xml:space="preserve"> (</w:t>
      </w:r>
      <w:proofErr w:type="spellStart"/>
      <w:r w:rsidRPr="00B15515">
        <w:rPr>
          <w:rFonts w:ascii="Book Antiqua" w:eastAsia="Arial Unicode MS" w:hAnsi="Book Antiqua"/>
          <w:i/>
          <w:color w:val="000000" w:themeColor="text1"/>
          <w:bdr w:val="nil"/>
          <w:lang w:val="es-ES"/>
        </w:rPr>
        <w:t>for</w:t>
      </w:r>
      <w:proofErr w:type="spellEnd"/>
      <w:r w:rsidRPr="00B15515">
        <w:rPr>
          <w:rFonts w:ascii="Book Antiqua" w:eastAsia="Arial Unicode MS" w:hAnsi="Book Antiqua"/>
          <w:i/>
          <w:color w:val="000000" w:themeColor="text1"/>
          <w:bdr w:val="nil"/>
          <w:lang w:val="es-ES"/>
        </w:rPr>
        <w:t xml:space="preserve"> </w:t>
      </w:r>
      <w:proofErr w:type="spellStart"/>
      <w:r w:rsidRPr="00B15515">
        <w:rPr>
          <w:rFonts w:ascii="Book Antiqua" w:eastAsia="Arial Unicode MS" w:hAnsi="Book Antiqua"/>
          <w:i/>
          <w:color w:val="000000" w:themeColor="text1"/>
          <w:bdr w:val="nil"/>
          <w:lang w:val="es-ES"/>
        </w:rPr>
        <w:t>both</w:t>
      </w:r>
      <w:proofErr w:type="spellEnd"/>
      <w:r w:rsidRPr="00B15515">
        <w:rPr>
          <w:rFonts w:ascii="Book Antiqua" w:eastAsia="Arial Unicode MS" w:hAnsi="Book Antiqua"/>
          <w:i/>
          <w:color w:val="000000" w:themeColor="text1"/>
          <w:bdr w:val="nil"/>
          <w:lang w:val="es-ES"/>
        </w:rPr>
        <w:t xml:space="preserve"> </w:t>
      </w:r>
      <w:proofErr w:type="spellStart"/>
      <w:r w:rsidRPr="00B15515">
        <w:rPr>
          <w:rFonts w:ascii="Book Antiqua" w:eastAsia="Arial Unicode MS" w:hAnsi="Book Antiqua"/>
          <w:i/>
          <w:color w:val="000000" w:themeColor="text1"/>
          <w:bdr w:val="nil"/>
          <w:lang w:val="es-ES"/>
        </w:rPr>
        <w:t>individuals</w:t>
      </w:r>
      <w:proofErr w:type="spellEnd"/>
      <w:r w:rsidRPr="00B15515">
        <w:rPr>
          <w:rFonts w:ascii="Book Antiqua" w:eastAsia="Arial Unicode MS" w:hAnsi="Book Antiqua"/>
          <w:i/>
          <w:color w:val="000000" w:themeColor="text1"/>
          <w:bdr w:val="nil"/>
          <w:lang w:val="es-ES"/>
        </w:rPr>
        <w:t xml:space="preserve"> and </w:t>
      </w:r>
      <w:proofErr w:type="spellStart"/>
      <w:r w:rsidRPr="00B15515">
        <w:rPr>
          <w:rFonts w:ascii="Book Antiqua" w:eastAsia="Arial Unicode MS" w:hAnsi="Book Antiqua"/>
          <w:i/>
          <w:color w:val="000000" w:themeColor="text1"/>
          <w:bdr w:val="nil"/>
          <w:lang w:val="es-ES"/>
        </w:rPr>
        <w:t>corporations</w:t>
      </w:r>
      <w:proofErr w:type="spellEnd"/>
      <w:r w:rsidRPr="00B15515">
        <w:rPr>
          <w:rFonts w:ascii="Book Antiqua" w:eastAsia="Arial Unicode MS" w:hAnsi="Book Antiqua"/>
          <w:i/>
          <w:color w:val="000000" w:themeColor="text1"/>
          <w:bdr w:val="nil"/>
          <w:lang w:val="es-ES"/>
        </w:rPr>
        <w:t xml:space="preserve">) are </w:t>
      </w:r>
      <w:proofErr w:type="spellStart"/>
      <w:r w:rsidRPr="00B15515">
        <w:rPr>
          <w:rFonts w:ascii="Book Antiqua" w:eastAsia="Arial Unicode MS" w:hAnsi="Book Antiqua"/>
          <w:i/>
          <w:color w:val="000000" w:themeColor="text1"/>
          <w:bdr w:val="nil"/>
          <w:lang w:val="es-ES"/>
        </w:rPr>
        <w:t>complex</w:t>
      </w:r>
      <w:proofErr w:type="spellEnd"/>
      <w:r w:rsidRPr="00B15515">
        <w:rPr>
          <w:rFonts w:ascii="Book Antiqua" w:eastAsia="Arial Unicode MS" w:hAnsi="Book Antiqua"/>
          <w:i/>
          <w:color w:val="000000" w:themeColor="text1"/>
          <w:bdr w:val="nil"/>
          <w:lang w:val="es-ES"/>
        </w:rPr>
        <w:t xml:space="preserve"> and opaque. </w:t>
      </w:r>
      <w:r w:rsidRPr="00822714">
        <w:rPr>
          <w:rFonts w:ascii="Book Antiqua" w:eastAsia="Arial Unicode MS" w:hAnsi="Book Antiqua"/>
          <w:i/>
          <w:iCs/>
          <w:color w:val="000000" w:themeColor="text1"/>
          <w:bdr w:val="nil"/>
          <w:lang w:val="en-US"/>
        </w:rPr>
        <w:t>PIT related provisions include numerous targeted deductions, exemptions, credits, and special rates that benefit narrow groups of taxpayers. These, in turn, complicate the system, increase inefficiencies, narrow the tax base and reduce equity and fairness. As a result, the allocation of resources gets distorted and the revenue available to fund needed public expenditures is reduced</w:t>
      </w:r>
      <w:r w:rsidRPr="00822714">
        <w:rPr>
          <w:rFonts w:ascii="Book Antiqua" w:eastAsia="Arial Unicode MS" w:hAnsi="Book Antiqua"/>
          <w:color w:val="000000" w:themeColor="text1"/>
          <w:bdr w:val="nil"/>
          <w:lang w:val="en-US"/>
        </w:rPr>
        <w:t>.</w:t>
      </w:r>
      <w:r w:rsidRPr="00B15515">
        <w:rPr>
          <w:rStyle w:val="FootnoteReference"/>
          <w:rFonts w:ascii="Book Antiqua" w:eastAsia="Arial Unicode MS" w:hAnsi="Book Antiqua"/>
          <w:color w:val="000000" w:themeColor="text1"/>
          <w:bdr w:val="nil"/>
        </w:rPr>
        <w:footnoteReference w:id="2"/>
      </w:r>
    </w:p>
    <w:p w14:paraId="247DE01E" w14:textId="77777777" w:rsidR="00822714" w:rsidRPr="00822714" w:rsidRDefault="00822714" w:rsidP="00822714">
      <w:pPr>
        <w:ind w:firstLine="720"/>
        <w:jc w:val="both"/>
        <w:rPr>
          <w:rFonts w:ascii="Book Antiqua" w:hAnsi="Book Antiqua"/>
          <w:color w:val="000000" w:themeColor="text1"/>
          <w:lang w:val="en-US"/>
        </w:rPr>
      </w:pPr>
    </w:p>
    <w:p w14:paraId="0C0B9227" w14:textId="77777777" w:rsidR="00822714" w:rsidRDefault="00822714" w:rsidP="00822714">
      <w:pPr>
        <w:ind w:firstLine="720"/>
        <w:jc w:val="both"/>
        <w:rPr>
          <w:rFonts w:ascii="Book Antiqua" w:hAnsi="Book Antiqua"/>
          <w:color w:val="000000" w:themeColor="text1"/>
        </w:rPr>
      </w:pPr>
      <w:r w:rsidRPr="00B15515">
        <w:rPr>
          <w:rFonts w:ascii="Book Antiqua" w:hAnsi="Book Antiqua"/>
          <w:color w:val="000000" w:themeColor="text1"/>
        </w:rPr>
        <w:t xml:space="preserve">Es por ello por lo que nuestro gobierno continuará facilitando la radicación de planillas de contribución de individuos, trabajando con el Departamento de Hacienda, mediante la población automática de información a la planilla digital del contribuyente, de manera que, si el contribuyente está de acuerdo, puede firmar y certificar la misma de </w:t>
      </w:r>
      <w:r w:rsidRPr="00B15515">
        <w:rPr>
          <w:rFonts w:ascii="Book Antiqua" w:hAnsi="Book Antiqua"/>
          <w:color w:val="000000" w:themeColor="text1"/>
        </w:rPr>
        <w:lastRenderedPageBreak/>
        <w:t xml:space="preserve">inmediato; o puede corregir o añadir cualquier información y someter su planilla sin tener que pagarle a un tercero. Este mismo proceso puede simplificar y agilizar una planilla federal para solicitar el Child </w:t>
      </w:r>
      <w:proofErr w:type="spellStart"/>
      <w:r w:rsidRPr="00B15515">
        <w:rPr>
          <w:rFonts w:ascii="Book Antiqua" w:hAnsi="Book Antiqua"/>
          <w:color w:val="000000" w:themeColor="text1"/>
        </w:rPr>
        <w:t>Tax</w:t>
      </w:r>
      <w:proofErr w:type="spellEnd"/>
      <w:r w:rsidRPr="00B15515">
        <w:rPr>
          <w:rFonts w:ascii="Book Antiqua" w:hAnsi="Book Antiqua"/>
          <w:color w:val="000000" w:themeColor="text1"/>
        </w:rPr>
        <w:t xml:space="preserve"> </w:t>
      </w:r>
      <w:proofErr w:type="spellStart"/>
      <w:r w:rsidRPr="00B15515">
        <w:rPr>
          <w:rFonts w:ascii="Book Antiqua" w:hAnsi="Book Antiqua"/>
          <w:color w:val="000000" w:themeColor="text1"/>
        </w:rPr>
        <w:t>Credit</w:t>
      </w:r>
      <w:proofErr w:type="spellEnd"/>
      <w:r w:rsidRPr="00B15515">
        <w:rPr>
          <w:rFonts w:ascii="Book Antiqua" w:hAnsi="Book Antiqua"/>
          <w:color w:val="000000" w:themeColor="text1"/>
        </w:rPr>
        <w:t xml:space="preserve">, si el crédito procede. En conformidad, esta medida contará con los siguientes objetivos fundamentales: </w:t>
      </w:r>
    </w:p>
    <w:p w14:paraId="277A285B" w14:textId="77777777" w:rsidR="00A1307C" w:rsidRPr="00B15515" w:rsidRDefault="00A1307C" w:rsidP="00822714">
      <w:pPr>
        <w:ind w:firstLine="720"/>
        <w:jc w:val="both"/>
        <w:rPr>
          <w:rFonts w:ascii="Book Antiqua" w:hAnsi="Book Antiqua"/>
          <w:color w:val="000000" w:themeColor="text1"/>
        </w:rPr>
      </w:pPr>
    </w:p>
    <w:p w14:paraId="32F29EF0" w14:textId="77777777" w:rsidR="00822714" w:rsidRPr="00B15515" w:rsidRDefault="00822714" w:rsidP="00822714">
      <w:pPr>
        <w:numPr>
          <w:ilvl w:val="0"/>
          <w:numId w:val="23"/>
        </w:numPr>
        <w:spacing w:after="160"/>
        <w:contextualSpacing/>
        <w:jc w:val="both"/>
        <w:rPr>
          <w:rFonts w:ascii="Book Antiqua" w:eastAsiaTheme="minorHAnsi" w:hAnsi="Book Antiqua" w:cstheme="minorBidi"/>
          <w:color w:val="000000" w:themeColor="text1"/>
          <w:kern w:val="2"/>
          <w14:ligatures w14:val="standardContextual"/>
        </w:rPr>
      </w:pPr>
      <w:r w:rsidRPr="00B15515">
        <w:rPr>
          <w:rFonts w:ascii="Book Antiqua" w:eastAsiaTheme="minorHAnsi" w:hAnsi="Book Antiqua" w:cstheme="minorBidi"/>
          <w:color w:val="000000" w:themeColor="text1"/>
          <w:kern w:val="2"/>
          <w14:ligatures w14:val="standardContextual"/>
        </w:rPr>
        <w:t>Facilitar el cumplimiento contributivo a través de herramientas digitales, incluyendo la integración de información para simplificar el proceso de preparar una planilla.</w:t>
      </w:r>
    </w:p>
    <w:p w14:paraId="20C81C94" w14:textId="77777777" w:rsidR="00822714" w:rsidRPr="00B15515" w:rsidRDefault="00822714" w:rsidP="00822714">
      <w:pPr>
        <w:numPr>
          <w:ilvl w:val="0"/>
          <w:numId w:val="23"/>
        </w:numPr>
        <w:spacing w:after="160"/>
        <w:contextualSpacing/>
        <w:jc w:val="both"/>
        <w:rPr>
          <w:rFonts w:ascii="Book Antiqua" w:eastAsiaTheme="minorHAnsi" w:hAnsi="Book Antiqua" w:cstheme="minorBidi"/>
          <w:color w:val="000000" w:themeColor="text1"/>
          <w:kern w:val="2"/>
          <w14:ligatures w14:val="standardContextual"/>
        </w:rPr>
      </w:pPr>
      <w:r w:rsidRPr="00B15515">
        <w:rPr>
          <w:rFonts w:ascii="Book Antiqua" w:eastAsiaTheme="minorHAnsi" w:hAnsi="Book Antiqua" w:cstheme="minorBidi"/>
          <w:color w:val="000000" w:themeColor="text1"/>
          <w:kern w:val="2"/>
          <w14:ligatures w14:val="standardContextual"/>
        </w:rPr>
        <w:t>Reducir costos operacionales de los negocios al consolidar y uniformar los reportes al gobierno.</w:t>
      </w:r>
    </w:p>
    <w:p w14:paraId="37FD26DE" w14:textId="77777777" w:rsidR="00822714" w:rsidRPr="00B15515" w:rsidRDefault="00822714" w:rsidP="00822714">
      <w:pPr>
        <w:numPr>
          <w:ilvl w:val="0"/>
          <w:numId w:val="23"/>
        </w:numPr>
        <w:spacing w:after="160"/>
        <w:contextualSpacing/>
        <w:jc w:val="both"/>
        <w:rPr>
          <w:rFonts w:ascii="Book Antiqua" w:eastAsiaTheme="minorHAnsi" w:hAnsi="Book Antiqua" w:cstheme="minorBidi"/>
          <w:color w:val="000000" w:themeColor="text1"/>
          <w:kern w:val="2"/>
          <w14:ligatures w14:val="standardContextual"/>
        </w:rPr>
      </w:pPr>
      <w:r w:rsidRPr="00B15515">
        <w:rPr>
          <w:rFonts w:ascii="Book Antiqua" w:eastAsiaTheme="minorHAnsi" w:hAnsi="Book Antiqua" w:cstheme="minorBidi"/>
          <w:color w:val="000000" w:themeColor="text1"/>
          <w:kern w:val="2"/>
          <w14:ligatures w14:val="standardContextual"/>
        </w:rPr>
        <w:t>Reforzar la transparencia y eficiencia fiscal mediante la transferencia digital de datos entre agencias.</w:t>
      </w:r>
    </w:p>
    <w:p w14:paraId="05C8E8F8" w14:textId="77777777" w:rsidR="00822714" w:rsidRPr="00B15515" w:rsidRDefault="00822714" w:rsidP="00822714">
      <w:pPr>
        <w:numPr>
          <w:ilvl w:val="0"/>
          <w:numId w:val="23"/>
        </w:numPr>
        <w:spacing w:after="160"/>
        <w:contextualSpacing/>
        <w:jc w:val="both"/>
        <w:rPr>
          <w:rFonts w:ascii="Book Antiqua" w:eastAsiaTheme="minorHAnsi" w:hAnsi="Book Antiqua" w:cstheme="minorBidi"/>
          <w:color w:val="000000" w:themeColor="text1"/>
          <w:kern w:val="2"/>
          <w14:ligatures w14:val="standardContextual"/>
        </w:rPr>
      </w:pPr>
      <w:r w:rsidRPr="00B15515">
        <w:rPr>
          <w:rFonts w:ascii="Book Antiqua" w:eastAsiaTheme="minorHAnsi" w:hAnsi="Book Antiqua" w:cstheme="minorBidi"/>
          <w:color w:val="000000" w:themeColor="text1"/>
          <w:kern w:val="2"/>
          <w14:ligatures w14:val="standardContextual"/>
        </w:rPr>
        <w:t xml:space="preserve">Modernizar el tratamiento contributivo de entidades como </w:t>
      </w:r>
      <w:proofErr w:type="spellStart"/>
      <w:r w:rsidRPr="00B15515">
        <w:rPr>
          <w:rFonts w:ascii="Book Antiqua" w:eastAsiaTheme="minorHAnsi" w:hAnsi="Book Antiqua" w:cstheme="minorBidi"/>
          <w:color w:val="000000" w:themeColor="text1"/>
          <w:kern w:val="2"/>
          <w14:ligatures w14:val="standardContextual"/>
        </w:rPr>
        <w:t>LLCs</w:t>
      </w:r>
      <w:proofErr w:type="spellEnd"/>
      <w:r w:rsidRPr="00B15515">
        <w:rPr>
          <w:rFonts w:ascii="Book Antiqua" w:eastAsiaTheme="minorHAnsi" w:hAnsi="Book Antiqua" w:cstheme="minorBidi"/>
          <w:color w:val="000000" w:themeColor="text1"/>
          <w:kern w:val="2"/>
          <w14:ligatures w14:val="standardContextual"/>
        </w:rPr>
        <w:t>, fideicomisos y otras entidades.</w:t>
      </w:r>
    </w:p>
    <w:p w14:paraId="079E2F2A" w14:textId="77777777" w:rsidR="00822714" w:rsidRPr="00B15515" w:rsidRDefault="00822714" w:rsidP="00822714">
      <w:pPr>
        <w:numPr>
          <w:ilvl w:val="0"/>
          <w:numId w:val="23"/>
        </w:numPr>
        <w:spacing w:after="160"/>
        <w:contextualSpacing/>
        <w:jc w:val="both"/>
        <w:rPr>
          <w:rFonts w:ascii="Book Antiqua" w:eastAsiaTheme="minorHAnsi" w:hAnsi="Book Antiqua" w:cstheme="minorBidi"/>
          <w:color w:val="000000" w:themeColor="text1"/>
          <w:kern w:val="2"/>
          <w14:ligatures w14:val="standardContextual"/>
        </w:rPr>
      </w:pPr>
      <w:r w:rsidRPr="00B15515">
        <w:rPr>
          <w:rFonts w:ascii="Book Antiqua" w:eastAsiaTheme="minorHAnsi" w:hAnsi="Book Antiqua" w:cstheme="minorBidi"/>
          <w:color w:val="000000" w:themeColor="text1"/>
          <w:kern w:val="2"/>
          <w14:ligatures w14:val="standardContextual"/>
        </w:rPr>
        <w:t>Cumplir con las métricas del Plan Fiscal certificado por la JSF.</w:t>
      </w:r>
    </w:p>
    <w:p w14:paraId="5A841328" w14:textId="77777777" w:rsidR="00822714" w:rsidRDefault="00822714" w:rsidP="00822714">
      <w:pPr>
        <w:ind w:firstLine="720"/>
        <w:jc w:val="both"/>
        <w:rPr>
          <w:rFonts w:ascii="Book Antiqua" w:hAnsi="Book Antiqua"/>
          <w:color w:val="000000" w:themeColor="text1"/>
        </w:rPr>
      </w:pPr>
    </w:p>
    <w:p w14:paraId="17DFC884" w14:textId="77777777" w:rsidR="00822714" w:rsidRDefault="00822714" w:rsidP="00822714">
      <w:pPr>
        <w:ind w:firstLine="720"/>
        <w:jc w:val="both"/>
        <w:rPr>
          <w:rFonts w:ascii="Book Antiqua" w:hAnsi="Book Antiqua"/>
          <w:color w:val="000000" w:themeColor="text1"/>
        </w:rPr>
      </w:pPr>
      <w:r w:rsidRPr="00B15515">
        <w:rPr>
          <w:rFonts w:ascii="Book Antiqua" w:hAnsi="Book Antiqua"/>
          <w:color w:val="000000" w:themeColor="text1"/>
        </w:rPr>
        <w:t>Esta Asamblea Legislativa está comprometida con mejorar la situación económica de toda nuestra clase trabajadora, por tanto, propone con el fin de simplificar y uniformar las fechas de radicación de las distintas planillas requeridas a los negocios, reducir el cumplimiento contributivo en Puerto Rico. Además, la presente medida mejorará la fiscalización, facilitando la transferencia de información de algunas agencias del Gobierno con el Departamento de Hacienda referente a propiedades de personas.</w:t>
      </w:r>
    </w:p>
    <w:p w14:paraId="017E1998" w14:textId="77777777" w:rsidR="009807A4" w:rsidRPr="00790693" w:rsidRDefault="009807A4" w:rsidP="009807A4">
      <w:pPr>
        <w:jc w:val="both"/>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1D66DC39" w14:textId="77777777" w:rsidR="00822714" w:rsidRPr="00B15515" w:rsidRDefault="00822714" w:rsidP="00822714">
      <w:pPr>
        <w:pStyle w:val="BodyText"/>
        <w:spacing w:line="480" w:lineRule="auto"/>
        <w:ind w:firstLine="720"/>
        <w:rPr>
          <w:rFonts w:ascii="Book Antiqua" w:hAnsi="Book Antiqua"/>
          <w:color w:val="000000" w:themeColor="text1"/>
        </w:rPr>
      </w:pPr>
      <w:bookmarkStart w:id="0" w:name="{20D8}"/>
      <w:bookmarkStart w:id="1" w:name="_Hlk189832381"/>
      <w:r w:rsidRPr="00B15515">
        <w:rPr>
          <w:rFonts w:ascii="Book Antiqua" w:hAnsi="Book Antiqua"/>
          <w:color w:val="000000" w:themeColor="text1"/>
        </w:rPr>
        <w:t>Artículo 1.— Se enmienda el apartado (a) la Sección 1010.01 de la Ley 1-2011, según enmendada, para que se lea como sigue:</w:t>
      </w:r>
      <w:bookmarkEnd w:id="0"/>
      <w:bookmarkEnd w:id="1"/>
    </w:p>
    <w:p w14:paraId="0E1B2AC9"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“Sección 1010.01. — Definiciones. </w:t>
      </w:r>
    </w:p>
    <w:p w14:paraId="43451DB6" w14:textId="77777777" w:rsidR="00822714" w:rsidRPr="00B15515" w:rsidRDefault="00822714" w:rsidP="00822714">
      <w:pPr>
        <w:pStyle w:val="ListParagraph"/>
        <w:numPr>
          <w:ilvl w:val="0"/>
          <w:numId w:val="28"/>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Según se utilizan en este Subtítulo, cuando no resultare manifiestamente incompatible con los fines del mismo —</w:t>
      </w:r>
    </w:p>
    <w:p w14:paraId="4D91ADE7" w14:textId="77777777" w:rsidR="00822714" w:rsidRPr="00B15515" w:rsidRDefault="00822714" w:rsidP="00822714">
      <w:pPr>
        <w:pStyle w:val="ListParagraph"/>
        <w:numPr>
          <w:ilvl w:val="0"/>
          <w:numId w:val="48"/>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68C94823"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0CE16306"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(3) Compañía de responsabilidad limitada. — El término “compañía de responsabilidad limitada” se refiere a aquellas entidades organizadas bajo el </w:t>
      </w:r>
      <w:r w:rsidRPr="00B15515">
        <w:rPr>
          <w:rFonts w:ascii="Book Antiqua" w:hAnsi="Book Antiqua"/>
          <w:color w:val="000000" w:themeColor="text1"/>
        </w:rPr>
        <w:lastRenderedPageBreak/>
        <w:t xml:space="preserve">Capítulo XIX de la Ley Núm. 164 de 16 de diciembre de 2009, según enmendada, conocida como la “Ley General de Corporaciones” incluyendo aquellas entidades comúnmente denominadas como compañías de responsabilidad limitada en series.  El término “compañía de responsabilidad limitada” se refiere a aquellas entidades organizadas bajo leyes análogas de cualquier estado de los Estados Unidos de América o de un país extranjero. Para propósitos de este Subtítulo las compañías de responsabilidad limitada estarán sujetas a tributación de la misma forma y manera que las corporaciones; disponiéndose, sin embargo, que podrán elegir ser tratadas para propósitos contributivos como sociedades, bajo las reglas aplicables a sociedades y socios contenidas en el Capítulo 7 de este Subtítulo, aunque sean compañías de un solo </w:t>
      </w:r>
      <w:r w:rsidRPr="00B15515">
        <w:rPr>
          <w:rFonts w:ascii="Book Antiqua" w:hAnsi="Book Antiqua"/>
          <w:b/>
          <w:bCs/>
          <w:color w:val="000000" w:themeColor="text1"/>
        </w:rPr>
        <w:t>[miembro]</w:t>
      </w:r>
      <w:r w:rsidRPr="00B15515">
        <w:rPr>
          <w:rFonts w:ascii="Book Antiqua" w:hAnsi="Book Antiqua"/>
          <w:color w:val="000000" w:themeColor="text1"/>
        </w:rPr>
        <w:t xml:space="preserve"> </w:t>
      </w:r>
      <w:r w:rsidRPr="00B15515">
        <w:rPr>
          <w:rFonts w:ascii="Book Antiqua" w:hAnsi="Book Antiqua"/>
          <w:i/>
          <w:iCs/>
          <w:color w:val="000000" w:themeColor="text1"/>
        </w:rPr>
        <w:t>dueño</w:t>
      </w:r>
      <w:r w:rsidRPr="00B15515">
        <w:rPr>
          <w:rFonts w:ascii="Book Antiqua" w:hAnsi="Book Antiqua"/>
          <w:color w:val="000000" w:themeColor="text1"/>
        </w:rPr>
        <w:t xml:space="preserve"> para años contributivos comenzados antes del 1 de enero de 2022, y como Entidades Conducto sujetas a las reglas aplicables contenidas en el Subcapítulo H del Capítulo 7 de este Subtítulo, o como Entidades Ignoradas cuando tengan un solo </w:t>
      </w:r>
      <w:r w:rsidRPr="00B15515">
        <w:rPr>
          <w:rFonts w:ascii="Book Antiqua" w:hAnsi="Book Antiqua"/>
          <w:b/>
          <w:bCs/>
          <w:color w:val="000000" w:themeColor="text1"/>
        </w:rPr>
        <w:t>[miembro]</w:t>
      </w:r>
      <w:r w:rsidRPr="00B15515">
        <w:rPr>
          <w:rFonts w:ascii="Book Antiqua" w:hAnsi="Book Antiqua"/>
          <w:color w:val="000000" w:themeColor="text1"/>
        </w:rPr>
        <w:t xml:space="preserve"> </w:t>
      </w:r>
      <w:r w:rsidRPr="00B15515">
        <w:rPr>
          <w:rFonts w:ascii="Book Antiqua" w:hAnsi="Book Antiqua"/>
          <w:i/>
          <w:iCs/>
          <w:color w:val="000000" w:themeColor="text1"/>
        </w:rPr>
        <w:t>dueño</w:t>
      </w:r>
      <w:r w:rsidRPr="00B15515">
        <w:rPr>
          <w:rFonts w:ascii="Book Antiqua" w:hAnsi="Book Antiqua"/>
          <w:color w:val="000000" w:themeColor="text1"/>
        </w:rPr>
        <w:t xml:space="preserve"> que sea un individuo residente, para años contributivos comenzados luego del 31 de diciembre de 2021. </w:t>
      </w:r>
      <w:r w:rsidRPr="00B15515">
        <w:rPr>
          <w:rFonts w:ascii="Book Antiqua" w:hAnsi="Book Antiqua"/>
          <w:i/>
          <w:iCs/>
          <w:color w:val="000000" w:themeColor="text1"/>
        </w:rPr>
        <w:t xml:space="preserve">Para años contributivos comenzados luego del 31 de diciembre de 2023, podrá elegir ser tratada como Entidad Ignorada aun cuando su único dueño no sea un individuo residente. </w:t>
      </w:r>
    </w:p>
    <w:p w14:paraId="3DA09DC5"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establecerá, mediante reglamento, la forma y manera de hacer dicha elección la cual deberá presentarse en o antes de la fecha dispuesta para presentar la planilla de contribución sobre ingresos del año de la elección, incluyendo prórrogas.</w:t>
      </w:r>
    </w:p>
    <w:p w14:paraId="55D1581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lastRenderedPageBreak/>
        <w:t xml:space="preserve">(A) … </w:t>
      </w:r>
    </w:p>
    <w:p w14:paraId="5B2C8BA5"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(B) …</w:t>
      </w:r>
    </w:p>
    <w:p w14:paraId="56F6225D"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(C) En el caso de que una corporación se convierta en una compañía de responsabilidad limitada bajo las disposiciones del Artículo 19.16 de la Ley 164-2009, según enmendada, o disposición análoga de una ley sucesora o la ley de aquella jurisdicción foránea bajo la cual se organizó la entidad, la entidad podrá escoger que la elección de tributar como sociedad, para años contributivos comenzados </w:t>
      </w:r>
      <w:r w:rsidRPr="00B15515">
        <w:rPr>
          <w:rFonts w:ascii="Book Antiqua" w:hAnsi="Book Antiqua"/>
          <w:b/>
          <w:bCs/>
          <w:color w:val="000000" w:themeColor="text1"/>
        </w:rPr>
        <w:t xml:space="preserve">[luego del 31 de diciembre de 2022] </w:t>
      </w:r>
      <w:r w:rsidRPr="00B15515">
        <w:rPr>
          <w:rFonts w:ascii="Book Antiqua" w:hAnsi="Book Antiqua"/>
          <w:i/>
          <w:iCs/>
          <w:color w:val="000000" w:themeColor="text1"/>
        </w:rPr>
        <w:t>antes del 1 de enero de 2022</w:t>
      </w:r>
      <w:r w:rsidRPr="00B15515">
        <w:rPr>
          <w:rFonts w:ascii="Book Antiqua" w:hAnsi="Book Antiqua"/>
          <w:color w:val="000000" w:themeColor="text1"/>
        </w:rPr>
        <w:t xml:space="preserve"> y como Entidad Conducto, o Entidad Ignorada, cuando tenga un solo </w:t>
      </w:r>
      <w:r w:rsidRPr="00B15515">
        <w:rPr>
          <w:rFonts w:ascii="Book Antiqua" w:hAnsi="Book Antiqua"/>
          <w:b/>
          <w:bCs/>
          <w:color w:val="000000" w:themeColor="text1"/>
        </w:rPr>
        <w:t>[accionista]</w:t>
      </w:r>
      <w:r w:rsidRPr="00B15515">
        <w:rPr>
          <w:rFonts w:ascii="Book Antiqua" w:hAnsi="Book Antiqua"/>
          <w:i/>
          <w:iCs/>
          <w:color w:val="000000" w:themeColor="text1"/>
        </w:rPr>
        <w:t>dueño</w:t>
      </w:r>
      <w:r w:rsidRPr="00B15515">
        <w:rPr>
          <w:rFonts w:ascii="Book Antiqua" w:hAnsi="Book Antiqua"/>
          <w:color w:val="000000" w:themeColor="text1"/>
        </w:rPr>
        <w:t xml:space="preserve">, para años contributivos comenzados luego del 31 de diciembre de </w:t>
      </w:r>
      <w:r w:rsidRPr="00B15515">
        <w:rPr>
          <w:rFonts w:ascii="Book Antiqua" w:hAnsi="Book Antiqua"/>
          <w:b/>
          <w:bCs/>
          <w:color w:val="000000" w:themeColor="text1"/>
        </w:rPr>
        <w:t>[2022]</w:t>
      </w:r>
      <w:r w:rsidRPr="00B15515">
        <w:rPr>
          <w:rFonts w:ascii="Book Antiqua" w:hAnsi="Book Antiqua"/>
          <w:color w:val="000000" w:themeColor="text1"/>
        </w:rPr>
        <w:t xml:space="preserve"> </w:t>
      </w:r>
      <w:r w:rsidRPr="00B15515">
        <w:rPr>
          <w:rFonts w:ascii="Book Antiqua" w:hAnsi="Book Antiqua"/>
          <w:i/>
          <w:iCs/>
          <w:color w:val="000000" w:themeColor="text1"/>
        </w:rPr>
        <w:t>2021,</w:t>
      </w:r>
      <w:r w:rsidRPr="00B15515">
        <w:rPr>
          <w:rFonts w:ascii="Book Antiqua" w:hAnsi="Book Antiqua"/>
          <w:color w:val="000000" w:themeColor="text1"/>
        </w:rPr>
        <w:t xml:space="preserve"> se retrotraiga al año contributivo anterior si al momento de la conversión la planilla de contribución sobre ingresos para dicho año no ha vencido, incluyendo prórrogas. Nada de lo aquí dispuesto podrá interpretarse como que dicha conversión es una reorganización, según definido en el apartado (g) de la Sección 1034.04.</w:t>
      </w:r>
    </w:p>
    <w:p w14:paraId="3B91396E"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t>(D) Toda entidad foránea que no se considere una corporación o sociedad, según dichos términos se definen en las Secciones 1010.01(a)(2) y 1010.01(a)(4) del</w:t>
      </w:r>
      <w:r w:rsidRPr="00B15515">
        <w:rPr>
          <w:rFonts w:ascii="Book Antiqua" w:hAnsi="Book Antiqua"/>
          <w:color w:val="000000" w:themeColor="text1"/>
        </w:rPr>
        <w:t xml:space="preserve"> </w:t>
      </w:r>
      <w:r w:rsidRPr="00B15515">
        <w:rPr>
          <w:rFonts w:ascii="Book Antiqua" w:hAnsi="Book Antiqua"/>
          <w:i/>
          <w:iCs/>
          <w:color w:val="000000" w:themeColor="text1"/>
        </w:rPr>
        <w:t>Código, o un fideicomiso, será considerada y tratada como una Compañía de Responsabilidad Limitada para propósitos de este Código, según dicho término se define en esta Sección.</w:t>
      </w:r>
    </w:p>
    <w:p w14:paraId="4D54FD2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(4) …</w:t>
      </w:r>
    </w:p>
    <w:p w14:paraId="508103AE" w14:textId="77777777" w:rsidR="00822714" w:rsidRPr="00B15515" w:rsidRDefault="00822714" w:rsidP="00822714">
      <w:pPr>
        <w:spacing w:line="480" w:lineRule="auto"/>
        <w:ind w:left="720"/>
        <w:jc w:val="both"/>
        <w:rPr>
          <w:rFonts w:ascii="Book Antiqua" w:hAnsi="Book Antiqua"/>
          <w:color w:val="000000" w:themeColor="text1"/>
          <w:shd w:val="clear" w:color="auto" w:fill="FFFFFF"/>
        </w:rPr>
      </w:pPr>
      <w:r w:rsidRPr="00B15515">
        <w:rPr>
          <w:rFonts w:ascii="Book Antiqua" w:hAnsi="Book Antiqua"/>
          <w:color w:val="000000" w:themeColor="text1"/>
          <w:shd w:val="clear" w:color="auto" w:fill="FFFFFF"/>
        </w:rPr>
        <w:t>…</w:t>
      </w:r>
    </w:p>
    <w:p w14:paraId="007718BC" w14:textId="77777777" w:rsidR="00822714" w:rsidRPr="00B15515" w:rsidRDefault="00822714" w:rsidP="00822714">
      <w:pPr>
        <w:spacing w:line="480" w:lineRule="auto"/>
        <w:ind w:left="720"/>
        <w:jc w:val="both"/>
        <w:rPr>
          <w:rFonts w:ascii="Book Antiqua" w:hAnsi="Book Antiqua"/>
          <w:color w:val="000000" w:themeColor="text1"/>
          <w:shd w:val="clear" w:color="auto" w:fill="FFFFFF"/>
        </w:rPr>
      </w:pPr>
      <w:r w:rsidRPr="00B15515">
        <w:rPr>
          <w:rFonts w:ascii="Book Antiqua" w:hAnsi="Book Antiqua"/>
          <w:color w:val="000000" w:themeColor="text1"/>
          <w:shd w:val="clear" w:color="auto" w:fill="FFFFFF"/>
        </w:rPr>
        <w:t>…</w:t>
      </w:r>
    </w:p>
    <w:p w14:paraId="73FC94B3" w14:textId="77777777" w:rsidR="00822714" w:rsidRPr="00B15515" w:rsidRDefault="00822714" w:rsidP="00822714">
      <w:pPr>
        <w:spacing w:line="480" w:lineRule="auto"/>
        <w:ind w:left="720"/>
        <w:jc w:val="both"/>
        <w:rPr>
          <w:rFonts w:ascii="Book Antiqua" w:hAnsi="Book Antiqua"/>
          <w:color w:val="000000" w:themeColor="text1"/>
          <w:shd w:val="clear" w:color="auto" w:fill="FFFFFF"/>
        </w:rPr>
      </w:pPr>
      <w:r w:rsidRPr="00B15515">
        <w:rPr>
          <w:rFonts w:ascii="Book Antiqua" w:hAnsi="Book Antiqua"/>
          <w:color w:val="000000" w:themeColor="text1"/>
          <w:shd w:val="clear" w:color="auto" w:fill="FFFFFF"/>
        </w:rPr>
        <w:lastRenderedPageBreak/>
        <w:t>…</w:t>
      </w:r>
    </w:p>
    <w:p w14:paraId="3BE17DE8"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shd w:val="clear" w:color="auto" w:fill="FFFFFF"/>
        </w:rPr>
        <w:t>…</w:t>
      </w:r>
    </w:p>
    <w:p w14:paraId="54A7FB6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(40) Industria o negocio. — Según se </w:t>
      </w:r>
      <w:r w:rsidRPr="00B15515">
        <w:rPr>
          <w:rFonts w:ascii="Book Antiqua" w:hAnsi="Book Antiqua"/>
          <w:b/>
          <w:bCs/>
          <w:color w:val="000000" w:themeColor="text1"/>
        </w:rPr>
        <w:t>[utilizan en las Secciones 1062.08, 1062.11, 1091.01 y 1092.01]</w:t>
      </w:r>
      <w:r w:rsidRPr="00B15515">
        <w:rPr>
          <w:rFonts w:ascii="Book Antiqua" w:hAnsi="Book Antiqua"/>
          <w:color w:val="000000" w:themeColor="text1"/>
        </w:rPr>
        <w:t xml:space="preserve"> </w:t>
      </w:r>
      <w:r w:rsidRPr="00B15515">
        <w:rPr>
          <w:rFonts w:ascii="Book Antiqua" w:hAnsi="Book Antiqua"/>
          <w:i/>
          <w:iCs/>
          <w:color w:val="000000" w:themeColor="text1"/>
        </w:rPr>
        <w:t>utilizan</w:t>
      </w:r>
      <w:r w:rsidRPr="00B15515">
        <w:rPr>
          <w:rFonts w:ascii="Book Antiqua" w:hAnsi="Book Antiqua"/>
          <w:color w:val="000000" w:themeColor="text1"/>
        </w:rPr>
        <w:t xml:space="preserve"> </w:t>
      </w:r>
      <w:r w:rsidRPr="00B15515">
        <w:rPr>
          <w:rFonts w:ascii="Book Antiqua" w:hAnsi="Book Antiqua"/>
          <w:i/>
          <w:iCs/>
          <w:color w:val="000000" w:themeColor="text1"/>
        </w:rPr>
        <w:t xml:space="preserve">en el Subtítulo </w:t>
      </w:r>
      <w:proofErr w:type="gramStart"/>
      <w:r w:rsidRPr="00B15515">
        <w:rPr>
          <w:rFonts w:ascii="Book Antiqua" w:hAnsi="Book Antiqua"/>
          <w:i/>
          <w:iCs/>
          <w:color w:val="000000" w:themeColor="text1"/>
        </w:rPr>
        <w:t>A</w:t>
      </w:r>
      <w:r w:rsidRPr="00B15515">
        <w:rPr>
          <w:rFonts w:ascii="Book Antiqua" w:hAnsi="Book Antiqua"/>
          <w:color w:val="000000" w:themeColor="text1"/>
        </w:rPr>
        <w:t>,  el</w:t>
      </w:r>
      <w:proofErr w:type="gramEnd"/>
      <w:r w:rsidRPr="00B15515">
        <w:rPr>
          <w:rFonts w:ascii="Book Antiqua" w:hAnsi="Book Antiqua"/>
          <w:color w:val="000000" w:themeColor="text1"/>
        </w:rPr>
        <w:t xml:space="preserve"> término “dedicados a industria o negocio en Puerto Rico” o “dedicadas a industria o negocio en Puerto Rico”, según sea el caso, incluye </w:t>
      </w:r>
      <w:r w:rsidRPr="00B15515">
        <w:rPr>
          <w:rFonts w:ascii="Book Antiqua" w:hAnsi="Book Antiqua"/>
          <w:i/>
          <w:iCs/>
          <w:color w:val="000000" w:themeColor="text1"/>
        </w:rPr>
        <w:t>entre otros, la venta de inventario y</w:t>
      </w:r>
      <w:r w:rsidRPr="00B15515">
        <w:rPr>
          <w:rFonts w:ascii="Book Antiqua" w:hAnsi="Book Antiqua"/>
          <w:color w:val="000000" w:themeColor="text1"/>
        </w:rPr>
        <w:t xml:space="preserve"> la prestación de servicios en Puerto Rico </w:t>
      </w:r>
      <w:r w:rsidRPr="00B15515">
        <w:rPr>
          <w:rFonts w:ascii="Book Antiqua" w:hAnsi="Book Antiqua"/>
          <w:b/>
          <w:bCs/>
          <w:color w:val="000000" w:themeColor="text1"/>
        </w:rPr>
        <w:t>[en cualquier momento]</w:t>
      </w:r>
      <w:r w:rsidRPr="00B15515">
        <w:rPr>
          <w:rFonts w:ascii="Book Antiqua" w:hAnsi="Book Antiqua"/>
          <w:color w:val="000000" w:themeColor="text1"/>
        </w:rPr>
        <w:t xml:space="preserve"> durante el año contributivo</w:t>
      </w:r>
      <w:r w:rsidRPr="00B15515">
        <w:rPr>
          <w:rFonts w:ascii="Book Antiqua" w:hAnsi="Book Antiqua"/>
          <w:i/>
          <w:iCs/>
          <w:color w:val="000000" w:themeColor="text1"/>
        </w:rPr>
        <w:t>.</w:t>
      </w:r>
      <w:r w:rsidRPr="00B15515">
        <w:rPr>
          <w:rFonts w:ascii="Book Antiqua" w:hAnsi="Book Antiqua"/>
          <w:color w:val="000000" w:themeColor="text1"/>
        </w:rPr>
        <w:t xml:space="preserve"> </w:t>
      </w:r>
      <w:r w:rsidRPr="00B15515">
        <w:rPr>
          <w:rFonts w:ascii="Book Antiqua" w:hAnsi="Book Antiqua"/>
          <w:i/>
          <w:iCs/>
          <w:color w:val="000000" w:themeColor="text1"/>
        </w:rPr>
        <w:t>Para considerarse dedicado a una industria o negocio en Puerto Rico, las actividades locales de la persona tienen que ser considerables, continuas y regulares, considerando la naturaleza de las actividades de negocio de la persona dentro y fuera de Puerto Rico. No obstante, dicho término</w:t>
      </w:r>
      <w:r w:rsidRPr="00B15515">
        <w:rPr>
          <w:rFonts w:ascii="Book Antiqua" w:hAnsi="Book Antiqua"/>
          <w:color w:val="000000" w:themeColor="text1"/>
        </w:rPr>
        <w:t xml:space="preserve"> </w:t>
      </w:r>
      <w:r w:rsidRPr="00B15515">
        <w:rPr>
          <w:rFonts w:ascii="Book Antiqua" w:hAnsi="Book Antiqua"/>
          <w:b/>
          <w:bCs/>
          <w:color w:val="000000" w:themeColor="text1"/>
        </w:rPr>
        <w:t>[pero]</w:t>
      </w:r>
      <w:r w:rsidRPr="00B15515">
        <w:rPr>
          <w:rFonts w:ascii="Book Antiqua" w:hAnsi="Book Antiqua"/>
          <w:color w:val="000000" w:themeColor="text1"/>
        </w:rPr>
        <w:t xml:space="preserve"> no incluye:</w:t>
      </w:r>
    </w:p>
    <w:p w14:paraId="4B65961C"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 …</w:t>
      </w:r>
    </w:p>
    <w:p w14:paraId="133C8046"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1311B79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29BC5A7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(D) Industrias o Negocio con Trabajador a Distancia en Puerto Rico. Para años contributivos comenzados después del 31 de diciembre de 2021, mantener empleados en Puerto Rico, </w:t>
      </w:r>
      <w:r w:rsidRPr="00B15515">
        <w:rPr>
          <w:rFonts w:ascii="Book Antiqua" w:hAnsi="Book Antiqua"/>
          <w:b/>
          <w:bCs/>
          <w:color w:val="000000" w:themeColor="text1"/>
        </w:rPr>
        <w:t>[sólo]</w:t>
      </w:r>
      <w:r w:rsidRPr="00B15515">
        <w:rPr>
          <w:rFonts w:ascii="Book Antiqua" w:hAnsi="Book Antiqua"/>
          <w:color w:val="000000" w:themeColor="text1"/>
        </w:rPr>
        <w:t xml:space="preserve"> </w:t>
      </w:r>
      <w:r w:rsidRPr="00B15515">
        <w:rPr>
          <w:rFonts w:ascii="Book Antiqua" w:hAnsi="Book Antiqua"/>
          <w:i/>
          <w:iCs/>
          <w:color w:val="000000" w:themeColor="text1"/>
        </w:rPr>
        <w:t>solo</w:t>
      </w:r>
      <w:r w:rsidRPr="00B15515">
        <w:rPr>
          <w:rFonts w:ascii="Book Antiqua" w:hAnsi="Book Antiqua"/>
          <w:color w:val="000000" w:themeColor="text1"/>
        </w:rPr>
        <w:t xml:space="preserve"> si:</w:t>
      </w:r>
    </w:p>
    <w:p w14:paraId="39E68B4D"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color w:val="000000" w:themeColor="text1"/>
        </w:rPr>
        <w:t xml:space="preserve">(i) </w:t>
      </w:r>
      <w:r w:rsidRPr="00B15515">
        <w:rPr>
          <w:rFonts w:ascii="Book Antiqua" w:hAnsi="Book Antiqua"/>
          <w:i/>
          <w:iCs/>
          <w:color w:val="000000" w:themeColor="text1"/>
        </w:rPr>
        <w:t>Se cumple con todos los siguientes requisitos:</w:t>
      </w:r>
    </w:p>
    <w:p w14:paraId="5C7AD22D"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(I) En ningún momento durante el año contributivo, el contribuyente tiene una oficina u otro local fijo de negocios en Puerto Rico </w:t>
      </w:r>
      <w:r w:rsidRPr="00B15515">
        <w:rPr>
          <w:rFonts w:ascii="Book Antiqua" w:hAnsi="Book Antiqua"/>
          <w:i/>
          <w:iCs/>
          <w:color w:val="000000" w:themeColor="text1"/>
        </w:rPr>
        <w:t>(sin tomar en cuenta la residencia del Trabajador a Distancia)</w:t>
      </w:r>
      <w:r w:rsidRPr="00B15515">
        <w:rPr>
          <w:rFonts w:ascii="Book Antiqua" w:hAnsi="Book Antiqua"/>
          <w:color w:val="000000" w:themeColor="text1"/>
        </w:rPr>
        <w:t>;</w:t>
      </w:r>
    </w:p>
    <w:p w14:paraId="6EDDF3F1"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(II) [En ningún momento tenga un nexo económico con Puerto Rico; </w:t>
      </w:r>
    </w:p>
    <w:p w14:paraId="53E45E75"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b/>
          <w:bCs/>
          <w:color w:val="000000" w:themeColor="text1"/>
        </w:rPr>
        <w:lastRenderedPageBreak/>
        <w:t>(III)]</w:t>
      </w:r>
      <w:r w:rsidRPr="00B15515">
        <w:rPr>
          <w:rFonts w:ascii="Book Antiqua" w:hAnsi="Book Antiqua"/>
          <w:color w:val="000000" w:themeColor="text1"/>
        </w:rPr>
        <w:t xml:space="preserve"> No se considere un comerciante, conforme a la Sección 4010.01(h) del Código; </w:t>
      </w:r>
      <w:r w:rsidRPr="00B15515">
        <w:rPr>
          <w:rFonts w:ascii="Book Antiqua" w:hAnsi="Book Antiqua"/>
          <w:i/>
          <w:iCs/>
          <w:color w:val="000000" w:themeColor="text1"/>
        </w:rPr>
        <w:t>excepto que para estos propósitos el trabajador a distancia no se tomará en cuenta bajo el requisito del apartado (h)(2) de dicha Sección</w:t>
      </w:r>
      <w:r w:rsidRPr="00B15515">
        <w:rPr>
          <w:rFonts w:ascii="Book Antiqua" w:hAnsi="Book Antiqua"/>
          <w:color w:val="000000" w:themeColor="text1"/>
        </w:rPr>
        <w:t>;</w:t>
      </w:r>
    </w:p>
    <w:p w14:paraId="7B089CB8"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b/>
          <w:bCs/>
          <w:color w:val="000000" w:themeColor="text1"/>
        </w:rPr>
        <w:t>[(IV)]</w:t>
      </w:r>
      <w:r w:rsidRPr="00B15515">
        <w:rPr>
          <w:rFonts w:ascii="Book Antiqua" w:hAnsi="Book Antiqua"/>
          <w:color w:val="000000" w:themeColor="text1"/>
        </w:rPr>
        <w:t xml:space="preserve"> </w:t>
      </w:r>
      <w:r w:rsidRPr="00B15515">
        <w:rPr>
          <w:rFonts w:ascii="Book Antiqua" w:hAnsi="Book Antiqua"/>
          <w:i/>
          <w:iCs/>
          <w:color w:val="000000" w:themeColor="text1"/>
        </w:rPr>
        <w:t>(III)</w:t>
      </w:r>
      <w:r w:rsidRPr="00B15515">
        <w:rPr>
          <w:rFonts w:ascii="Book Antiqua" w:hAnsi="Book Antiqua"/>
          <w:color w:val="000000" w:themeColor="text1"/>
        </w:rPr>
        <w:t xml:space="preserve"> El trabajador a distancia no es un oficial, director o accionista mayoritario del contribuyente;</w:t>
      </w:r>
    </w:p>
    <w:p w14:paraId="14714678"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b/>
          <w:bCs/>
          <w:color w:val="000000" w:themeColor="text1"/>
        </w:rPr>
        <w:t>[(V)]</w:t>
      </w:r>
      <w:r w:rsidRPr="00B15515">
        <w:rPr>
          <w:rFonts w:ascii="Book Antiqua" w:hAnsi="Book Antiqua"/>
          <w:color w:val="000000" w:themeColor="text1"/>
        </w:rPr>
        <w:t xml:space="preserve"> </w:t>
      </w:r>
      <w:r w:rsidRPr="00B15515">
        <w:rPr>
          <w:rFonts w:ascii="Book Antiqua" w:hAnsi="Book Antiqua"/>
          <w:i/>
          <w:iCs/>
          <w:color w:val="000000" w:themeColor="text1"/>
        </w:rPr>
        <w:t>(IV)</w:t>
      </w:r>
      <w:r w:rsidRPr="00B15515">
        <w:rPr>
          <w:rFonts w:ascii="Book Antiqua" w:hAnsi="Book Antiqua"/>
          <w:color w:val="000000" w:themeColor="text1"/>
        </w:rPr>
        <w:t xml:space="preserve"> Los servicios prestados por dichos empleados se presten para el beneficio de clientes o negocios del contribuyente que no tengan un nexo con Puerto Rico; y,</w:t>
      </w:r>
    </w:p>
    <w:p w14:paraId="58A9146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b/>
          <w:bCs/>
          <w:color w:val="000000" w:themeColor="text1"/>
        </w:rPr>
        <w:t>[(VI)]</w:t>
      </w:r>
      <w:r w:rsidRPr="00B15515">
        <w:rPr>
          <w:rFonts w:ascii="Book Antiqua" w:hAnsi="Book Antiqua"/>
          <w:color w:val="000000" w:themeColor="text1"/>
        </w:rPr>
        <w:t xml:space="preserve"> </w:t>
      </w:r>
      <w:r w:rsidRPr="00B15515">
        <w:rPr>
          <w:rFonts w:ascii="Book Antiqua" w:hAnsi="Book Antiqua"/>
          <w:i/>
          <w:iCs/>
          <w:color w:val="000000" w:themeColor="text1"/>
        </w:rPr>
        <w:t>(V)</w:t>
      </w:r>
      <w:r w:rsidRPr="00B15515">
        <w:rPr>
          <w:rFonts w:ascii="Book Antiqua" w:hAnsi="Book Antiqua"/>
          <w:color w:val="000000" w:themeColor="text1"/>
        </w:rPr>
        <w:t xml:space="preserve"> El contribuyente le reporta el ingreso pagado al Trabajador a Distancia en un formulario W-2 Federal o en un Formulario 499R-2/W-2PR.</w:t>
      </w:r>
    </w:p>
    <w:p w14:paraId="697F9C36"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roofErr w:type="spellStart"/>
      <w:r w:rsidRPr="00B15515">
        <w:rPr>
          <w:rFonts w:ascii="Book Antiqua" w:hAnsi="Book Antiqua"/>
          <w:color w:val="000000" w:themeColor="text1"/>
        </w:rPr>
        <w:t>ii</w:t>
      </w:r>
      <w:proofErr w:type="spellEnd"/>
      <w:r w:rsidRPr="00B15515">
        <w:rPr>
          <w:rFonts w:ascii="Book Antiqua" w:hAnsi="Book Antiqua"/>
          <w:color w:val="000000" w:themeColor="text1"/>
        </w:rPr>
        <w:t>) …</w:t>
      </w:r>
    </w:p>
    <w:p w14:paraId="5F98AEB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7F72856D"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(41) …</w:t>
      </w:r>
    </w:p>
    <w:p w14:paraId="6775B196"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292AC599"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(43) Entidad Conducto.-  Entidad organizada bajo la Ley Núm. 164 de 16 de diciembre de 2009, según enmendada,</w:t>
      </w:r>
      <w:r w:rsidRPr="00B15515">
        <w:rPr>
          <w:rFonts w:ascii="Book Antiqua" w:hAnsi="Book Antiqua"/>
          <w:b/>
          <w:bCs/>
          <w:color w:val="000000" w:themeColor="text1"/>
        </w:rPr>
        <w:t xml:space="preserve"> </w:t>
      </w:r>
      <w:r w:rsidRPr="00B15515">
        <w:rPr>
          <w:rFonts w:ascii="Book Antiqua" w:hAnsi="Book Antiqua"/>
          <w:color w:val="000000" w:themeColor="text1"/>
        </w:rPr>
        <w:t>conocida como la “Ley General de Corporaciones</w:t>
      </w:r>
      <w:r w:rsidRPr="00B15515">
        <w:rPr>
          <w:rFonts w:ascii="Book Antiqua" w:hAnsi="Book Antiqua"/>
          <w:i/>
          <w:iCs/>
          <w:color w:val="000000" w:themeColor="text1"/>
        </w:rPr>
        <w:t xml:space="preserve">”, </w:t>
      </w:r>
      <w:r w:rsidRPr="00B15515">
        <w:rPr>
          <w:rFonts w:ascii="Book Antiqua" w:hAnsi="Book Antiqua"/>
          <w:color w:val="000000" w:themeColor="text1"/>
        </w:rPr>
        <w:t xml:space="preserve">o </w:t>
      </w:r>
      <w:r w:rsidRPr="00B15515">
        <w:rPr>
          <w:rFonts w:ascii="Book Antiqua" w:hAnsi="Book Antiqua"/>
          <w:b/>
          <w:bCs/>
          <w:color w:val="000000" w:themeColor="text1"/>
        </w:rPr>
        <w:t>[entidades organizadas bajo]</w:t>
      </w:r>
      <w:r w:rsidRPr="00B15515">
        <w:rPr>
          <w:rFonts w:ascii="Book Antiqua" w:hAnsi="Book Antiqua"/>
          <w:color w:val="000000" w:themeColor="text1"/>
        </w:rPr>
        <w:t xml:space="preserve"> leyes análogas de cualquier estado de los Estados Unidos de América o de un país extranjero, </w:t>
      </w:r>
      <w:r w:rsidRPr="00B15515">
        <w:rPr>
          <w:rFonts w:ascii="Book Antiqua" w:hAnsi="Book Antiqua"/>
          <w:i/>
          <w:iCs/>
          <w:color w:val="000000" w:themeColor="text1"/>
        </w:rPr>
        <w:t>o cualquier entidad que por ley se le brinde personalidad jurídica distinta a la de sus dueños, socios o integrantes,</w:t>
      </w:r>
      <w:r w:rsidRPr="00B15515">
        <w:rPr>
          <w:rFonts w:ascii="Book Antiqua" w:hAnsi="Book Antiqua"/>
          <w:color w:val="000000" w:themeColor="text1"/>
        </w:rPr>
        <w:t xml:space="preserve"> cuyos ingresos y gastos se atribuyen a sus dueños, socios o </w:t>
      </w:r>
      <w:r w:rsidRPr="00B15515">
        <w:rPr>
          <w:rFonts w:ascii="Book Antiqua" w:hAnsi="Book Antiqua"/>
          <w:b/>
          <w:bCs/>
          <w:color w:val="000000" w:themeColor="text1"/>
        </w:rPr>
        <w:t>[miembros]</w:t>
      </w:r>
      <w:r w:rsidRPr="00B15515">
        <w:rPr>
          <w:rFonts w:ascii="Book Antiqua" w:hAnsi="Book Antiqua"/>
          <w:color w:val="000000" w:themeColor="text1"/>
        </w:rPr>
        <w:t xml:space="preserve"> </w:t>
      </w:r>
      <w:r w:rsidRPr="00B15515">
        <w:rPr>
          <w:rFonts w:ascii="Book Antiqua" w:hAnsi="Book Antiqua"/>
          <w:i/>
          <w:iCs/>
          <w:color w:val="000000" w:themeColor="text1"/>
        </w:rPr>
        <w:t>integrantes</w:t>
      </w:r>
      <w:r w:rsidRPr="00B15515">
        <w:rPr>
          <w:rFonts w:ascii="Book Antiqua" w:hAnsi="Book Antiqua"/>
          <w:color w:val="000000" w:themeColor="text1"/>
        </w:rPr>
        <w:t xml:space="preserve"> para propósitos de la contribución sobre ingresos. </w:t>
      </w:r>
    </w:p>
    <w:p w14:paraId="68EB4CF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i/>
          <w:iCs/>
          <w:color w:val="000000" w:themeColor="text1"/>
        </w:rPr>
        <w:t>(A)</w:t>
      </w:r>
      <w:r w:rsidRPr="00B15515">
        <w:rPr>
          <w:rFonts w:ascii="Book Antiqua" w:hAnsi="Book Antiqua"/>
          <w:color w:val="000000" w:themeColor="text1"/>
        </w:rPr>
        <w:t xml:space="preserve"> </w:t>
      </w:r>
      <w:r w:rsidRPr="00B15515">
        <w:rPr>
          <w:rFonts w:ascii="Book Antiqua" w:hAnsi="Book Antiqua"/>
          <w:b/>
          <w:bCs/>
          <w:color w:val="000000" w:themeColor="text1"/>
        </w:rPr>
        <w:t>[(i)]</w:t>
      </w:r>
      <w:r w:rsidRPr="00B15515">
        <w:rPr>
          <w:rFonts w:ascii="Book Antiqua" w:hAnsi="Book Antiqua"/>
          <w:color w:val="000000" w:themeColor="text1"/>
        </w:rPr>
        <w:t xml:space="preserve"> …</w:t>
      </w:r>
    </w:p>
    <w:p w14:paraId="25F42CB2"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lastRenderedPageBreak/>
        <w:t xml:space="preserve">(B) </w:t>
      </w:r>
      <w:r w:rsidRPr="00B15515">
        <w:rPr>
          <w:rFonts w:ascii="Book Antiqua" w:hAnsi="Book Antiqua"/>
          <w:b/>
          <w:bCs/>
          <w:i/>
          <w:iCs/>
          <w:color w:val="000000" w:themeColor="text1"/>
        </w:rPr>
        <w:t>[(</w:t>
      </w:r>
      <w:proofErr w:type="spellStart"/>
      <w:r w:rsidRPr="00B15515">
        <w:rPr>
          <w:rFonts w:ascii="Book Antiqua" w:hAnsi="Book Antiqua"/>
          <w:b/>
          <w:bCs/>
          <w:i/>
          <w:iCs/>
          <w:color w:val="000000" w:themeColor="text1"/>
        </w:rPr>
        <w:t>ii</w:t>
      </w:r>
      <w:proofErr w:type="spellEnd"/>
      <w:r w:rsidRPr="00B15515">
        <w:rPr>
          <w:rFonts w:ascii="Book Antiqua" w:hAnsi="Book Antiqua"/>
          <w:b/>
          <w:bCs/>
          <w:i/>
          <w:iCs/>
          <w:color w:val="000000" w:themeColor="text1"/>
        </w:rPr>
        <w:t>)]</w:t>
      </w:r>
      <w:r w:rsidRPr="00B15515">
        <w:rPr>
          <w:rFonts w:ascii="Book Antiqua" w:hAnsi="Book Antiqua"/>
          <w:i/>
          <w:iCs/>
          <w:color w:val="000000" w:themeColor="text1"/>
        </w:rPr>
        <w:t>…</w:t>
      </w:r>
    </w:p>
    <w:p w14:paraId="23636C67"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t xml:space="preserve">(C) Las Corporaciones Especiales Propiedad de Trabajadores no podrán elegir ser tratadas como Entidades Conducto. </w:t>
      </w:r>
    </w:p>
    <w:p w14:paraId="384266B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(b) …”</w:t>
      </w:r>
    </w:p>
    <w:p w14:paraId="666A3B69" w14:textId="77777777" w:rsidR="00822714" w:rsidRPr="00B15515" w:rsidRDefault="00822714" w:rsidP="00822714">
      <w:pPr>
        <w:pStyle w:val="Heading1"/>
        <w:rPr>
          <w:color w:val="000000" w:themeColor="text1"/>
        </w:rPr>
      </w:pPr>
      <w:r w:rsidRPr="00B15515">
        <w:rPr>
          <w:color w:val="000000" w:themeColor="text1"/>
        </w:rPr>
        <w:t>Artículo 2.— Se enmienda el apartado (c) la Sección 1010.05 de la Ley 1-2011, según enmendada, para que se lea como sigue:</w:t>
      </w:r>
    </w:p>
    <w:p w14:paraId="1476244E"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“Sección 1010.05. — Grupo de Entidades Relacionadas, Persona Relacionada.</w:t>
      </w:r>
    </w:p>
    <w:p w14:paraId="135B932A"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(a)…</w:t>
      </w:r>
    </w:p>
    <w:p w14:paraId="3B296908"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 xml:space="preserve">. . . </w:t>
      </w:r>
    </w:p>
    <w:p w14:paraId="3EAF2947"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(c) Entidad. — significa toda industria o negocio llevado a cabo por:</w:t>
      </w:r>
    </w:p>
    <w:p w14:paraId="60CF6CAC"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(1) una corporación, compañía de responsabilidad limitada o sociedad sujeta a tributación bajo el Subcapítulo B del Capítulo 2 de este Subtítulo; </w:t>
      </w:r>
    </w:p>
    <w:p w14:paraId="1088E13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(2) una </w:t>
      </w:r>
      <w:r w:rsidRPr="00B15515">
        <w:rPr>
          <w:rFonts w:ascii="Book Antiqua" w:hAnsi="Book Antiqua"/>
          <w:i/>
          <w:iCs/>
          <w:color w:val="000000" w:themeColor="text1"/>
        </w:rPr>
        <w:t>corporación,</w:t>
      </w:r>
      <w:r w:rsidRPr="00B15515">
        <w:rPr>
          <w:rFonts w:ascii="Book Antiqua" w:hAnsi="Book Antiqua"/>
          <w:color w:val="000000" w:themeColor="text1"/>
        </w:rPr>
        <w:t xml:space="preserve"> compañía de responsabilidad limitada o sociedad sujeta a tributación como sociedad </w:t>
      </w:r>
      <w:r w:rsidRPr="00B15515">
        <w:rPr>
          <w:rFonts w:ascii="Book Antiqua" w:hAnsi="Book Antiqua"/>
          <w:i/>
          <w:iCs/>
          <w:color w:val="000000" w:themeColor="text1"/>
        </w:rPr>
        <w:t>o entidad conducto</w:t>
      </w:r>
      <w:r w:rsidRPr="00B15515">
        <w:rPr>
          <w:rFonts w:ascii="Book Antiqua" w:hAnsi="Book Antiqua"/>
          <w:color w:val="000000" w:themeColor="text1"/>
        </w:rPr>
        <w:t xml:space="preserve"> bajo las disposiciones del Capítulo 7 de este Subtítulo; </w:t>
      </w:r>
    </w:p>
    <w:p w14:paraId="6E34056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(3) </w:t>
      </w:r>
      <w:r w:rsidRPr="00B15515">
        <w:rPr>
          <w:rFonts w:ascii="Book Antiqua" w:hAnsi="Book Antiqua"/>
          <w:i/>
          <w:iCs/>
          <w:color w:val="000000" w:themeColor="text1"/>
        </w:rPr>
        <w:t xml:space="preserve">Para años contributivos comenzados antes del 1 de enero de 2022, </w:t>
      </w:r>
      <w:r w:rsidRPr="00B15515">
        <w:rPr>
          <w:rFonts w:ascii="Book Antiqua" w:hAnsi="Book Antiqua"/>
          <w:color w:val="000000" w:themeColor="text1"/>
        </w:rPr>
        <w:t xml:space="preserve">una corporación, compañía de responsabilidad limitada o sociedad sujeta a tributación como sociedad especial bajo las disposiciones del Subcapítulo D del Capítulo 11 de este Subtítulo; </w:t>
      </w:r>
    </w:p>
    <w:p w14:paraId="5CC0B3E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(4) </w:t>
      </w:r>
      <w:r w:rsidRPr="00B15515">
        <w:rPr>
          <w:rFonts w:ascii="Book Antiqua" w:hAnsi="Book Antiqua"/>
          <w:i/>
          <w:iCs/>
          <w:color w:val="000000" w:themeColor="text1"/>
        </w:rPr>
        <w:t xml:space="preserve">Para año contributivos comenzados antes del 1 de enero de 2022, </w:t>
      </w:r>
      <w:r w:rsidRPr="00B15515">
        <w:rPr>
          <w:rFonts w:ascii="Book Antiqua" w:hAnsi="Book Antiqua"/>
          <w:color w:val="000000" w:themeColor="text1"/>
        </w:rPr>
        <w:t xml:space="preserve">una corporación o compañía de responsabilidad limitada sujeta a tributación como corporación de </w:t>
      </w:r>
      <w:r w:rsidRPr="00B15515">
        <w:rPr>
          <w:rFonts w:ascii="Book Antiqua" w:hAnsi="Book Antiqua"/>
          <w:color w:val="000000" w:themeColor="text1"/>
        </w:rPr>
        <w:lastRenderedPageBreak/>
        <w:t xml:space="preserve">individuos bajo las disposiciones del Subcapítulo E del Capítulo 1 de este Subtítulo y </w:t>
      </w:r>
    </w:p>
    <w:p w14:paraId="67C3BE8C"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(5) …</w:t>
      </w:r>
    </w:p>
    <w:p w14:paraId="5B72022F"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(6) …”</w:t>
      </w:r>
    </w:p>
    <w:p w14:paraId="3FCAB28B" w14:textId="77777777" w:rsidR="00822714" w:rsidRPr="00B15515" w:rsidRDefault="00822714" w:rsidP="00822714">
      <w:pPr>
        <w:pStyle w:val="Heading1"/>
        <w:rPr>
          <w:rFonts w:eastAsia="Book Antiqua"/>
          <w:color w:val="000000" w:themeColor="text1"/>
        </w:rPr>
      </w:pPr>
      <w:r w:rsidRPr="00B15515">
        <w:rPr>
          <w:rFonts w:eastAsia="Book Antiqua"/>
          <w:color w:val="000000" w:themeColor="text1"/>
        </w:rPr>
        <w:t>Artículo 3.- Se enmienda el párrafo (2) del apartado (a) de la Sección 1021.02 de la Ley 1-2011, para que se lea como sigue:</w:t>
      </w:r>
    </w:p>
    <w:p w14:paraId="5E3066CB" w14:textId="77777777" w:rsidR="00822714" w:rsidRPr="00B15515" w:rsidRDefault="00822714" w:rsidP="00822714">
      <w:pPr>
        <w:spacing w:line="480" w:lineRule="auto"/>
        <w:ind w:firstLine="720"/>
        <w:jc w:val="both"/>
        <w:rPr>
          <w:rFonts w:ascii="Book Antiqua" w:eastAsia="Book Antiqua" w:hAnsi="Book Antiqua"/>
          <w:color w:val="000000" w:themeColor="text1"/>
        </w:rPr>
      </w:pPr>
      <w:r w:rsidRPr="00B15515">
        <w:rPr>
          <w:rFonts w:ascii="Book Antiqua" w:eastAsia="Book Antiqua" w:hAnsi="Book Antiqua"/>
          <w:color w:val="000000" w:themeColor="text1"/>
        </w:rPr>
        <w:t>“Sección 1021.02.-Contribución Básica Alterna a Individuos</w:t>
      </w:r>
    </w:p>
    <w:p w14:paraId="01E473F5" w14:textId="77777777" w:rsidR="00822714" w:rsidRPr="00B15515" w:rsidRDefault="00822714" w:rsidP="00822714">
      <w:pPr>
        <w:spacing w:line="480" w:lineRule="auto"/>
        <w:ind w:firstLine="720"/>
        <w:jc w:val="both"/>
        <w:rPr>
          <w:rFonts w:ascii="Book Antiqua" w:eastAsia="Book Antiqua" w:hAnsi="Book Antiqua"/>
          <w:color w:val="000000" w:themeColor="text1"/>
        </w:rPr>
      </w:pPr>
      <w:r w:rsidRPr="00B15515">
        <w:rPr>
          <w:rFonts w:ascii="Book Antiqua" w:eastAsia="Book Antiqua" w:hAnsi="Book Antiqua"/>
          <w:color w:val="000000" w:themeColor="text1"/>
        </w:rPr>
        <w:t>(a) Imposición de la Contribución Básica Alterna a Individuos. —</w:t>
      </w:r>
    </w:p>
    <w:p w14:paraId="34413B4C" w14:textId="77777777" w:rsidR="00822714" w:rsidRPr="00B15515"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 xml:space="preserve">(1) </w:t>
      </w:r>
      <w:r w:rsidRPr="00B15515">
        <w:rPr>
          <w:rFonts w:ascii="Book Antiqua" w:hAnsi="Book Antiqua"/>
          <w:color w:val="000000" w:themeColor="text1"/>
        </w:rPr>
        <w:tab/>
      </w:r>
      <w:r w:rsidRPr="00B15515">
        <w:rPr>
          <w:rFonts w:ascii="Book Antiqua" w:eastAsia="Book Antiqua" w:hAnsi="Book Antiqua"/>
          <w:color w:val="000000" w:themeColor="text1"/>
        </w:rPr>
        <w:t>…</w:t>
      </w:r>
    </w:p>
    <w:p w14:paraId="458C9C6B" w14:textId="77777777" w:rsidR="00822714" w:rsidRPr="00B15515"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(2)</w:t>
      </w:r>
      <w:r w:rsidRPr="00B15515">
        <w:rPr>
          <w:rFonts w:ascii="Book Antiqua" w:hAnsi="Book Antiqua"/>
          <w:color w:val="000000" w:themeColor="text1"/>
        </w:rPr>
        <w:tab/>
      </w:r>
      <w:r w:rsidRPr="00B15515">
        <w:rPr>
          <w:rFonts w:ascii="Book Antiqua" w:eastAsia="Book Antiqua" w:hAnsi="Book Antiqua"/>
          <w:color w:val="000000" w:themeColor="text1"/>
        </w:rPr>
        <w:t>…</w:t>
      </w:r>
    </w:p>
    <w:p w14:paraId="3E597C21" w14:textId="77777777" w:rsidR="00822714" w:rsidRPr="00B15515" w:rsidRDefault="00822714" w:rsidP="00822714">
      <w:pPr>
        <w:spacing w:line="480" w:lineRule="auto"/>
        <w:ind w:firstLine="720"/>
        <w:jc w:val="both"/>
        <w:rPr>
          <w:rFonts w:ascii="Book Antiqua" w:eastAsia="Book Antiqua" w:hAnsi="Book Antiqua"/>
          <w:color w:val="000000" w:themeColor="text1"/>
        </w:rPr>
      </w:pPr>
      <w:r w:rsidRPr="00B15515">
        <w:rPr>
          <w:rFonts w:ascii="Book Antiqua" w:eastAsia="Book Antiqua" w:hAnsi="Book Antiqua"/>
          <w:color w:val="000000" w:themeColor="text1"/>
        </w:rPr>
        <w:t>(A) …</w:t>
      </w:r>
    </w:p>
    <w:p w14:paraId="09FBCDDE" w14:textId="77777777" w:rsidR="00822714" w:rsidRPr="00B15515" w:rsidRDefault="00822714" w:rsidP="00822714">
      <w:pPr>
        <w:spacing w:line="480" w:lineRule="auto"/>
        <w:ind w:firstLine="720"/>
        <w:jc w:val="both"/>
        <w:rPr>
          <w:rFonts w:ascii="Book Antiqua" w:eastAsia="Book Antiqua" w:hAnsi="Book Antiqua"/>
          <w:color w:val="000000" w:themeColor="text1"/>
        </w:rPr>
      </w:pPr>
      <w:r w:rsidRPr="00B15515">
        <w:rPr>
          <w:rFonts w:ascii="Book Antiqua" w:eastAsia="Book Antiqua" w:hAnsi="Book Antiqua"/>
          <w:color w:val="000000" w:themeColor="text1"/>
        </w:rPr>
        <w:t>(B) …</w:t>
      </w:r>
    </w:p>
    <w:p w14:paraId="1C1562E4" w14:textId="77777777" w:rsidR="00822714" w:rsidRPr="00B15515"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(i) …</w:t>
      </w:r>
    </w:p>
    <w:p w14:paraId="7B7F82DE" w14:textId="77777777" w:rsidR="00822714" w:rsidRPr="00B15515"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w:t>
      </w:r>
    </w:p>
    <w:p w14:paraId="65CC67C5" w14:textId="77777777" w:rsidR="00822714" w:rsidRPr="00B15515" w:rsidRDefault="00822714" w:rsidP="00822714">
      <w:pPr>
        <w:pStyle w:val="ListParagraph"/>
        <w:spacing w:line="480" w:lineRule="auto"/>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w:t>
      </w:r>
      <w:proofErr w:type="spellStart"/>
      <w:r w:rsidRPr="00B15515">
        <w:rPr>
          <w:rFonts w:ascii="Book Antiqua" w:eastAsia="Book Antiqua" w:hAnsi="Book Antiqua"/>
          <w:color w:val="000000" w:themeColor="text1"/>
        </w:rPr>
        <w:t>iv</w:t>
      </w:r>
      <w:proofErr w:type="spellEnd"/>
      <w:r w:rsidRPr="00B15515">
        <w:rPr>
          <w:rFonts w:ascii="Book Antiqua" w:eastAsia="Book Antiqua" w:hAnsi="Book Antiqua"/>
          <w:color w:val="000000" w:themeColor="text1"/>
        </w:rPr>
        <w:t xml:space="preserve">) El monto de los pagos por servicios directamente relacionados a la operación de la industria o negocio del individuo, incluyendo el pago de renta, telecomunicaciones, acceso a internet, y cualquier otro pago, que hayan sido debidamente informados en las declaraciones informativas de ingresos sujetos y no sujetos a retención, según lo dispuesto en las Secciones 1062.03(d), 1062.08(j), 1063.01, 1063.03 y 1063.16 del año contributivo para el cual se radica la planilla de contribución sobre ingresos, disponiéndose que cantidades no informadas en las declaraciones no serán deducibles. Disponiéndose que aquellos contribuyentes </w:t>
      </w:r>
      <w:r w:rsidRPr="00B15515">
        <w:rPr>
          <w:rFonts w:ascii="Book Antiqua" w:eastAsia="Book Antiqua" w:hAnsi="Book Antiqua"/>
          <w:color w:val="000000" w:themeColor="text1"/>
        </w:rPr>
        <w:lastRenderedPageBreak/>
        <w:t xml:space="preserve">bajo el método de acumulación o con un año económico deberán </w:t>
      </w:r>
      <w:r w:rsidRPr="00B15515">
        <w:rPr>
          <w:rFonts w:ascii="Book Antiqua" w:hAnsi="Book Antiqua"/>
          <w:i/>
          <w:iCs/>
          <w:color w:val="000000" w:themeColor="text1"/>
        </w:rPr>
        <w:t>preparar y mantener en sus récords</w:t>
      </w:r>
      <w:r w:rsidRPr="00B15515">
        <w:rPr>
          <w:rFonts w:ascii="Book Antiqua" w:hAnsi="Book Antiqua"/>
          <w:color w:val="000000" w:themeColor="text1"/>
        </w:rPr>
        <w:t xml:space="preserve"> [</w:t>
      </w:r>
      <w:r w:rsidRPr="00B15515">
        <w:rPr>
          <w:rFonts w:ascii="Book Antiqua" w:hAnsi="Book Antiqua"/>
          <w:b/>
          <w:bCs/>
          <w:color w:val="000000" w:themeColor="text1"/>
        </w:rPr>
        <w:t>presentar junto a su planilla]</w:t>
      </w:r>
      <w:r w:rsidRPr="00B15515">
        <w:rPr>
          <w:rFonts w:ascii="Book Antiqua" w:hAnsi="Book Antiqua"/>
          <w:color w:val="000000" w:themeColor="text1"/>
        </w:rPr>
        <w:t xml:space="preserve"> </w:t>
      </w:r>
      <w:r w:rsidRPr="00B15515">
        <w:rPr>
          <w:rFonts w:ascii="Book Antiqua" w:eastAsia="Book Antiqua" w:hAnsi="Book Antiqua"/>
          <w:color w:val="000000" w:themeColor="text1"/>
        </w:rPr>
        <w:t>una reconciliación entre el gasto reflejado en sus libros de contabilidad y las declaraciones informativas para poder reclamar el mismo;</w:t>
      </w:r>
    </w:p>
    <w:p w14:paraId="6DB5EAC6" w14:textId="77777777" w:rsidR="00822714" w:rsidRPr="00B15515"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(v) …</w:t>
      </w:r>
    </w:p>
    <w:p w14:paraId="76FC9195" w14:textId="77777777" w:rsidR="00822714" w:rsidRPr="00B15515"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 xml:space="preserve">. . . </w:t>
      </w:r>
    </w:p>
    <w:p w14:paraId="5269F172" w14:textId="77777777" w:rsidR="00822714" w:rsidRPr="00B15515" w:rsidRDefault="00822714" w:rsidP="00822714">
      <w:pPr>
        <w:pStyle w:val="ListParagraph"/>
        <w:spacing w:line="480" w:lineRule="auto"/>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w:t>
      </w:r>
      <w:proofErr w:type="spellStart"/>
      <w:r w:rsidRPr="00B15515">
        <w:rPr>
          <w:rFonts w:ascii="Book Antiqua" w:eastAsia="Book Antiqua" w:hAnsi="Book Antiqua"/>
          <w:color w:val="000000" w:themeColor="text1"/>
        </w:rPr>
        <w:t>viii</w:t>
      </w:r>
      <w:proofErr w:type="spellEnd"/>
      <w:r w:rsidRPr="00B15515">
        <w:rPr>
          <w:rFonts w:ascii="Book Antiqua" w:eastAsia="Book Antiqua" w:hAnsi="Book Antiqua"/>
          <w:color w:val="000000" w:themeColor="text1"/>
        </w:rPr>
        <w:t xml:space="preserve">) Las cantidades pagadas durante el año contributivo por concepto de anuncios, promoción, publicidad y mercadeo directamente relacionado a la operación de la industria o negocio del contribuyente, siempre y cuando las cantidades pagadas hayan sido incluidas en las declaraciones informativas requeridas bajo la Sección 1063.01 o bajo la Sección 1063.16, según corresponda; disponiéndose que aquellos contribuyentes bajo el método de acumulación o con un año económico deberán </w:t>
      </w:r>
      <w:r w:rsidRPr="00B15515">
        <w:rPr>
          <w:rFonts w:ascii="Book Antiqua" w:hAnsi="Book Antiqua"/>
          <w:i/>
          <w:iCs/>
          <w:color w:val="000000" w:themeColor="text1"/>
        </w:rPr>
        <w:t>preparar y mantener en sus récords</w:t>
      </w:r>
      <w:r w:rsidRPr="00B15515">
        <w:rPr>
          <w:rFonts w:ascii="Book Antiqua" w:hAnsi="Book Antiqua"/>
          <w:color w:val="000000" w:themeColor="text1"/>
        </w:rPr>
        <w:t xml:space="preserve"> [</w:t>
      </w:r>
      <w:r w:rsidRPr="00B15515">
        <w:rPr>
          <w:rFonts w:ascii="Book Antiqua" w:hAnsi="Book Antiqua"/>
          <w:b/>
          <w:bCs/>
          <w:color w:val="000000" w:themeColor="text1"/>
        </w:rPr>
        <w:t>presentar junto a su planilla]</w:t>
      </w:r>
      <w:r w:rsidRPr="00B15515">
        <w:rPr>
          <w:rFonts w:ascii="Book Antiqua" w:hAnsi="Book Antiqua"/>
          <w:color w:val="000000" w:themeColor="text1"/>
        </w:rPr>
        <w:t xml:space="preserve"> </w:t>
      </w:r>
      <w:r w:rsidRPr="00B15515">
        <w:rPr>
          <w:rFonts w:ascii="Book Antiqua" w:eastAsia="Book Antiqua" w:hAnsi="Book Antiqua"/>
          <w:color w:val="000000" w:themeColor="text1"/>
        </w:rPr>
        <w:t>una reconciliación entre el gasto reflejado en sus libros de contabilidad y las declaraciones informativas para poder reclamar el mismo;</w:t>
      </w:r>
    </w:p>
    <w:p w14:paraId="4560870B" w14:textId="77777777" w:rsidR="00822714" w:rsidRPr="00B15515" w:rsidRDefault="00822714" w:rsidP="00822714">
      <w:pPr>
        <w:pStyle w:val="ListParagraph"/>
        <w:spacing w:line="480" w:lineRule="auto"/>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w:t>
      </w:r>
      <w:proofErr w:type="spellStart"/>
      <w:r w:rsidRPr="00B15515">
        <w:rPr>
          <w:rFonts w:ascii="Book Antiqua" w:eastAsia="Book Antiqua" w:hAnsi="Book Antiqua"/>
          <w:color w:val="000000" w:themeColor="text1"/>
        </w:rPr>
        <w:t>ix</w:t>
      </w:r>
      <w:proofErr w:type="spellEnd"/>
      <w:r w:rsidRPr="00B15515">
        <w:rPr>
          <w:rFonts w:ascii="Book Antiqua" w:eastAsia="Book Antiqua" w:hAnsi="Book Antiqua"/>
          <w:color w:val="000000" w:themeColor="text1"/>
        </w:rPr>
        <w:t xml:space="preserve">) </w:t>
      </w:r>
      <w:r w:rsidRPr="00B15515">
        <w:rPr>
          <w:rFonts w:ascii="Book Antiqua" w:eastAsia="Book Antiqua" w:hAnsi="Book Antiqua"/>
          <w:color w:val="000000" w:themeColor="text1"/>
        </w:rPr>
        <w:tab/>
        <w:t>Las cantidades pagadas durante el año contributivo por concepto de seguros de propiedad, contingencia y responsabilidad pública (</w:t>
      </w:r>
      <w:proofErr w:type="spellStart"/>
      <w:r w:rsidRPr="00B15515">
        <w:rPr>
          <w:rFonts w:ascii="Book Antiqua" w:eastAsia="Book Antiqua" w:hAnsi="Book Antiqua"/>
          <w:color w:val="000000" w:themeColor="text1"/>
        </w:rPr>
        <w:t>malpractice</w:t>
      </w:r>
      <w:proofErr w:type="spellEnd"/>
      <w:r w:rsidRPr="00B15515">
        <w:rPr>
          <w:rFonts w:ascii="Book Antiqua" w:eastAsia="Book Antiqua" w:hAnsi="Book Antiqua"/>
          <w:color w:val="000000" w:themeColor="text1"/>
        </w:rPr>
        <w:t xml:space="preserve">) directamente relacionados a la operación de la industria o negocio del contribuyente, siempre y cuando las cantidades pagadas hayan sido incluidas en las declaraciones informativas requeridas bajo la Sección 1063.01 o bajo la Sección 1063.16, según corresponda; disponiéndose que aquellos contribuyentes bajo el método de acumulación o con un año económico deberán </w:t>
      </w:r>
      <w:r w:rsidRPr="00B15515">
        <w:rPr>
          <w:rFonts w:ascii="Book Antiqua" w:hAnsi="Book Antiqua"/>
          <w:i/>
          <w:iCs/>
          <w:color w:val="000000" w:themeColor="text1"/>
        </w:rPr>
        <w:t xml:space="preserve">preparar y mantener en </w:t>
      </w:r>
      <w:r w:rsidRPr="00B15515">
        <w:rPr>
          <w:rFonts w:ascii="Book Antiqua" w:hAnsi="Book Antiqua"/>
          <w:i/>
          <w:iCs/>
          <w:color w:val="000000" w:themeColor="text1"/>
        </w:rPr>
        <w:lastRenderedPageBreak/>
        <w:t>sus récords</w:t>
      </w:r>
      <w:r w:rsidRPr="00B15515">
        <w:rPr>
          <w:rFonts w:ascii="Book Antiqua" w:hAnsi="Book Antiqua"/>
          <w:color w:val="000000" w:themeColor="text1"/>
        </w:rPr>
        <w:t xml:space="preserve"> [</w:t>
      </w:r>
      <w:r w:rsidRPr="00B15515">
        <w:rPr>
          <w:rFonts w:ascii="Book Antiqua" w:hAnsi="Book Antiqua"/>
          <w:b/>
          <w:bCs/>
          <w:color w:val="000000" w:themeColor="text1"/>
        </w:rPr>
        <w:t>presentar junto a su planilla]</w:t>
      </w:r>
      <w:r w:rsidRPr="00B15515">
        <w:rPr>
          <w:rFonts w:ascii="Book Antiqua" w:hAnsi="Book Antiqua"/>
          <w:color w:val="000000" w:themeColor="text1"/>
        </w:rPr>
        <w:t xml:space="preserve"> </w:t>
      </w:r>
      <w:r w:rsidRPr="00B15515">
        <w:rPr>
          <w:rFonts w:ascii="Book Antiqua" w:eastAsia="Book Antiqua" w:hAnsi="Book Antiqua"/>
          <w:color w:val="000000" w:themeColor="text1"/>
        </w:rPr>
        <w:t xml:space="preserve"> una reconciliación entre el gasto reflejado en sus libros de contabilidad y las declaraciones informativas para poder reclamar el mismo; y</w:t>
      </w:r>
    </w:p>
    <w:p w14:paraId="232988AA" w14:textId="77777777" w:rsidR="00822714" w:rsidRPr="00B15515"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(x) …</w:t>
      </w:r>
    </w:p>
    <w:p w14:paraId="0B6CA92B" w14:textId="77777777" w:rsidR="00822714" w:rsidRPr="00B15515"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(xi) …</w:t>
      </w:r>
    </w:p>
    <w:p w14:paraId="62A28E11" w14:textId="77777777" w:rsidR="00822714" w:rsidRPr="00B15515"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w:t>
      </w:r>
      <w:proofErr w:type="spellStart"/>
      <w:r w:rsidRPr="00B15515">
        <w:rPr>
          <w:rFonts w:ascii="Book Antiqua" w:eastAsia="Book Antiqua" w:hAnsi="Book Antiqua"/>
          <w:color w:val="000000" w:themeColor="text1"/>
        </w:rPr>
        <w:t>xii</w:t>
      </w:r>
      <w:proofErr w:type="spellEnd"/>
      <w:r w:rsidRPr="00B15515">
        <w:rPr>
          <w:rFonts w:ascii="Book Antiqua" w:eastAsia="Book Antiqua" w:hAnsi="Book Antiqua"/>
          <w:color w:val="000000" w:themeColor="text1"/>
        </w:rPr>
        <w:t>) …</w:t>
      </w:r>
    </w:p>
    <w:p w14:paraId="11310BE7" w14:textId="77777777" w:rsidR="00822714" w:rsidRPr="00B15515" w:rsidRDefault="00822714" w:rsidP="00822714">
      <w:pPr>
        <w:pStyle w:val="ListParagraph"/>
        <w:spacing w:line="480" w:lineRule="auto"/>
        <w:contextualSpacing w:val="0"/>
        <w:jc w:val="both"/>
        <w:rPr>
          <w:rFonts w:ascii="Book Antiqua" w:eastAsia="Book Antiqua" w:hAnsi="Book Antiqua"/>
          <w:i/>
          <w:iCs/>
          <w:color w:val="000000" w:themeColor="text1"/>
        </w:rPr>
      </w:pPr>
      <w:r w:rsidRPr="00B15515">
        <w:rPr>
          <w:rFonts w:ascii="Book Antiqua" w:eastAsia="Book Antiqua" w:hAnsi="Book Antiqua"/>
          <w:i/>
          <w:iCs/>
          <w:color w:val="000000" w:themeColor="text1"/>
        </w:rPr>
        <w:t>(</w:t>
      </w:r>
      <w:proofErr w:type="spellStart"/>
      <w:r w:rsidRPr="00B15515">
        <w:rPr>
          <w:rFonts w:ascii="Book Antiqua" w:eastAsia="Book Antiqua" w:hAnsi="Book Antiqua"/>
          <w:i/>
          <w:iCs/>
          <w:color w:val="000000" w:themeColor="text1"/>
        </w:rPr>
        <w:t>xiii</w:t>
      </w:r>
      <w:proofErr w:type="spellEnd"/>
      <w:r w:rsidRPr="00B15515">
        <w:rPr>
          <w:rFonts w:ascii="Book Antiqua" w:eastAsia="Book Antiqua" w:hAnsi="Book Antiqua"/>
          <w:i/>
          <w:iCs/>
          <w:color w:val="000000" w:themeColor="text1"/>
        </w:rPr>
        <w:t>) Para años contributivos comenzados después del 31 de diciembre de 2024, la cantidad realmente distribuida o puesta a disposición de cualquier participante o beneficiario por un fideicomiso de empleados exentos según la Sección 1081.01(a) de este Código, según descrita en los incisos (B), (C) o (D) del párrafo (1) del apartado (b) de la Sección 1081.01 de este Código.</w:t>
      </w:r>
    </w:p>
    <w:p w14:paraId="21A25BB6" w14:textId="77777777" w:rsidR="00822714" w:rsidRPr="00B15515" w:rsidRDefault="00822714" w:rsidP="00822714">
      <w:pPr>
        <w:pStyle w:val="ListParagraph"/>
        <w:spacing w:line="480" w:lineRule="auto"/>
        <w:contextualSpacing w:val="0"/>
        <w:jc w:val="both"/>
        <w:rPr>
          <w:rFonts w:ascii="Book Antiqua" w:eastAsia="Book Antiqua" w:hAnsi="Book Antiqua"/>
          <w:i/>
          <w:iCs/>
          <w:color w:val="000000" w:themeColor="text1"/>
        </w:rPr>
      </w:pPr>
      <w:r w:rsidRPr="00B15515">
        <w:rPr>
          <w:rFonts w:ascii="Book Antiqua" w:eastAsia="Book Antiqua" w:hAnsi="Book Antiqua"/>
          <w:i/>
          <w:iCs/>
          <w:color w:val="000000" w:themeColor="text1"/>
        </w:rPr>
        <w:t>(</w:t>
      </w:r>
      <w:proofErr w:type="spellStart"/>
      <w:r w:rsidRPr="00B15515">
        <w:rPr>
          <w:rFonts w:ascii="Book Antiqua" w:eastAsia="Book Antiqua" w:hAnsi="Book Antiqua"/>
          <w:i/>
          <w:iCs/>
          <w:color w:val="000000" w:themeColor="text1"/>
        </w:rPr>
        <w:t>xiv</w:t>
      </w:r>
      <w:proofErr w:type="spellEnd"/>
      <w:r w:rsidRPr="00B15515">
        <w:rPr>
          <w:rFonts w:ascii="Book Antiqua" w:eastAsia="Book Antiqua" w:hAnsi="Book Antiqua"/>
          <w:i/>
          <w:iCs/>
          <w:color w:val="000000" w:themeColor="text1"/>
        </w:rPr>
        <w:t>) Para años contributivos comenzados después del 31 de diciembre de 2024, los cargos bancarios, según definidos en la Sección 4010.01(</w:t>
      </w:r>
      <w:proofErr w:type="spellStart"/>
      <w:r w:rsidRPr="00B15515">
        <w:rPr>
          <w:rFonts w:ascii="Book Antiqua" w:eastAsia="Book Antiqua" w:hAnsi="Book Antiqua"/>
          <w:i/>
          <w:iCs/>
          <w:color w:val="000000" w:themeColor="text1"/>
        </w:rPr>
        <w:t>nn</w:t>
      </w:r>
      <w:proofErr w:type="spellEnd"/>
      <w:r w:rsidRPr="00B15515">
        <w:rPr>
          <w:rFonts w:ascii="Book Antiqua" w:eastAsia="Book Antiqua" w:hAnsi="Book Antiqua"/>
          <w:i/>
          <w:iCs/>
          <w:color w:val="000000" w:themeColor="text1"/>
        </w:rPr>
        <w:t>)(2)(A)(i) y cargos de procesamiento por transacciones electrónicas, siempre que se informen en una declaración informativa conforme a las Secciones 1063.16 y Sección 1063.15, respectivamente</w:t>
      </w:r>
    </w:p>
    <w:p w14:paraId="6CA510D5" w14:textId="77777777" w:rsidR="00822714" w:rsidRPr="00B15515" w:rsidRDefault="00822714" w:rsidP="00822714">
      <w:pPr>
        <w:spacing w:line="480" w:lineRule="auto"/>
        <w:ind w:firstLine="720"/>
        <w:jc w:val="both"/>
        <w:rPr>
          <w:rFonts w:ascii="Book Antiqua" w:eastAsia="Book Antiqua" w:hAnsi="Book Antiqua"/>
          <w:color w:val="000000" w:themeColor="text1"/>
        </w:rPr>
      </w:pPr>
      <w:r w:rsidRPr="00B15515">
        <w:rPr>
          <w:rFonts w:ascii="Book Antiqua" w:eastAsia="Book Antiqua" w:hAnsi="Book Antiqua"/>
          <w:color w:val="000000" w:themeColor="text1"/>
        </w:rPr>
        <w:t>(C)…</w:t>
      </w:r>
    </w:p>
    <w:p w14:paraId="1383B2AB" w14:textId="77777777" w:rsidR="00822714" w:rsidRPr="00B15515" w:rsidRDefault="00822714" w:rsidP="00822714">
      <w:pPr>
        <w:spacing w:line="480" w:lineRule="auto"/>
        <w:ind w:firstLine="720"/>
        <w:jc w:val="both"/>
        <w:rPr>
          <w:rFonts w:ascii="Book Antiqua" w:eastAsia="Book Antiqua" w:hAnsi="Book Antiqua"/>
          <w:color w:val="000000" w:themeColor="text1"/>
        </w:rPr>
      </w:pPr>
      <w:r w:rsidRPr="00B15515">
        <w:rPr>
          <w:rFonts w:ascii="Book Antiqua" w:eastAsia="Book Antiqua" w:hAnsi="Book Antiqua"/>
          <w:color w:val="000000" w:themeColor="text1"/>
        </w:rPr>
        <w:t>(D) . . .</w:t>
      </w:r>
    </w:p>
    <w:p w14:paraId="3E6A0431" w14:textId="77777777" w:rsidR="00822714" w:rsidRPr="00B15515" w:rsidRDefault="00822714" w:rsidP="00822714">
      <w:pPr>
        <w:spacing w:line="480" w:lineRule="auto"/>
        <w:ind w:firstLine="720"/>
        <w:jc w:val="both"/>
        <w:rPr>
          <w:rFonts w:ascii="Book Antiqua" w:eastAsia="Book Antiqua" w:hAnsi="Book Antiqua"/>
          <w:color w:val="000000" w:themeColor="text1"/>
        </w:rPr>
      </w:pPr>
      <w:r w:rsidRPr="00B15515">
        <w:rPr>
          <w:rFonts w:ascii="Book Antiqua" w:eastAsia="Book Antiqua" w:hAnsi="Book Antiqua"/>
          <w:i/>
          <w:iCs/>
          <w:color w:val="000000" w:themeColor="text1"/>
        </w:rPr>
        <w:t xml:space="preserve">(E) </w:t>
      </w:r>
      <w:r w:rsidRPr="00B15515">
        <w:rPr>
          <w:rFonts w:ascii="Book Antiqua" w:eastAsia="Book Antiqua" w:hAnsi="Book Antiqua"/>
          <w:b/>
          <w:bCs/>
          <w:color w:val="000000" w:themeColor="text1"/>
        </w:rPr>
        <w:t xml:space="preserve">[F] </w:t>
      </w:r>
      <w:r w:rsidRPr="00B15515">
        <w:rPr>
          <w:rFonts w:ascii="Book Antiqua" w:eastAsia="Book Antiqua" w:hAnsi="Book Antiqua"/>
          <w:color w:val="000000" w:themeColor="text1"/>
        </w:rPr>
        <w:t>. . .</w:t>
      </w:r>
    </w:p>
    <w:p w14:paraId="042F9CE1" w14:textId="77777777" w:rsidR="00822714" w:rsidRPr="00B15515"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B15515">
        <w:rPr>
          <w:rFonts w:ascii="Book Antiqua" w:eastAsia="Book Antiqua" w:hAnsi="Book Antiqua"/>
          <w:color w:val="000000" w:themeColor="text1"/>
        </w:rPr>
        <w:t>(</w:t>
      </w:r>
      <w:bookmarkStart w:id="2" w:name="_Int_NO3X74Im"/>
      <w:proofErr w:type="gramStart"/>
      <w:r w:rsidRPr="00B15515">
        <w:rPr>
          <w:rFonts w:ascii="Book Antiqua" w:eastAsia="Book Antiqua" w:hAnsi="Book Antiqua"/>
          <w:color w:val="000000" w:themeColor="text1"/>
        </w:rPr>
        <w:t>3)…</w:t>
      </w:r>
      <w:bookmarkEnd w:id="2"/>
      <w:proofErr w:type="gramEnd"/>
    </w:p>
    <w:p w14:paraId="31A20562" w14:textId="77777777" w:rsidR="00822714" w:rsidRPr="00B15515" w:rsidRDefault="00822714" w:rsidP="00822714">
      <w:pPr>
        <w:spacing w:line="480" w:lineRule="auto"/>
        <w:ind w:firstLine="720"/>
        <w:jc w:val="both"/>
        <w:rPr>
          <w:rFonts w:ascii="Book Antiqua" w:eastAsia="Book Antiqua" w:hAnsi="Book Antiqua"/>
          <w:color w:val="000000" w:themeColor="text1"/>
        </w:rPr>
      </w:pPr>
      <w:r w:rsidRPr="00B15515">
        <w:rPr>
          <w:rFonts w:ascii="Book Antiqua" w:eastAsia="Book Antiqua" w:hAnsi="Book Antiqua"/>
          <w:color w:val="000000" w:themeColor="text1"/>
        </w:rPr>
        <w:t>…”</w:t>
      </w:r>
    </w:p>
    <w:p w14:paraId="2FB5496F" w14:textId="77777777" w:rsidR="00822714" w:rsidRPr="00B15515" w:rsidRDefault="00822714" w:rsidP="00822714">
      <w:pPr>
        <w:pStyle w:val="Heading1"/>
        <w:rPr>
          <w:color w:val="000000" w:themeColor="text1"/>
        </w:rPr>
      </w:pPr>
      <w:r w:rsidRPr="00B15515">
        <w:rPr>
          <w:color w:val="000000" w:themeColor="text1"/>
        </w:rPr>
        <w:t>Artículo 4.— Se enmienda el párrafo (7) y añade un párrafo (8) al apartado (a) de la Sección 1022.04 de la Ley 1-2011, para que se lea como sigue:</w:t>
      </w:r>
    </w:p>
    <w:p w14:paraId="58CEF014"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lastRenderedPageBreak/>
        <w:t>“Sección 1022.04. — Determinación del Ingreso Neto Alternativo Mínimo</w:t>
      </w:r>
    </w:p>
    <w:p w14:paraId="15DD176B"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(a)</w:t>
      </w:r>
      <w:r w:rsidRPr="00B15515">
        <w:rPr>
          <w:rFonts w:ascii="Book Antiqua" w:hAnsi="Book Antiqua"/>
          <w:color w:val="000000" w:themeColor="text1"/>
        </w:rPr>
        <w:tab/>
        <w:t>…</w:t>
      </w:r>
    </w:p>
    <w:p w14:paraId="5DD829C7"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(1)</w:t>
      </w:r>
      <w:r w:rsidRPr="00B15515">
        <w:rPr>
          <w:rFonts w:ascii="Book Antiqua" w:hAnsi="Book Antiqua"/>
          <w:color w:val="000000" w:themeColor="text1"/>
        </w:rPr>
        <w:tab/>
        <w:t>…</w:t>
      </w:r>
    </w:p>
    <w:p w14:paraId="48C7A331"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w:t>
      </w:r>
    </w:p>
    <w:p w14:paraId="2DCC57DB"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(7) Deducciones que provee la Sección 1031.04 del Código. —</w:t>
      </w:r>
    </w:p>
    <w:p w14:paraId="13534A39"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(A) …</w:t>
      </w:r>
    </w:p>
    <w:p w14:paraId="7D532221"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(i) …</w:t>
      </w:r>
    </w:p>
    <w:p w14:paraId="79513961"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roofErr w:type="spellStart"/>
      <w:r w:rsidRPr="00B15515">
        <w:rPr>
          <w:rFonts w:ascii="Book Antiqua" w:hAnsi="Book Antiqua"/>
          <w:color w:val="000000" w:themeColor="text1"/>
        </w:rPr>
        <w:t>ii</w:t>
      </w:r>
      <w:proofErr w:type="spellEnd"/>
      <w:r w:rsidRPr="00B15515">
        <w:rPr>
          <w:rFonts w:ascii="Book Antiqua" w:hAnsi="Book Antiqua"/>
          <w:color w:val="000000" w:themeColor="text1"/>
        </w:rPr>
        <w:t xml:space="preserve">) El monto de los pagos por servicios directamente relacionados a la operación de la industria o negocio de la corporación, incluyendo el pago de renta, telecomunicaciones, acceso a internet y cualquier otro pago, que hayan sido debidamente informados en las declaraciones informativas de ingresos sujetos y no sujetos a retención, según lo dispuesto en las Secciones 1062.03(d), 1062.08(j), 1063.01, 1063.02, 1063.03 y 1063.16, del año contributivo para el cual se radica la planilla de contribución sobre ingresos; disponiéndose que cantidades no informadas en las declaraciones no serán deducibles, </w:t>
      </w:r>
      <w:r w:rsidRPr="00B15515">
        <w:rPr>
          <w:rFonts w:ascii="Book Antiqua" w:hAnsi="Book Antiqua"/>
          <w:i/>
          <w:iCs/>
          <w:color w:val="000000" w:themeColor="text1"/>
        </w:rPr>
        <w:t>disponiéndose sin embargo</w:t>
      </w:r>
      <w:r w:rsidRPr="00B15515">
        <w:rPr>
          <w:rFonts w:ascii="Book Antiqua" w:hAnsi="Book Antiqua"/>
          <w:color w:val="000000" w:themeColor="text1"/>
        </w:rPr>
        <w:t xml:space="preserve"> </w:t>
      </w:r>
      <w:r w:rsidRPr="00B15515">
        <w:rPr>
          <w:rFonts w:ascii="Book Antiqua" w:hAnsi="Book Antiqua"/>
          <w:b/>
          <w:bCs/>
          <w:color w:val="000000" w:themeColor="text1"/>
        </w:rPr>
        <w:t>[y]</w:t>
      </w:r>
      <w:r w:rsidRPr="00B15515">
        <w:rPr>
          <w:rFonts w:ascii="Book Antiqua" w:hAnsi="Book Antiqua"/>
          <w:color w:val="000000" w:themeColor="text1"/>
        </w:rPr>
        <w:t xml:space="preserve"> que aquellos contribuyentes bajo el método de acumulación o con un año económico deberán </w:t>
      </w:r>
      <w:r w:rsidRPr="00B15515">
        <w:rPr>
          <w:rFonts w:ascii="Book Antiqua" w:hAnsi="Book Antiqua"/>
          <w:i/>
          <w:iCs/>
          <w:color w:val="000000" w:themeColor="text1"/>
        </w:rPr>
        <w:t>preparar y mantener en sus récords</w:t>
      </w:r>
      <w:r w:rsidRPr="00B15515">
        <w:rPr>
          <w:rFonts w:ascii="Book Antiqua" w:hAnsi="Book Antiqua"/>
          <w:color w:val="000000" w:themeColor="text1"/>
        </w:rPr>
        <w:t xml:space="preserve"> [</w:t>
      </w:r>
      <w:r w:rsidRPr="00B15515">
        <w:rPr>
          <w:rFonts w:ascii="Book Antiqua" w:hAnsi="Book Antiqua"/>
          <w:b/>
          <w:bCs/>
          <w:color w:val="000000" w:themeColor="text1"/>
        </w:rPr>
        <w:t>presentar junto a su planilla]</w:t>
      </w:r>
      <w:r w:rsidRPr="00B15515">
        <w:rPr>
          <w:rFonts w:ascii="Book Antiqua" w:hAnsi="Book Antiqua"/>
          <w:color w:val="000000" w:themeColor="text1"/>
        </w:rPr>
        <w:t xml:space="preserve"> una reconciliación entre el gasto reflejado en sus libros de contabilidad y las declaraciones informativas para poder reclamar el mismo;</w:t>
      </w:r>
    </w:p>
    <w:p w14:paraId="3C1345E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roofErr w:type="spellStart"/>
      <w:r w:rsidRPr="00B15515">
        <w:rPr>
          <w:rFonts w:ascii="Book Antiqua" w:hAnsi="Book Antiqua"/>
          <w:color w:val="000000" w:themeColor="text1"/>
        </w:rPr>
        <w:t>iii</w:t>
      </w:r>
      <w:proofErr w:type="spellEnd"/>
      <w:r w:rsidRPr="00B15515">
        <w:rPr>
          <w:rFonts w:ascii="Book Antiqua" w:hAnsi="Book Antiqua"/>
          <w:color w:val="000000" w:themeColor="text1"/>
        </w:rPr>
        <w:t xml:space="preserve">) El monto de los pagos de renta que hayan sido debidamente informados en las declaraciones informativas de ingresos no sujetos a retención, según lo dispuesto en la Sección 1063.01(a) del año contributivo para el cual se radica la </w:t>
      </w:r>
      <w:r w:rsidRPr="00B15515">
        <w:rPr>
          <w:rFonts w:ascii="Book Antiqua" w:hAnsi="Book Antiqua"/>
          <w:color w:val="000000" w:themeColor="text1"/>
        </w:rPr>
        <w:lastRenderedPageBreak/>
        <w:t xml:space="preserve">planilla de contribución sobre ingresos; disponiéndose que aquellos contribuyentes bajo el método de acumulación o con un año económico deberán </w:t>
      </w:r>
      <w:r w:rsidRPr="00B15515">
        <w:rPr>
          <w:rFonts w:ascii="Book Antiqua" w:hAnsi="Book Antiqua"/>
          <w:i/>
          <w:iCs/>
          <w:color w:val="000000" w:themeColor="text1"/>
        </w:rPr>
        <w:t>preparar y mantener en sus récords</w:t>
      </w:r>
      <w:r w:rsidRPr="00B15515">
        <w:rPr>
          <w:rFonts w:ascii="Book Antiqua" w:hAnsi="Book Antiqua"/>
          <w:color w:val="000000" w:themeColor="text1"/>
        </w:rPr>
        <w:t xml:space="preserve"> [</w:t>
      </w:r>
      <w:r w:rsidRPr="00B15515">
        <w:rPr>
          <w:rFonts w:ascii="Book Antiqua" w:hAnsi="Book Antiqua"/>
          <w:b/>
          <w:bCs/>
          <w:color w:val="000000" w:themeColor="text1"/>
        </w:rPr>
        <w:t>presentar junto a su planilla]</w:t>
      </w:r>
      <w:r w:rsidRPr="00B15515">
        <w:rPr>
          <w:rFonts w:ascii="Book Antiqua" w:hAnsi="Book Antiqua"/>
          <w:color w:val="000000" w:themeColor="text1"/>
        </w:rPr>
        <w:t xml:space="preserve"> una reconciliación entre el gasto reflejado en sus libros de contabilidad y las declaraciones informativas para poder reclamar el mismo;</w:t>
      </w:r>
    </w:p>
    <w:p w14:paraId="4A6EB9DD"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w:t>
      </w:r>
      <w:proofErr w:type="spellStart"/>
      <w:r w:rsidRPr="00B15515">
        <w:rPr>
          <w:rFonts w:ascii="Book Antiqua" w:hAnsi="Book Antiqua"/>
          <w:color w:val="000000" w:themeColor="text1"/>
        </w:rPr>
        <w:t>iv</w:t>
      </w:r>
      <w:proofErr w:type="spellEnd"/>
      <w:r w:rsidRPr="00B15515">
        <w:rPr>
          <w:rFonts w:ascii="Book Antiqua" w:hAnsi="Book Antiqua"/>
          <w:color w:val="000000" w:themeColor="text1"/>
        </w:rPr>
        <w:t>)…</w:t>
      </w:r>
    </w:p>
    <w:p w14:paraId="14DD3D89"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 xml:space="preserve">. . . </w:t>
      </w:r>
    </w:p>
    <w:p w14:paraId="068E79F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(vi) Las cantidades pagadas durante el año contributivo por concepto de anuncios, promoción, publicidad y mercadeo directamente relacionado a la operación de la industria o negocio de la corporación, siempre y cuando las cantidades pagadas hayan sido informadas en las declaraciones informativas requeridas bajo la Sección 1063.01 o bajo la Sección 1063.16, según corresponda; disponiéndose que aquellos contribuyentes bajo el método de acumulación o con un año económico deberán </w:t>
      </w:r>
      <w:r w:rsidRPr="00B15515">
        <w:rPr>
          <w:rFonts w:ascii="Book Antiqua" w:hAnsi="Book Antiqua"/>
          <w:i/>
          <w:iCs/>
          <w:color w:val="000000" w:themeColor="text1"/>
        </w:rPr>
        <w:t xml:space="preserve">preparar y mantener en sus récords </w:t>
      </w:r>
      <w:r w:rsidRPr="00B15515">
        <w:rPr>
          <w:rFonts w:ascii="Book Antiqua" w:hAnsi="Book Antiqua"/>
          <w:color w:val="000000" w:themeColor="text1"/>
        </w:rPr>
        <w:t>[</w:t>
      </w:r>
      <w:r w:rsidRPr="00B15515">
        <w:rPr>
          <w:rFonts w:ascii="Book Antiqua" w:hAnsi="Book Antiqua"/>
          <w:b/>
          <w:bCs/>
          <w:color w:val="000000" w:themeColor="text1"/>
        </w:rPr>
        <w:t>presentar junto a su planilla]</w:t>
      </w:r>
      <w:r w:rsidRPr="00B15515">
        <w:rPr>
          <w:rFonts w:ascii="Book Antiqua" w:hAnsi="Book Antiqua"/>
          <w:color w:val="000000" w:themeColor="text1"/>
        </w:rPr>
        <w:t xml:space="preserve"> una reconciliación entre el gasto reflejado en sus libros de contabilidad y las declaraciones informativas para poder reclamar el mismo;</w:t>
      </w:r>
    </w:p>
    <w:p w14:paraId="22EA310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roofErr w:type="spellStart"/>
      <w:r w:rsidRPr="00B15515">
        <w:rPr>
          <w:rFonts w:ascii="Book Antiqua" w:hAnsi="Book Antiqua"/>
          <w:color w:val="000000" w:themeColor="text1"/>
        </w:rPr>
        <w:t>vii</w:t>
      </w:r>
      <w:proofErr w:type="spellEnd"/>
      <w:r w:rsidRPr="00B15515">
        <w:rPr>
          <w:rFonts w:ascii="Book Antiqua" w:hAnsi="Book Antiqua"/>
          <w:color w:val="000000" w:themeColor="text1"/>
        </w:rPr>
        <w:t>) Las cantidades pagadas durante el año contributivo por concepto de seguros de propiedad, contingencia y responsabilidad pública (</w:t>
      </w:r>
      <w:proofErr w:type="spellStart"/>
      <w:r w:rsidRPr="00B15515">
        <w:rPr>
          <w:rFonts w:ascii="Book Antiqua" w:hAnsi="Book Antiqua"/>
          <w:color w:val="000000" w:themeColor="text1"/>
        </w:rPr>
        <w:t>malpractice</w:t>
      </w:r>
      <w:proofErr w:type="spellEnd"/>
      <w:r w:rsidRPr="00B15515">
        <w:rPr>
          <w:rFonts w:ascii="Book Antiqua" w:hAnsi="Book Antiqua"/>
          <w:color w:val="000000" w:themeColor="text1"/>
        </w:rPr>
        <w:t xml:space="preserve">) directamente relacionados a la operación de la industria o negocio de la corporación siempre y cuando las cantidades pagadas hayan sido informadas en las declaraciones informativas requeridas bajo la Sección 1063.01 o bajo la Sección 1063.16, según corresponda; disponiéndose que aquellos contribuyentes bajo el método de </w:t>
      </w:r>
      <w:r w:rsidRPr="00B15515">
        <w:rPr>
          <w:rFonts w:ascii="Book Antiqua" w:hAnsi="Book Antiqua"/>
          <w:color w:val="000000" w:themeColor="text1"/>
        </w:rPr>
        <w:lastRenderedPageBreak/>
        <w:t xml:space="preserve">acumulación o con un año económico deberán </w:t>
      </w:r>
      <w:r w:rsidRPr="00B15515">
        <w:rPr>
          <w:rFonts w:ascii="Book Antiqua" w:hAnsi="Book Antiqua"/>
          <w:i/>
          <w:iCs/>
          <w:color w:val="000000" w:themeColor="text1"/>
        </w:rPr>
        <w:t>preparar y mantener en sus récords</w:t>
      </w:r>
      <w:r w:rsidRPr="00B15515">
        <w:rPr>
          <w:rFonts w:ascii="Book Antiqua" w:hAnsi="Book Antiqua"/>
          <w:color w:val="000000" w:themeColor="text1"/>
        </w:rPr>
        <w:t xml:space="preserve"> [</w:t>
      </w:r>
      <w:r w:rsidRPr="00B15515">
        <w:rPr>
          <w:rFonts w:ascii="Book Antiqua" w:hAnsi="Book Antiqua"/>
          <w:b/>
          <w:bCs/>
          <w:color w:val="000000" w:themeColor="text1"/>
        </w:rPr>
        <w:t>presentar junto a su planilla]</w:t>
      </w:r>
      <w:r w:rsidRPr="00B15515">
        <w:rPr>
          <w:rFonts w:ascii="Book Antiqua" w:hAnsi="Book Antiqua"/>
          <w:color w:val="000000" w:themeColor="text1"/>
        </w:rPr>
        <w:t xml:space="preserve"> una reconciliación entre el gasto reflejado en sus libros de contabilidad y las declaraciones informativas para poder reclamar el mismo;</w:t>
      </w:r>
    </w:p>
    <w:p w14:paraId="0D68B9A2"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w:t>
      </w:r>
      <w:proofErr w:type="spellStart"/>
      <w:r w:rsidRPr="00B15515">
        <w:rPr>
          <w:rFonts w:ascii="Book Antiqua" w:hAnsi="Book Antiqua"/>
          <w:color w:val="000000" w:themeColor="text1"/>
        </w:rPr>
        <w:t>viii</w:t>
      </w:r>
      <w:proofErr w:type="spellEnd"/>
      <w:r w:rsidRPr="00B15515">
        <w:rPr>
          <w:rFonts w:ascii="Book Antiqua" w:hAnsi="Book Antiqua"/>
          <w:color w:val="000000" w:themeColor="text1"/>
        </w:rPr>
        <w:t>) …</w:t>
      </w:r>
    </w:p>
    <w:p w14:paraId="05A643A3"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i/>
          <w:iCs/>
          <w:color w:val="000000" w:themeColor="text1"/>
        </w:rPr>
        <w:t>(</w:t>
      </w:r>
      <w:proofErr w:type="spellStart"/>
      <w:r w:rsidRPr="00B15515">
        <w:rPr>
          <w:rFonts w:ascii="Book Antiqua" w:hAnsi="Book Antiqua"/>
          <w:i/>
          <w:iCs/>
          <w:color w:val="000000" w:themeColor="text1"/>
        </w:rPr>
        <w:t>ix</w:t>
      </w:r>
      <w:proofErr w:type="spellEnd"/>
      <w:r w:rsidRPr="00B15515">
        <w:rPr>
          <w:rFonts w:ascii="Book Antiqua" w:hAnsi="Book Antiqua"/>
          <w:i/>
          <w:iCs/>
          <w:color w:val="000000" w:themeColor="text1"/>
        </w:rPr>
        <w:t xml:space="preserve">) </w:t>
      </w:r>
      <w:r w:rsidRPr="00B15515">
        <w:rPr>
          <w:rFonts w:ascii="Book Antiqua" w:hAnsi="Book Antiqua"/>
          <w:color w:val="000000" w:themeColor="text1"/>
        </w:rPr>
        <w:t>…</w:t>
      </w:r>
    </w:p>
    <w:p w14:paraId="567D7824" w14:textId="77777777" w:rsidR="00822714" w:rsidRPr="00B15515" w:rsidRDefault="00822714" w:rsidP="00822714">
      <w:pPr>
        <w:pStyle w:val="ListParagraph"/>
        <w:spacing w:line="480" w:lineRule="auto"/>
        <w:contextualSpacing w:val="0"/>
        <w:jc w:val="both"/>
        <w:rPr>
          <w:rFonts w:ascii="Book Antiqua" w:hAnsi="Book Antiqua"/>
          <w:i/>
          <w:iCs/>
          <w:color w:val="000000" w:themeColor="text1"/>
        </w:rPr>
      </w:pPr>
      <w:r w:rsidRPr="00B15515">
        <w:rPr>
          <w:rFonts w:ascii="Book Antiqua" w:eastAsia="Book Antiqua" w:hAnsi="Book Antiqua" w:cs="Book Antiqua"/>
          <w:i/>
          <w:iCs/>
          <w:color w:val="000000" w:themeColor="text1"/>
        </w:rPr>
        <w:t>(</w:t>
      </w:r>
      <w:proofErr w:type="spellStart"/>
      <w:r w:rsidRPr="00B15515">
        <w:rPr>
          <w:rFonts w:ascii="Book Antiqua" w:eastAsia="Book Antiqua" w:hAnsi="Book Antiqua" w:cs="Book Antiqua"/>
          <w:i/>
          <w:iCs/>
          <w:color w:val="000000" w:themeColor="text1"/>
        </w:rPr>
        <w:t>xiv</w:t>
      </w:r>
      <w:proofErr w:type="spellEnd"/>
      <w:r w:rsidRPr="00B15515">
        <w:rPr>
          <w:rFonts w:ascii="Book Antiqua" w:eastAsia="Book Antiqua" w:hAnsi="Book Antiqua" w:cs="Book Antiqua"/>
          <w:i/>
          <w:iCs/>
          <w:color w:val="000000" w:themeColor="text1"/>
        </w:rPr>
        <w:t xml:space="preserve">) </w:t>
      </w:r>
      <w:r w:rsidRPr="00B15515">
        <w:rPr>
          <w:rFonts w:ascii="Book Antiqua" w:hAnsi="Book Antiqua"/>
          <w:i/>
          <w:iCs/>
          <w:color w:val="000000" w:themeColor="text1"/>
        </w:rPr>
        <w:t xml:space="preserve"> Para años contributivos comenzados después del 31 de diciembre de 2024, los cargos bancarios, según definidos en la Sección 4010.01(</w:t>
      </w:r>
      <w:proofErr w:type="spellStart"/>
      <w:r w:rsidRPr="00B15515">
        <w:rPr>
          <w:rFonts w:ascii="Book Antiqua" w:hAnsi="Book Antiqua"/>
          <w:i/>
          <w:iCs/>
          <w:color w:val="000000" w:themeColor="text1"/>
        </w:rPr>
        <w:t>nn</w:t>
      </w:r>
      <w:proofErr w:type="spellEnd"/>
      <w:r w:rsidRPr="00B15515">
        <w:rPr>
          <w:rFonts w:ascii="Book Antiqua" w:hAnsi="Book Antiqua"/>
          <w:i/>
          <w:iCs/>
          <w:color w:val="000000" w:themeColor="text1"/>
        </w:rPr>
        <w:t xml:space="preserve">)(2)(A)(i) y cargos de procesamiento por transacciones electrónicas, </w:t>
      </w:r>
      <w:r w:rsidRPr="00B15515">
        <w:rPr>
          <w:rFonts w:ascii="Book Antiqua" w:eastAsia="Book Antiqua" w:hAnsi="Book Antiqua" w:cs="Book Antiqua"/>
          <w:i/>
          <w:iCs/>
          <w:color w:val="000000" w:themeColor="text1"/>
        </w:rPr>
        <w:t>siempre que se informen en una declaración informativa conforme a las Secciones 1063.16 y 1063.15 respectivamente</w:t>
      </w:r>
      <w:r w:rsidRPr="00B15515">
        <w:rPr>
          <w:rFonts w:ascii="Book Antiqua" w:hAnsi="Book Antiqua"/>
          <w:i/>
          <w:iCs/>
          <w:color w:val="000000" w:themeColor="text1"/>
        </w:rPr>
        <w:t>.</w:t>
      </w:r>
    </w:p>
    <w:p w14:paraId="2676D233"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(B)…</w:t>
      </w:r>
    </w:p>
    <w:p w14:paraId="376AAF31"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(C)…</w:t>
      </w:r>
    </w:p>
    <w:p w14:paraId="12CFBB47"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t>(8)</w:t>
      </w:r>
      <w:r w:rsidRPr="00B15515">
        <w:rPr>
          <w:rFonts w:ascii="Book Antiqua" w:hAnsi="Book Antiqua"/>
          <w:i/>
          <w:iCs/>
          <w:color w:val="000000" w:themeColor="text1"/>
        </w:rPr>
        <w:tab/>
        <w:t>Dividendos.- En la determinación del ingreso neto alternativo sujeto a la contribución alternativa mínima, el contribuyente excluirá la cantidad total recibida como dividendos provenientes de una corporación doméstica, una corporación foránea descrita en la Sección 1023.06(a)(2) o procedentes de ingreso de operaciones cubiertas bajo un decreto de exención emitido bajo la Ley 60-2019, según enmendada, conocida como el “Código de Incentivos de Puerto Rico” o cualquier ley de naturaleza similar anterior o subsiguiente, hasta el monto en que dichos dividendos no hayan sido incluidos en el ingreso neto para fines de la contribución regular.</w:t>
      </w:r>
    </w:p>
    <w:p w14:paraId="4650496A"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(b)…”</w:t>
      </w:r>
    </w:p>
    <w:p w14:paraId="111D514F" w14:textId="77777777" w:rsidR="00822714" w:rsidRPr="00B15515" w:rsidRDefault="00822714" w:rsidP="00822714">
      <w:pPr>
        <w:pStyle w:val="Heading1"/>
        <w:rPr>
          <w:rStyle w:val="eop"/>
          <w:rFonts w:cs="Segoe UI"/>
          <w:color w:val="000000" w:themeColor="text1"/>
        </w:rPr>
      </w:pPr>
      <w:r w:rsidRPr="00B15515">
        <w:rPr>
          <w:color w:val="000000" w:themeColor="text1"/>
        </w:rPr>
        <w:lastRenderedPageBreak/>
        <w:t xml:space="preserve">Artículo 5.— </w:t>
      </w:r>
      <w:r w:rsidRPr="00B15515">
        <w:rPr>
          <w:rStyle w:val="normaltextrun"/>
          <w:rFonts w:cs="Segoe UI"/>
          <w:color w:val="000000" w:themeColor="text1"/>
        </w:rPr>
        <w:t>Se enmienda el párrafo (3) del apartado (b) de la Sección 1022.07 de la Ley 1-2011, según enmendada, para que se lea como sigue:</w:t>
      </w:r>
      <w:r w:rsidRPr="00B15515">
        <w:rPr>
          <w:rStyle w:val="eop"/>
          <w:rFonts w:cs="Segoe UI"/>
          <w:color w:val="000000" w:themeColor="text1"/>
        </w:rPr>
        <w:t> </w:t>
      </w:r>
    </w:p>
    <w:p w14:paraId="2CC50975" w14:textId="77777777" w:rsidR="00822714" w:rsidRPr="00B15515" w:rsidRDefault="00822714" w:rsidP="00822714">
      <w:pPr>
        <w:pStyle w:val="paragraph"/>
        <w:spacing w:before="0" w:beforeAutospacing="0" w:after="0" w:afterAutospacing="0"/>
        <w:jc w:val="both"/>
        <w:rPr>
          <w:rStyle w:val="eop"/>
          <w:rFonts w:ascii="Book Antiqua" w:hAnsi="Book Antiqua" w:cs="Segoe UI"/>
          <w:color w:val="000000" w:themeColor="text1"/>
        </w:rPr>
      </w:pPr>
      <w:r w:rsidRPr="00B15515">
        <w:rPr>
          <w:rStyle w:val="eop"/>
          <w:rFonts w:ascii="Book Antiqua" w:hAnsi="Book Antiqua" w:cs="Segoe UI"/>
          <w:color w:val="000000" w:themeColor="text1"/>
        </w:rPr>
        <w:t>“Sección 1022.07. — Contribución Opcional a corporaciones que presten servicios.</w:t>
      </w:r>
    </w:p>
    <w:p w14:paraId="1E08AB77" w14:textId="77777777" w:rsidR="00822714" w:rsidRPr="00B15515" w:rsidRDefault="00822714" w:rsidP="00822714">
      <w:pPr>
        <w:pStyle w:val="paragraph"/>
        <w:numPr>
          <w:ilvl w:val="0"/>
          <w:numId w:val="46"/>
        </w:numPr>
        <w:spacing w:before="0" w:beforeAutospacing="0" w:after="0" w:afterAutospacing="0" w:line="480" w:lineRule="auto"/>
        <w:ind w:firstLine="0"/>
        <w:jc w:val="both"/>
        <w:rPr>
          <w:rStyle w:val="eop"/>
          <w:rFonts w:ascii="Book Antiqua" w:hAnsi="Book Antiqua" w:cs="Segoe UI"/>
          <w:color w:val="000000" w:themeColor="text1"/>
        </w:rPr>
      </w:pPr>
      <w:r w:rsidRPr="00B15515">
        <w:rPr>
          <w:rStyle w:val="eop"/>
          <w:rFonts w:ascii="Book Antiqua" w:hAnsi="Book Antiqua" w:cs="Segoe UI"/>
          <w:color w:val="000000" w:themeColor="text1"/>
        </w:rPr>
        <w:t>…</w:t>
      </w:r>
    </w:p>
    <w:p w14:paraId="4DA6C587" w14:textId="77777777" w:rsidR="00822714" w:rsidRPr="00B15515" w:rsidRDefault="00822714" w:rsidP="00822714">
      <w:pPr>
        <w:pStyle w:val="paragraph"/>
        <w:numPr>
          <w:ilvl w:val="1"/>
          <w:numId w:val="46"/>
        </w:numPr>
        <w:spacing w:before="0" w:beforeAutospacing="0" w:after="0" w:afterAutospacing="0" w:line="480" w:lineRule="auto"/>
        <w:ind w:left="720" w:firstLine="0"/>
        <w:jc w:val="both"/>
        <w:rPr>
          <w:rStyle w:val="normaltextrun"/>
          <w:rFonts w:ascii="Book Antiqua" w:hAnsi="Book Antiqua" w:cs="Segoe UI"/>
          <w:color w:val="000000" w:themeColor="text1"/>
        </w:rPr>
      </w:pPr>
      <w:r w:rsidRPr="00B15515">
        <w:rPr>
          <w:rStyle w:val="eop"/>
          <w:rFonts w:ascii="Book Antiqua" w:hAnsi="Book Antiqua" w:cs="Segoe UI"/>
          <w:color w:val="000000" w:themeColor="text1"/>
        </w:rPr>
        <w:t xml:space="preserve">… </w:t>
      </w:r>
      <w:r w:rsidRPr="00B15515">
        <w:rPr>
          <w:rStyle w:val="normaltextrun"/>
          <w:rFonts w:ascii="Book Antiqua" w:hAnsi="Book Antiqua" w:cs="Segoe UI"/>
          <w:color w:val="000000" w:themeColor="text1"/>
        </w:rPr>
        <w:t xml:space="preserve">La corporación podrá, a opción de </w:t>
      </w:r>
      <w:r w:rsidRPr="00B15515">
        <w:rPr>
          <w:rStyle w:val="normaltextrun"/>
          <w:rFonts w:ascii="Book Antiqua" w:hAnsi="Book Antiqua" w:cs="Segoe UI"/>
          <w:b/>
          <w:bCs/>
          <w:color w:val="000000" w:themeColor="text1"/>
        </w:rPr>
        <w:t>[ésta]</w:t>
      </w:r>
      <w:r w:rsidRPr="00B15515">
        <w:rPr>
          <w:rStyle w:val="normaltextrun"/>
          <w:rFonts w:ascii="Book Antiqua" w:hAnsi="Book Antiqua" w:cs="Segoe UI"/>
          <w:color w:val="000000" w:themeColor="text1"/>
        </w:rPr>
        <w:t xml:space="preserve"> </w:t>
      </w:r>
      <w:r w:rsidRPr="00B15515">
        <w:rPr>
          <w:rStyle w:val="normaltextrun"/>
          <w:rFonts w:ascii="Book Antiqua" w:hAnsi="Book Antiqua" w:cs="Segoe UI"/>
          <w:i/>
          <w:iCs/>
          <w:color w:val="000000" w:themeColor="text1"/>
        </w:rPr>
        <w:t>esta</w:t>
      </w:r>
      <w:r w:rsidRPr="00B15515">
        <w:rPr>
          <w:rStyle w:val="normaltextrun"/>
          <w:rFonts w:ascii="Book Antiqua" w:hAnsi="Book Antiqua" w:cs="Segoe UI"/>
          <w:color w:val="000000" w:themeColor="text1"/>
        </w:rPr>
        <w:t xml:space="preserve">, acogerse a la contribución dispuesta en el apartado (a) de esta Sección, en lugar de las contribuciones dispuestas en las Secciones 1022.01, 1022.02 y 1022.03, siempre y cuando se </w:t>
      </w:r>
      <w:r w:rsidRPr="00B15515">
        <w:rPr>
          <w:rStyle w:val="normaltextrun"/>
          <w:rFonts w:ascii="Book Antiqua" w:hAnsi="Book Antiqua" w:cs="Segoe UI"/>
          <w:b/>
          <w:bCs/>
          <w:color w:val="000000" w:themeColor="text1"/>
        </w:rPr>
        <w:t>[cumplan]</w:t>
      </w:r>
      <w:r w:rsidRPr="00B15515">
        <w:rPr>
          <w:rStyle w:val="normaltextrun"/>
          <w:rFonts w:ascii="Book Antiqua" w:hAnsi="Book Antiqua" w:cs="Segoe UI"/>
          <w:color w:val="000000" w:themeColor="text1"/>
        </w:rPr>
        <w:t xml:space="preserve"> </w:t>
      </w:r>
      <w:r w:rsidRPr="00B15515">
        <w:rPr>
          <w:rStyle w:val="normaltextrun"/>
          <w:rFonts w:ascii="Book Antiqua" w:hAnsi="Book Antiqua" w:cs="Segoe UI"/>
          <w:i/>
          <w:iCs/>
          <w:color w:val="000000" w:themeColor="text1"/>
        </w:rPr>
        <w:t>cumpla</w:t>
      </w:r>
      <w:r w:rsidRPr="00B15515">
        <w:rPr>
          <w:rStyle w:val="normaltextrun"/>
          <w:rFonts w:ascii="Book Antiqua" w:hAnsi="Book Antiqua" w:cs="Segoe UI"/>
          <w:color w:val="000000" w:themeColor="text1"/>
        </w:rPr>
        <w:t xml:space="preserve"> con los siguientes requisitos:</w:t>
      </w:r>
    </w:p>
    <w:p w14:paraId="11F4A8F5" w14:textId="77777777" w:rsidR="00822714" w:rsidRPr="00B15515" w:rsidRDefault="00822714" w:rsidP="00822714">
      <w:pPr>
        <w:pStyle w:val="paragraph"/>
        <w:numPr>
          <w:ilvl w:val="0"/>
          <w:numId w:val="47"/>
        </w:numPr>
        <w:spacing w:before="0" w:beforeAutospacing="0" w:after="0" w:afterAutospacing="0" w:line="480" w:lineRule="auto"/>
        <w:ind w:left="720" w:firstLine="0"/>
        <w:jc w:val="both"/>
        <w:rPr>
          <w:rStyle w:val="normaltextrun"/>
          <w:rFonts w:ascii="Book Antiqua" w:hAnsi="Book Antiqua" w:cs="Segoe UI"/>
          <w:color w:val="000000" w:themeColor="text1"/>
        </w:rPr>
      </w:pPr>
      <w:r w:rsidRPr="00B15515">
        <w:rPr>
          <w:rStyle w:val="normaltextrun"/>
          <w:rFonts w:ascii="Book Antiqua" w:hAnsi="Book Antiqua" w:cs="Segoe UI"/>
          <w:color w:val="000000" w:themeColor="text1"/>
        </w:rPr>
        <w:t>…</w:t>
      </w:r>
    </w:p>
    <w:p w14:paraId="72027B78" w14:textId="77777777" w:rsidR="00822714" w:rsidRPr="00B15515" w:rsidRDefault="00822714" w:rsidP="00822714">
      <w:pPr>
        <w:pStyle w:val="paragraph"/>
        <w:numPr>
          <w:ilvl w:val="0"/>
          <w:numId w:val="47"/>
        </w:numPr>
        <w:spacing w:before="0" w:beforeAutospacing="0" w:after="0" w:afterAutospacing="0" w:line="480" w:lineRule="auto"/>
        <w:ind w:left="720" w:firstLine="0"/>
        <w:jc w:val="both"/>
        <w:rPr>
          <w:rStyle w:val="normaltextrun"/>
          <w:rFonts w:ascii="Book Antiqua" w:hAnsi="Book Antiqua" w:cs="Segoe UI"/>
          <w:color w:val="000000" w:themeColor="text1"/>
        </w:rPr>
      </w:pPr>
      <w:r w:rsidRPr="00B15515">
        <w:rPr>
          <w:rStyle w:val="normaltextrun"/>
          <w:rFonts w:ascii="Book Antiqua" w:hAnsi="Book Antiqua" w:cs="Segoe UI"/>
          <w:color w:val="000000" w:themeColor="text1"/>
        </w:rPr>
        <w:t>…</w:t>
      </w:r>
    </w:p>
    <w:p w14:paraId="64479AD6" w14:textId="77777777" w:rsidR="00822714" w:rsidRPr="00B15515" w:rsidRDefault="00822714" w:rsidP="00822714">
      <w:pPr>
        <w:pStyle w:val="paragraph"/>
        <w:numPr>
          <w:ilvl w:val="0"/>
          <w:numId w:val="47"/>
        </w:numPr>
        <w:spacing w:before="0" w:beforeAutospacing="0" w:after="0" w:afterAutospacing="0" w:line="480" w:lineRule="auto"/>
        <w:ind w:left="720" w:firstLine="0"/>
        <w:jc w:val="both"/>
        <w:rPr>
          <w:rStyle w:val="normaltextrun"/>
          <w:rFonts w:ascii="Book Antiqua" w:hAnsi="Book Antiqua" w:cs="Segoe UI"/>
          <w:color w:val="000000" w:themeColor="text1"/>
        </w:rPr>
      </w:pPr>
      <w:r w:rsidRPr="00B15515">
        <w:rPr>
          <w:rStyle w:val="normaltextrun"/>
          <w:rFonts w:ascii="Book Antiqua" w:hAnsi="Book Antiqua" w:cs="Segoe UI"/>
          <w:color w:val="000000" w:themeColor="text1"/>
        </w:rPr>
        <w:t xml:space="preserve">Para el año contributivo comenzado después del 31 de diciembre de 2018 y antes del 1 de enero de 2020 </w:t>
      </w:r>
      <w:r w:rsidRPr="00B15515">
        <w:rPr>
          <w:rStyle w:val="normaltextrun"/>
          <w:rFonts w:ascii="Book Antiqua" w:hAnsi="Book Antiqua" w:cs="Segoe UI"/>
          <w:i/>
          <w:iCs/>
          <w:color w:val="000000" w:themeColor="text1"/>
        </w:rPr>
        <w:t>y años contributivos comenzados luego del 31 de diciembre de 2021</w:t>
      </w:r>
      <w:r w:rsidRPr="00B15515">
        <w:rPr>
          <w:rStyle w:val="normaltextrun"/>
          <w:rFonts w:ascii="Book Antiqua" w:hAnsi="Book Antiqua" w:cs="Segoe UI"/>
          <w:color w:val="000000" w:themeColor="text1"/>
        </w:rPr>
        <w:t>, la corporación podrá optar por la contribución opcional dispuesta en esta Sección aunque tenga un balance de contribución pagar con su planilla de contribución sobre ingresos, siempre y cuando dicho balance sea pagado en su totalidad no más tarde de la fecha límite para radicar la planilla de contribución sobre ingresos, sin considerar solicitud de prórroga.</w:t>
      </w:r>
    </w:p>
    <w:p w14:paraId="2A0BE17B" w14:textId="77777777" w:rsidR="00822714" w:rsidRPr="00B15515" w:rsidRDefault="00822714" w:rsidP="00822714">
      <w:pPr>
        <w:pStyle w:val="paragraph"/>
        <w:numPr>
          <w:ilvl w:val="0"/>
          <w:numId w:val="46"/>
        </w:numPr>
        <w:spacing w:before="0" w:beforeAutospacing="0" w:after="0" w:afterAutospacing="0" w:line="480" w:lineRule="auto"/>
        <w:ind w:firstLine="0"/>
        <w:jc w:val="both"/>
        <w:rPr>
          <w:rStyle w:val="normaltextrun"/>
          <w:rFonts w:ascii="Book Antiqua" w:hAnsi="Book Antiqua" w:cs="Segoe UI"/>
          <w:color w:val="000000" w:themeColor="text1"/>
        </w:rPr>
      </w:pPr>
      <w:r w:rsidRPr="00B15515">
        <w:rPr>
          <w:rStyle w:val="normaltextrun"/>
          <w:rFonts w:ascii="Book Antiqua" w:hAnsi="Book Antiqua" w:cs="Segoe UI"/>
          <w:color w:val="000000" w:themeColor="text1"/>
        </w:rPr>
        <w:t>…</w:t>
      </w:r>
    </w:p>
    <w:p w14:paraId="24D5E814" w14:textId="77777777" w:rsidR="00822714" w:rsidRPr="00B15515" w:rsidRDefault="00822714" w:rsidP="00822714">
      <w:pPr>
        <w:pStyle w:val="paragraph"/>
        <w:spacing w:before="0" w:beforeAutospacing="0" w:after="0" w:afterAutospacing="0"/>
        <w:jc w:val="both"/>
        <w:rPr>
          <w:rStyle w:val="eop"/>
          <w:rFonts w:ascii="Book Antiqua" w:hAnsi="Book Antiqua" w:cs="Segoe UI"/>
          <w:color w:val="000000" w:themeColor="text1"/>
        </w:rPr>
      </w:pPr>
      <w:r w:rsidRPr="00B15515">
        <w:rPr>
          <w:rStyle w:val="normaltextrun"/>
          <w:rFonts w:ascii="Book Antiqua" w:hAnsi="Book Antiqua" w:cs="Segoe UI"/>
          <w:color w:val="000000" w:themeColor="text1"/>
        </w:rPr>
        <w:t>…”</w:t>
      </w:r>
    </w:p>
    <w:p w14:paraId="3D350A2D" w14:textId="77777777" w:rsidR="00822714" w:rsidRPr="00B15515" w:rsidRDefault="00822714" w:rsidP="00822714">
      <w:pPr>
        <w:pStyle w:val="Heading1"/>
        <w:rPr>
          <w:color w:val="000000" w:themeColor="text1"/>
        </w:rPr>
      </w:pPr>
      <w:r w:rsidRPr="00B15515">
        <w:rPr>
          <w:color w:val="000000" w:themeColor="text1"/>
        </w:rPr>
        <w:t>Artículo 6.— Se enmienda el párrafo (1) del apartado (i) de la Sección 1034.04 de la Ley 1-2011, según enmendada, para que se lea como sigue:</w:t>
      </w:r>
    </w:p>
    <w:p w14:paraId="36D4420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1034.04. — Reconocimiento de Ganancia o Pérdida.</w:t>
      </w:r>
    </w:p>
    <w:p w14:paraId="07F6E789" w14:textId="77777777" w:rsidR="00822714" w:rsidRPr="00B15515" w:rsidRDefault="00822714" w:rsidP="00822714">
      <w:pPr>
        <w:pStyle w:val="ListParagraph"/>
        <w:numPr>
          <w:ilvl w:val="0"/>
          <w:numId w:val="39"/>
        </w:numPr>
        <w:spacing w:line="480" w:lineRule="auto"/>
        <w:ind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261D1B15"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lastRenderedPageBreak/>
        <w:t>…</w:t>
      </w:r>
    </w:p>
    <w:p w14:paraId="45A4C3D4" w14:textId="77777777" w:rsidR="00822714" w:rsidRPr="00B15515" w:rsidRDefault="00822714" w:rsidP="00822714">
      <w:pPr>
        <w:pStyle w:val="ListParagraph"/>
        <w:numPr>
          <w:ilvl w:val="0"/>
          <w:numId w:val="40"/>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 xml:space="preserve">Corporaciones </w:t>
      </w:r>
      <w:proofErr w:type="gramStart"/>
      <w:r w:rsidRPr="00B15515">
        <w:rPr>
          <w:rFonts w:ascii="Book Antiqua" w:hAnsi="Book Antiqua"/>
          <w:color w:val="000000" w:themeColor="text1"/>
        </w:rPr>
        <w:t>Extranjeras.-</w:t>
      </w:r>
      <w:proofErr w:type="gramEnd"/>
      <w:r w:rsidRPr="00B15515">
        <w:rPr>
          <w:rFonts w:ascii="Book Antiqua" w:hAnsi="Book Antiqua"/>
          <w:color w:val="000000" w:themeColor="text1"/>
        </w:rPr>
        <w:t xml:space="preserve"> </w:t>
      </w:r>
    </w:p>
    <w:p w14:paraId="5CF975A1" w14:textId="77777777" w:rsidR="00822714" w:rsidRPr="00B15515" w:rsidRDefault="00822714" w:rsidP="00822714">
      <w:pPr>
        <w:pStyle w:val="ListParagraph"/>
        <w:numPr>
          <w:ilvl w:val="1"/>
          <w:numId w:val="25"/>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 xml:space="preserve">Regla general. — Si, en relación con cualquiera de las permutas descritas en el apartado (b)(3), (4), (5) o (6), o en aquella parte del apartado (c) que se refiere al apartado (b)(3) o (5), o en el apartado (d), una persona de Puerto Rico transfiere propiedad (que no sea acciones o valores de una corporación extranjera que es parte en la permuta o parte en la reorganización) a una corporación extranjera, al determinarse el límite hasta el cual se reconocerá ganancia en dicha permuta, una corporación extranjera no será considerada como corporación a menos que mediante documentación al efecto demuestre a satisfacción del Secretario y de acuerdo con los reglamentos promulgados por </w:t>
      </w:r>
      <w:r w:rsidRPr="00B15515">
        <w:rPr>
          <w:rFonts w:ascii="Book Antiqua" w:hAnsi="Book Antiqua"/>
          <w:b/>
          <w:bCs/>
          <w:color w:val="000000" w:themeColor="text1"/>
        </w:rPr>
        <w:t>[éste]</w:t>
      </w:r>
      <w:r w:rsidRPr="00B15515">
        <w:rPr>
          <w:rFonts w:ascii="Book Antiqua" w:hAnsi="Book Antiqua"/>
          <w:color w:val="000000" w:themeColor="text1"/>
        </w:rPr>
        <w:t xml:space="preserve"> </w:t>
      </w:r>
      <w:r w:rsidRPr="00B15515">
        <w:rPr>
          <w:rFonts w:ascii="Book Antiqua" w:hAnsi="Book Antiqua"/>
          <w:i/>
          <w:iCs/>
          <w:color w:val="000000" w:themeColor="text1"/>
        </w:rPr>
        <w:t>este</w:t>
      </w:r>
      <w:r w:rsidRPr="00B15515">
        <w:rPr>
          <w:rFonts w:ascii="Book Antiqua" w:hAnsi="Book Antiqua"/>
          <w:color w:val="000000" w:themeColor="text1"/>
        </w:rPr>
        <w:t xml:space="preserve">, dentro de un período de ciento ochenta y tres (183) días después de efectuada dicha permuta, que la misma no tiene como propósito el evitar las contribuciones sobre ingresos del Gobierno de Puerto Rico. </w:t>
      </w:r>
      <w:r w:rsidRPr="00B15515">
        <w:rPr>
          <w:rFonts w:ascii="Book Antiqua" w:hAnsi="Book Antiqua"/>
          <w:i/>
          <w:iCs/>
          <w:color w:val="000000" w:themeColor="text1"/>
        </w:rPr>
        <w:t>No obstante, en el caso de cambios de elección de tributación, conforme a la Sección 1078.02, el periodo de ciento ochenta y tres (183) días comenzará al presentarse dicha elección.</w:t>
      </w:r>
      <w:r w:rsidRPr="00B15515">
        <w:rPr>
          <w:rFonts w:ascii="Book Antiqua" w:hAnsi="Book Antiqua"/>
          <w:color w:val="000000" w:themeColor="text1"/>
        </w:rPr>
        <w:t xml:space="preserve"> </w:t>
      </w:r>
    </w:p>
    <w:p w14:paraId="6922849E" w14:textId="77777777" w:rsidR="00822714" w:rsidRPr="00B15515" w:rsidRDefault="00822714" w:rsidP="00822714">
      <w:pPr>
        <w:pStyle w:val="ListParagraph"/>
        <w:numPr>
          <w:ilvl w:val="1"/>
          <w:numId w:val="25"/>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6C468726"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68BBB04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(j) …</w:t>
      </w:r>
    </w:p>
    <w:p w14:paraId="03661D76"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7F84FBE6" w14:textId="77777777" w:rsidR="00822714" w:rsidRPr="00B15515" w:rsidRDefault="00822714" w:rsidP="00822714">
      <w:pPr>
        <w:pStyle w:val="Heading1"/>
        <w:rPr>
          <w:color w:val="000000" w:themeColor="text1"/>
        </w:rPr>
      </w:pPr>
      <w:r w:rsidRPr="00B15515">
        <w:rPr>
          <w:color w:val="000000" w:themeColor="text1"/>
        </w:rPr>
        <w:t>Artículo 7.— Se enmiendan los apartados (c) y (d) de la Sección 1035.08 de la Ley 1-2011, según enmendada, para que se lea como sigue:</w:t>
      </w:r>
    </w:p>
    <w:p w14:paraId="2BC0A41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lastRenderedPageBreak/>
        <w:t>“Sección 1035.08. — Venta de interés en una sociedad.</w:t>
      </w:r>
    </w:p>
    <w:p w14:paraId="1862B6E2" w14:textId="77777777" w:rsidR="00822714" w:rsidRPr="00B15515" w:rsidRDefault="00822714" w:rsidP="00822714">
      <w:pPr>
        <w:pStyle w:val="ListParagraph"/>
        <w:numPr>
          <w:ilvl w:val="0"/>
          <w:numId w:val="42"/>
        </w:numPr>
        <w:spacing w:line="480" w:lineRule="auto"/>
        <w:ind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1E0EB101" w14:textId="77777777" w:rsidR="00822714" w:rsidRPr="00B15515" w:rsidRDefault="00822714" w:rsidP="00822714">
      <w:pPr>
        <w:numPr>
          <w:ilvl w:val="0"/>
          <w:numId w:val="42"/>
        </w:numPr>
        <w:spacing w:line="480" w:lineRule="auto"/>
        <w:ind w:firstLine="0"/>
        <w:jc w:val="both"/>
        <w:rPr>
          <w:rFonts w:ascii="Book Antiqua" w:hAnsi="Book Antiqua"/>
          <w:color w:val="000000" w:themeColor="text1"/>
        </w:rPr>
      </w:pPr>
      <w:r w:rsidRPr="00B15515">
        <w:rPr>
          <w:rFonts w:ascii="Book Antiqua" w:hAnsi="Book Antiqua"/>
          <w:color w:val="000000" w:themeColor="text1"/>
        </w:rPr>
        <w:t>…</w:t>
      </w:r>
    </w:p>
    <w:p w14:paraId="34A92FFB" w14:textId="77777777" w:rsidR="00822714" w:rsidRPr="00B15515" w:rsidRDefault="00822714" w:rsidP="00822714">
      <w:pPr>
        <w:numPr>
          <w:ilvl w:val="0"/>
          <w:numId w:val="42"/>
        </w:numPr>
        <w:spacing w:line="480" w:lineRule="auto"/>
        <w:ind w:firstLine="0"/>
        <w:jc w:val="both"/>
        <w:rPr>
          <w:rFonts w:ascii="Book Antiqua" w:hAnsi="Book Antiqua"/>
          <w:color w:val="000000" w:themeColor="text1"/>
        </w:rPr>
      </w:pPr>
      <w:r w:rsidRPr="00B15515">
        <w:rPr>
          <w:rFonts w:ascii="Book Antiqua" w:hAnsi="Book Antiqua"/>
          <w:color w:val="000000" w:themeColor="text1"/>
        </w:rPr>
        <w:t xml:space="preserve">Para propósitos de las Secciones 1091.02(b) y </w:t>
      </w:r>
      <w:r w:rsidRPr="00B15515">
        <w:rPr>
          <w:rFonts w:ascii="Book Antiqua" w:hAnsi="Book Antiqua"/>
          <w:b/>
          <w:bCs/>
          <w:color w:val="000000" w:themeColor="text1"/>
        </w:rPr>
        <w:t>[1092.02(c)(2)]</w:t>
      </w:r>
      <w:r w:rsidRPr="00B15515">
        <w:rPr>
          <w:rFonts w:ascii="Book Antiqua" w:hAnsi="Book Antiqua"/>
          <w:color w:val="000000" w:themeColor="text1"/>
        </w:rPr>
        <w:t xml:space="preserve"> </w:t>
      </w:r>
      <w:r w:rsidRPr="00B15515">
        <w:rPr>
          <w:rFonts w:ascii="Book Antiqua" w:hAnsi="Book Antiqua"/>
          <w:i/>
          <w:iCs/>
          <w:color w:val="000000" w:themeColor="text1"/>
        </w:rPr>
        <w:t>1092.02(c)(1)</w:t>
      </w:r>
      <w:r w:rsidRPr="00B15515">
        <w:rPr>
          <w:rFonts w:ascii="Book Antiqua" w:hAnsi="Book Antiqua"/>
          <w:color w:val="000000" w:themeColor="text1"/>
        </w:rPr>
        <w:t xml:space="preserve">, cualquier ganancia, beneficio o ingreso derivado por una </w:t>
      </w:r>
      <w:proofErr w:type="gramStart"/>
      <w:r w:rsidRPr="00B15515">
        <w:rPr>
          <w:rFonts w:ascii="Book Antiqua" w:hAnsi="Book Antiqua"/>
          <w:color w:val="000000" w:themeColor="text1"/>
        </w:rPr>
        <w:t>corporación extranjera o individuo extranjero</w:t>
      </w:r>
      <w:proofErr w:type="gramEnd"/>
      <w:r w:rsidRPr="00B15515">
        <w:rPr>
          <w:rFonts w:ascii="Book Antiqua" w:hAnsi="Book Antiqua"/>
          <w:color w:val="000000" w:themeColor="text1"/>
        </w:rPr>
        <w:t xml:space="preserve"> no residente en la venta, directa o indirecta, de un interés en una sociedad que esté dedicada a una industria o negocio en Puerto Rico, constituirá ingreso realmente relacionado con la explotación de una industria o negocio en Puerto Rico, en la cantidad establecida en el apartado </w:t>
      </w:r>
      <w:r w:rsidRPr="00B15515">
        <w:rPr>
          <w:rFonts w:ascii="Book Antiqua" w:hAnsi="Book Antiqua"/>
          <w:b/>
          <w:bCs/>
          <w:color w:val="000000" w:themeColor="text1"/>
        </w:rPr>
        <w:t>[(b)]</w:t>
      </w:r>
      <w:r w:rsidRPr="00B15515">
        <w:rPr>
          <w:rFonts w:ascii="Book Antiqua" w:hAnsi="Book Antiqua"/>
          <w:color w:val="000000" w:themeColor="text1"/>
        </w:rPr>
        <w:t xml:space="preserve"> </w:t>
      </w:r>
      <w:r w:rsidRPr="00B15515">
        <w:rPr>
          <w:rFonts w:ascii="Book Antiqua" w:hAnsi="Book Antiqua"/>
          <w:i/>
          <w:iCs/>
          <w:color w:val="000000" w:themeColor="text1"/>
        </w:rPr>
        <w:t>(d)</w:t>
      </w:r>
      <w:r w:rsidRPr="00B15515">
        <w:rPr>
          <w:rFonts w:ascii="Book Antiqua" w:hAnsi="Book Antiqua"/>
          <w:color w:val="000000" w:themeColor="text1"/>
        </w:rPr>
        <w:t xml:space="preserve"> de esta Sección.</w:t>
      </w:r>
    </w:p>
    <w:p w14:paraId="59A28800" w14:textId="77777777" w:rsidR="00822714" w:rsidRPr="00B15515" w:rsidRDefault="00822714" w:rsidP="00822714">
      <w:pPr>
        <w:numPr>
          <w:ilvl w:val="0"/>
          <w:numId w:val="42"/>
        </w:numPr>
        <w:spacing w:line="480" w:lineRule="auto"/>
        <w:ind w:firstLine="0"/>
        <w:jc w:val="both"/>
        <w:rPr>
          <w:rFonts w:ascii="Book Antiqua" w:hAnsi="Book Antiqua"/>
          <w:color w:val="000000" w:themeColor="text1"/>
        </w:rPr>
      </w:pPr>
      <w:r w:rsidRPr="00B15515">
        <w:rPr>
          <w:rFonts w:ascii="Book Antiqua" w:hAnsi="Book Antiqua"/>
          <w:color w:val="000000" w:themeColor="text1"/>
        </w:rPr>
        <w:t xml:space="preserve">La cantidad de la ganancia que está sujeta al apartado </w:t>
      </w:r>
      <w:r w:rsidRPr="00B15515">
        <w:rPr>
          <w:rFonts w:ascii="Book Antiqua" w:hAnsi="Book Antiqua"/>
          <w:b/>
          <w:bCs/>
          <w:color w:val="000000" w:themeColor="text1"/>
        </w:rPr>
        <w:t>[(a)]</w:t>
      </w:r>
      <w:r w:rsidRPr="00B15515">
        <w:rPr>
          <w:rFonts w:ascii="Book Antiqua" w:hAnsi="Book Antiqua"/>
          <w:color w:val="000000" w:themeColor="text1"/>
        </w:rPr>
        <w:t xml:space="preserve"> </w:t>
      </w:r>
      <w:r w:rsidRPr="00B15515">
        <w:rPr>
          <w:rFonts w:ascii="Book Antiqua" w:hAnsi="Book Antiqua"/>
          <w:i/>
          <w:iCs/>
          <w:color w:val="000000" w:themeColor="text1"/>
        </w:rPr>
        <w:t>(c)</w:t>
      </w:r>
      <w:r w:rsidRPr="00B15515">
        <w:rPr>
          <w:rFonts w:ascii="Book Antiqua" w:hAnsi="Book Antiqua"/>
          <w:color w:val="000000" w:themeColor="text1"/>
        </w:rPr>
        <w:t xml:space="preserve"> de esta Sección es una cantidad igual a la participación distribuible de la corporación extranjera o individuo extranjero no residente en la ganancia que la sociedad hubiese generado si la sociedad hubiese vendido todos los activos de la sociedad a su valor en el mercado a la fecha de la venta, directa o indirecta, del interés en la sociedad por la corporación extranjera o individuo extranjero no residente y que constituiría ingreso realmente relacionado con la explotación de una industria o negocio en Puerto Rico bajo la Sección 1035.05. Únicamente para propósitos de aplicar la Sección 1035.05 en el caso de una sociedad doméstica, la sociedad doméstica será tratada como una sociedad extranjera.</w:t>
      </w:r>
    </w:p>
    <w:p w14:paraId="4B483D58" w14:textId="77777777" w:rsidR="00822714" w:rsidRPr="00B15515" w:rsidRDefault="00822714" w:rsidP="00822714">
      <w:pPr>
        <w:numPr>
          <w:ilvl w:val="0"/>
          <w:numId w:val="42"/>
        </w:numPr>
        <w:spacing w:line="480" w:lineRule="auto"/>
        <w:ind w:firstLine="0"/>
        <w:jc w:val="both"/>
        <w:rPr>
          <w:rFonts w:ascii="Book Antiqua" w:hAnsi="Book Antiqua"/>
          <w:color w:val="000000" w:themeColor="text1"/>
        </w:rPr>
      </w:pPr>
      <w:r w:rsidRPr="00B15515">
        <w:rPr>
          <w:rFonts w:ascii="Book Antiqua" w:hAnsi="Book Antiqua"/>
          <w:color w:val="000000" w:themeColor="text1"/>
        </w:rPr>
        <w:t>…</w:t>
      </w:r>
    </w:p>
    <w:p w14:paraId="2D662E8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4414283E" w14:textId="77777777" w:rsidR="00822714" w:rsidRPr="00B15515" w:rsidRDefault="00822714" w:rsidP="00822714">
      <w:pPr>
        <w:pStyle w:val="Heading1"/>
        <w:rPr>
          <w:color w:val="000000" w:themeColor="text1"/>
        </w:rPr>
      </w:pPr>
      <w:r w:rsidRPr="00B15515">
        <w:rPr>
          <w:color w:val="000000" w:themeColor="text1"/>
        </w:rPr>
        <w:lastRenderedPageBreak/>
        <w:t>Artículo 8.— Se enmienda el párrafo (1) del apartado (d) de la Sección 1040.02 de la Ley 1-2011, según enmendada, para que se lea como sigue:</w:t>
      </w:r>
    </w:p>
    <w:p w14:paraId="5458B0A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1040.02. — Regla General para Métodos de Contabilidad.</w:t>
      </w:r>
    </w:p>
    <w:p w14:paraId="697D1615"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 …</w:t>
      </w:r>
    </w:p>
    <w:p w14:paraId="7EC51EA8"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6B361CF9"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(d) Limitación del Uso del Método de Recibido y Pagado —</w:t>
      </w:r>
    </w:p>
    <w:p w14:paraId="160265BC"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(1) No obstante lo dispuesto en el apartado (c), el uso del método de recibido y pagado será permisible únicamente si se cumple con las siguientes dos (2) condiciones:</w:t>
      </w:r>
    </w:p>
    <w:p w14:paraId="750598B6"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 …</w:t>
      </w:r>
    </w:p>
    <w:p w14:paraId="72C07FE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(B) cuando el negocio tenga un promedio de ingresos brutos anuales (determinados a base de los últimos tres (3) años de operaciones del negocio) un millón (1,000,000) de dólares o menos, para años contributivos comenzados antes del 1 de enero de 2019, </w:t>
      </w:r>
      <w:r w:rsidRPr="00B15515">
        <w:rPr>
          <w:rFonts w:ascii="Book Antiqua" w:hAnsi="Book Antiqua"/>
          <w:b/>
          <w:bCs/>
          <w:color w:val="000000" w:themeColor="text1"/>
        </w:rPr>
        <w:t xml:space="preserve">[y] </w:t>
      </w:r>
      <w:r w:rsidRPr="00B15515">
        <w:rPr>
          <w:rFonts w:ascii="Book Antiqua" w:hAnsi="Book Antiqua"/>
          <w:color w:val="000000" w:themeColor="text1"/>
        </w:rPr>
        <w:t xml:space="preserve">tres millones (3,000,000) de dólares o menos, para años contributivos comenzados luego del 31 de diciembre de 2018 </w:t>
      </w:r>
      <w:r w:rsidRPr="00B15515">
        <w:rPr>
          <w:rFonts w:ascii="Book Antiqua" w:hAnsi="Book Antiqua"/>
          <w:i/>
          <w:iCs/>
          <w:color w:val="000000" w:themeColor="text1"/>
        </w:rPr>
        <w:t>pero antes del 1 de enero de 2024 y diez millones (10,000,000) de dólares o menos para años contributivos comenzados luego del 31 de diciembre de 2023.</w:t>
      </w:r>
      <w:r w:rsidRPr="00B15515">
        <w:rPr>
          <w:rFonts w:ascii="Book Antiqua" w:hAnsi="Book Antiqua"/>
          <w:color w:val="000000" w:themeColor="text1"/>
        </w:rPr>
        <w:t xml:space="preserve"> </w:t>
      </w:r>
    </w:p>
    <w:p w14:paraId="5DF73EB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(i) …</w:t>
      </w:r>
    </w:p>
    <w:p w14:paraId="712EF508"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t>(</w:t>
      </w:r>
      <w:proofErr w:type="spellStart"/>
      <w:r w:rsidRPr="00B15515">
        <w:rPr>
          <w:rFonts w:ascii="Book Antiqua" w:hAnsi="Book Antiqua"/>
          <w:i/>
          <w:iCs/>
          <w:color w:val="000000" w:themeColor="text1"/>
        </w:rPr>
        <w:t>ii</w:t>
      </w:r>
      <w:proofErr w:type="spellEnd"/>
      <w:r w:rsidRPr="00B15515">
        <w:rPr>
          <w:rFonts w:ascii="Book Antiqua" w:hAnsi="Book Antiqua"/>
          <w:i/>
          <w:iCs/>
          <w:color w:val="000000" w:themeColor="text1"/>
        </w:rPr>
        <w:t xml:space="preserve">) Aquellos contribuyentes que, para su último año contributivo comenzado antes del 1 de enero de 2025, utilicen el método de acumulación y deseen, para su primer año contributivo comenzado luego del 31 de diciembre de 2024, acogerse al método de recibido y pagado, ya que cualifican bajo el nuevo promedio de ingresos brutos anuales, podrán </w:t>
      </w:r>
      <w:r w:rsidRPr="00B15515">
        <w:rPr>
          <w:rFonts w:ascii="Book Antiqua" w:hAnsi="Book Antiqua"/>
          <w:i/>
          <w:iCs/>
          <w:color w:val="000000" w:themeColor="text1"/>
        </w:rPr>
        <w:lastRenderedPageBreak/>
        <w:t xml:space="preserve">acogerse al mismo sin tener que solicitar una determinación del </w:t>
      </w:r>
      <w:proofErr w:type="gramStart"/>
      <w:r w:rsidRPr="00B15515">
        <w:rPr>
          <w:rFonts w:ascii="Book Antiqua" w:hAnsi="Book Antiqua"/>
          <w:i/>
          <w:iCs/>
          <w:color w:val="000000" w:themeColor="text1"/>
        </w:rPr>
        <w:t>Secretario</w:t>
      </w:r>
      <w:proofErr w:type="gramEnd"/>
      <w:r w:rsidRPr="00B15515">
        <w:rPr>
          <w:rFonts w:ascii="Book Antiqua" w:hAnsi="Book Antiqua"/>
          <w:i/>
          <w:iCs/>
          <w:color w:val="000000" w:themeColor="text1"/>
        </w:rPr>
        <w:t xml:space="preserve"> para cambiar su método de contabilidad. A estos efectos, el </w:t>
      </w:r>
      <w:proofErr w:type="gramStart"/>
      <w:r w:rsidRPr="00B15515">
        <w:rPr>
          <w:rFonts w:ascii="Book Antiqua" w:hAnsi="Book Antiqua"/>
          <w:i/>
          <w:iCs/>
          <w:color w:val="000000" w:themeColor="text1"/>
        </w:rPr>
        <w:t>Secretario</w:t>
      </w:r>
      <w:proofErr w:type="gramEnd"/>
      <w:r w:rsidRPr="00B15515">
        <w:rPr>
          <w:rFonts w:ascii="Book Antiqua" w:hAnsi="Book Antiqua"/>
          <w:i/>
          <w:iCs/>
          <w:color w:val="000000" w:themeColor="text1"/>
        </w:rPr>
        <w:t xml:space="preserve"> establecerá mediante reglamento, determinación administrativa, carta circular o boletín informativo de carácter general el efecto contributivo del cambio de método de contabilidad establecida en este inciso.</w:t>
      </w:r>
    </w:p>
    <w:p w14:paraId="317B3755"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(2) …</w:t>
      </w:r>
    </w:p>
    <w:p w14:paraId="5F06826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(e) …</w:t>
      </w:r>
    </w:p>
    <w:p w14:paraId="17C6ABE7"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3BBD6CA6" w14:textId="77777777" w:rsidR="00822714" w:rsidRPr="00B15515" w:rsidRDefault="00822714" w:rsidP="00822714">
      <w:pPr>
        <w:pStyle w:val="Heading1"/>
        <w:rPr>
          <w:color w:val="000000" w:themeColor="text1"/>
        </w:rPr>
      </w:pPr>
      <w:r w:rsidRPr="00B15515">
        <w:rPr>
          <w:color w:val="000000" w:themeColor="text1"/>
        </w:rPr>
        <w:t>Artículo 9.— Se enmienda la Sección 1061.03 de la Ley 1-2011, según enmendada, para que se lea como sigue:</w:t>
      </w:r>
    </w:p>
    <w:p w14:paraId="6CFDEAD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“Sección 1061.03. — Planillas de </w:t>
      </w:r>
      <w:r w:rsidRPr="00B15515">
        <w:rPr>
          <w:rFonts w:ascii="Book Antiqua" w:hAnsi="Book Antiqua"/>
          <w:b/>
          <w:bCs/>
          <w:color w:val="000000" w:themeColor="text1"/>
        </w:rPr>
        <w:t>[Sociedades]</w:t>
      </w:r>
      <w:r w:rsidRPr="00B15515">
        <w:rPr>
          <w:rFonts w:ascii="Book Antiqua" w:hAnsi="Book Antiqua"/>
          <w:color w:val="000000" w:themeColor="text1"/>
        </w:rPr>
        <w:t xml:space="preserve"> </w:t>
      </w:r>
      <w:r w:rsidRPr="00B15515">
        <w:rPr>
          <w:rFonts w:ascii="Book Antiqua" w:hAnsi="Book Antiqua"/>
          <w:i/>
          <w:iCs/>
          <w:color w:val="000000" w:themeColor="text1"/>
        </w:rPr>
        <w:t>Entidades Conducto</w:t>
      </w:r>
      <w:r w:rsidRPr="00B15515">
        <w:rPr>
          <w:rFonts w:ascii="Book Antiqua" w:hAnsi="Book Antiqua"/>
          <w:color w:val="000000" w:themeColor="text1"/>
        </w:rPr>
        <w:t xml:space="preserve">. </w:t>
      </w:r>
    </w:p>
    <w:p w14:paraId="6426AEA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(a) Regla General. — Toda </w:t>
      </w:r>
      <w:r w:rsidRPr="00B15515">
        <w:rPr>
          <w:rFonts w:ascii="Book Antiqua" w:hAnsi="Book Antiqua"/>
          <w:b/>
          <w:bCs/>
          <w:color w:val="000000" w:themeColor="text1"/>
        </w:rPr>
        <w:t>[sociedad]</w:t>
      </w:r>
      <w:r w:rsidRPr="00B15515">
        <w:rPr>
          <w:rFonts w:ascii="Book Antiqua" w:hAnsi="Book Antiqua"/>
          <w:color w:val="000000" w:themeColor="text1"/>
        </w:rPr>
        <w:t xml:space="preserve"> </w:t>
      </w:r>
      <w:r w:rsidRPr="00B15515">
        <w:rPr>
          <w:rFonts w:ascii="Book Antiqua" w:hAnsi="Book Antiqua"/>
          <w:i/>
          <w:iCs/>
          <w:color w:val="000000" w:themeColor="text1"/>
        </w:rPr>
        <w:t>Entidad Conducto</w:t>
      </w:r>
      <w:r w:rsidRPr="00B15515">
        <w:rPr>
          <w:rFonts w:ascii="Book Antiqua" w:hAnsi="Book Antiqua"/>
          <w:color w:val="000000" w:themeColor="text1"/>
        </w:rPr>
        <w:t xml:space="preserve"> rendirá una planilla para cada año contributivo haciendo constar las partidas de ingreso bruto y deducciones concedidas por este Subtítulo, los nombres, direcciones y números de cuenta de los </w:t>
      </w:r>
      <w:r w:rsidRPr="00B15515">
        <w:rPr>
          <w:rFonts w:ascii="Book Antiqua" w:hAnsi="Book Antiqua"/>
          <w:b/>
          <w:bCs/>
          <w:color w:val="000000" w:themeColor="text1"/>
        </w:rPr>
        <w:t>[socios]</w:t>
      </w:r>
      <w:r w:rsidRPr="00B15515">
        <w:rPr>
          <w:rFonts w:ascii="Book Antiqua" w:hAnsi="Book Antiqua"/>
          <w:color w:val="000000" w:themeColor="text1"/>
        </w:rPr>
        <w:t xml:space="preserve"> </w:t>
      </w:r>
      <w:r w:rsidRPr="00B15515">
        <w:rPr>
          <w:rFonts w:ascii="Book Antiqua" w:hAnsi="Book Antiqua"/>
          <w:i/>
          <w:iCs/>
          <w:color w:val="000000" w:themeColor="text1"/>
        </w:rPr>
        <w:t>dueños</w:t>
      </w:r>
      <w:r w:rsidRPr="00B15515">
        <w:rPr>
          <w:rFonts w:ascii="Book Antiqua" w:hAnsi="Book Antiqua"/>
          <w:color w:val="000000" w:themeColor="text1"/>
        </w:rPr>
        <w:t xml:space="preserve"> que participarán de la ganancia o la pérdida de la </w:t>
      </w:r>
      <w:r w:rsidRPr="00B15515">
        <w:rPr>
          <w:rFonts w:ascii="Book Antiqua" w:hAnsi="Book Antiqua"/>
          <w:b/>
          <w:bCs/>
          <w:color w:val="000000" w:themeColor="text1"/>
        </w:rPr>
        <w:t xml:space="preserve">[sociedad] </w:t>
      </w:r>
      <w:r w:rsidRPr="00B15515">
        <w:rPr>
          <w:rFonts w:ascii="Book Antiqua" w:hAnsi="Book Antiqua"/>
          <w:i/>
          <w:iCs/>
          <w:color w:val="000000" w:themeColor="text1"/>
        </w:rPr>
        <w:t>Entidad Conducto</w:t>
      </w:r>
      <w:r w:rsidRPr="00B15515">
        <w:rPr>
          <w:rFonts w:ascii="Book Antiqua" w:hAnsi="Book Antiqua"/>
          <w:color w:val="000000" w:themeColor="text1"/>
        </w:rPr>
        <w:t xml:space="preserve"> para dicho año contributivo, y las cantidades de dicha ganancia o pérdida. Las planillas rendidas bajo esta </w:t>
      </w:r>
      <w:r w:rsidRPr="00B15515">
        <w:rPr>
          <w:rFonts w:ascii="Book Antiqua" w:hAnsi="Book Antiqua"/>
          <w:b/>
          <w:bCs/>
          <w:color w:val="000000" w:themeColor="text1"/>
        </w:rPr>
        <w:t>[sección que sean rendidas a base del año natural deberán someterse no más tarde del quince (15) de marzo siguiente al cierre del año natural. Las planillas rendidas a base de un año económico]</w:t>
      </w:r>
      <w:r w:rsidRPr="00B15515">
        <w:rPr>
          <w:rFonts w:ascii="Book Antiqua" w:hAnsi="Book Antiqua"/>
          <w:color w:val="000000" w:themeColor="text1"/>
        </w:rPr>
        <w:t xml:space="preserve"> </w:t>
      </w:r>
      <w:r w:rsidRPr="00B15515">
        <w:rPr>
          <w:rFonts w:ascii="Book Antiqua" w:hAnsi="Book Antiqua"/>
          <w:i/>
          <w:iCs/>
          <w:color w:val="000000" w:themeColor="text1"/>
        </w:rPr>
        <w:t>Sección</w:t>
      </w:r>
      <w:r w:rsidRPr="00B15515">
        <w:rPr>
          <w:rFonts w:ascii="Book Antiqua" w:hAnsi="Book Antiqua"/>
          <w:color w:val="000000" w:themeColor="text1"/>
        </w:rPr>
        <w:t xml:space="preserve"> deberán rendirse no más tarde del </w:t>
      </w:r>
      <w:r w:rsidRPr="00B15515">
        <w:rPr>
          <w:rFonts w:ascii="Book Antiqua" w:hAnsi="Book Antiqua"/>
          <w:b/>
          <w:bCs/>
          <w:color w:val="000000" w:themeColor="text1"/>
        </w:rPr>
        <w:t>[decimoquinto (15to.)]</w:t>
      </w:r>
      <w:r w:rsidRPr="00B15515">
        <w:rPr>
          <w:rFonts w:ascii="Book Antiqua" w:hAnsi="Book Antiqua"/>
          <w:color w:val="000000" w:themeColor="text1"/>
        </w:rPr>
        <w:t xml:space="preserve"> </w:t>
      </w:r>
      <w:r w:rsidRPr="00B15515">
        <w:rPr>
          <w:rFonts w:ascii="Book Antiqua" w:hAnsi="Book Antiqua"/>
          <w:i/>
          <w:iCs/>
          <w:color w:val="000000" w:themeColor="text1"/>
        </w:rPr>
        <w:t xml:space="preserve">último </w:t>
      </w:r>
      <w:r w:rsidRPr="00B15515">
        <w:rPr>
          <w:rFonts w:ascii="Book Antiqua" w:hAnsi="Book Antiqua"/>
          <w:color w:val="000000" w:themeColor="text1"/>
        </w:rPr>
        <w:t xml:space="preserve">día del </w:t>
      </w:r>
      <w:r w:rsidRPr="00B15515">
        <w:rPr>
          <w:rFonts w:ascii="Book Antiqua" w:hAnsi="Book Antiqua"/>
          <w:i/>
          <w:iCs/>
          <w:color w:val="000000" w:themeColor="text1"/>
        </w:rPr>
        <w:t>tercer</w:t>
      </w:r>
      <w:r w:rsidRPr="00B15515">
        <w:rPr>
          <w:rFonts w:ascii="Book Antiqua" w:hAnsi="Book Antiqua"/>
          <w:color w:val="000000" w:themeColor="text1"/>
        </w:rPr>
        <w:t xml:space="preserve"> (3er.) </w:t>
      </w:r>
      <w:r w:rsidRPr="00B15515">
        <w:rPr>
          <w:rFonts w:ascii="Book Antiqua" w:hAnsi="Book Antiqua"/>
          <w:b/>
          <w:bCs/>
          <w:color w:val="000000" w:themeColor="text1"/>
        </w:rPr>
        <w:t>[tercer]</w:t>
      </w:r>
      <w:r w:rsidRPr="00B15515">
        <w:rPr>
          <w:rFonts w:ascii="Book Antiqua" w:hAnsi="Book Antiqua"/>
          <w:color w:val="000000" w:themeColor="text1"/>
        </w:rPr>
        <w:t xml:space="preserve"> mes siguiente al cierre del año contributivo de la </w:t>
      </w:r>
      <w:r w:rsidRPr="00B15515">
        <w:rPr>
          <w:rFonts w:ascii="Book Antiqua" w:hAnsi="Book Antiqua"/>
          <w:b/>
          <w:bCs/>
          <w:color w:val="000000" w:themeColor="text1"/>
        </w:rPr>
        <w:t xml:space="preserve">[sociedad] </w:t>
      </w:r>
      <w:r w:rsidRPr="00B15515">
        <w:rPr>
          <w:rFonts w:ascii="Book Antiqua" w:hAnsi="Book Antiqua"/>
          <w:i/>
          <w:iCs/>
          <w:color w:val="000000" w:themeColor="text1"/>
        </w:rPr>
        <w:t>Entidad Conducto</w:t>
      </w:r>
      <w:r w:rsidRPr="00B15515">
        <w:rPr>
          <w:rFonts w:ascii="Book Antiqua" w:hAnsi="Book Antiqua"/>
          <w:color w:val="000000" w:themeColor="text1"/>
        </w:rPr>
        <w:t>. Cualquier cantidad adeudada por concepto del pago estimado</w:t>
      </w:r>
      <w:r w:rsidRPr="00B15515">
        <w:rPr>
          <w:rFonts w:ascii="Book Antiqua" w:hAnsi="Book Antiqua"/>
          <w:i/>
          <w:iCs/>
          <w:color w:val="000000" w:themeColor="text1"/>
        </w:rPr>
        <w:t>,</w:t>
      </w:r>
      <w:r w:rsidRPr="00B15515">
        <w:rPr>
          <w:rFonts w:ascii="Book Antiqua" w:hAnsi="Book Antiqua"/>
          <w:color w:val="000000" w:themeColor="text1"/>
        </w:rPr>
        <w:t xml:space="preserve"> según lo dispuesto en la Sección 1062.07</w:t>
      </w:r>
      <w:r w:rsidRPr="00B15515">
        <w:rPr>
          <w:rFonts w:ascii="Book Antiqua" w:hAnsi="Book Antiqua"/>
          <w:i/>
          <w:iCs/>
          <w:color w:val="000000" w:themeColor="text1"/>
        </w:rPr>
        <w:t>,</w:t>
      </w:r>
      <w:r w:rsidRPr="00B15515">
        <w:rPr>
          <w:rFonts w:ascii="Book Antiqua" w:hAnsi="Book Antiqua"/>
          <w:color w:val="000000" w:themeColor="text1"/>
        </w:rPr>
        <w:t xml:space="preserve"> deberá ser satisfecha con la </w:t>
      </w:r>
      <w:r w:rsidRPr="00B15515">
        <w:rPr>
          <w:rFonts w:ascii="Book Antiqua" w:hAnsi="Book Antiqua"/>
          <w:color w:val="000000" w:themeColor="text1"/>
        </w:rPr>
        <w:lastRenderedPageBreak/>
        <w:t xml:space="preserve">radicación de la planilla requerida por esta </w:t>
      </w:r>
      <w:r w:rsidRPr="00B15515">
        <w:rPr>
          <w:rFonts w:ascii="Book Antiqua" w:hAnsi="Book Antiqua"/>
          <w:i/>
          <w:iCs/>
          <w:color w:val="000000" w:themeColor="text1"/>
        </w:rPr>
        <w:t>Sección</w:t>
      </w:r>
      <w:r w:rsidRPr="00B15515">
        <w:rPr>
          <w:rFonts w:ascii="Book Antiqua" w:hAnsi="Book Antiqua"/>
          <w:color w:val="000000" w:themeColor="text1"/>
        </w:rPr>
        <w:t xml:space="preserve"> </w:t>
      </w:r>
      <w:r w:rsidRPr="00B15515">
        <w:rPr>
          <w:rFonts w:ascii="Book Antiqua" w:hAnsi="Book Antiqua"/>
          <w:b/>
          <w:bCs/>
          <w:color w:val="000000" w:themeColor="text1"/>
        </w:rPr>
        <w:t>[sección]</w:t>
      </w:r>
      <w:r w:rsidRPr="00B15515">
        <w:rPr>
          <w:rFonts w:ascii="Book Antiqua" w:hAnsi="Book Antiqua"/>
          <w:color w:val="000000" w:themeColor="text1"/>
        </w:rPr>
        <w:t xml:space="preserve">. La planilla deberá ser firmada bajo las penalidades de perjurio por </w:t>
      </w:r>
      <w:r w:rsidRPr="00B15515">
        <w:rPr>
          <w:rFonts w:ascii="Book Antiqua" w:hAnsi="Book Antiqua"/>
          <w:b/>
          <w:bCs/>
          <w:color w:val="000000" w:themeColor="text1"/>
        </w:rPr>
        <w:t>[el socio gestor]</w:t>
      </w:r>
      <w:r w:rsidRPr="00B15515">
        <w:rPr>
          <w:rFonts w:ascii="Book Antiqua" w:hAnsi="Book Antiqua"/>
          <w:color w:val="000000" w:themeColor="text1"/>
        </w:rPr>
        <w:t xml:space="preserve"> </w:t>
      </w:r>
      <w:r w:rsidRPr="00B15515">
        <w:rPr>
          <w:rFonts w:ascii="Book Antiqua" w:hAnsi="Book Antiqua"/>
          <w:i/>
          <w:iCs/>
          <w:color w:val="000000" w:themeColor="text1"/>
        </w:rPr>
        <w:t>uno de sus dueños</w:t>
      </w:r>
      <w:r w:rsidRPr="00B15515">
        <w:rPr>
          <w:rFonts w:ascii="Book Antiqua" w:hAnsi="Book Antiqua"/>
          <w:color w:val="000000" w:themeColor="text1"/>
        </w:rPr>
        <w:t xml:space="preserve">. No obstante </w:t>
      </w:r>
      <w:r w:rsidRPr="00B15515">
        <w:rPr>
          <w:rFonts w:ascii="Book Antiqua" w:hAnsi="Book Antiqua"/>
          <w:b/>
          <w:bCs/>
          <w:color w:val="000000" w:themeColor="text1"/>
        </w:rPr>
        <w:t>[lo anterior]</w:t>
      </w:r>
      <w:r w:rsidRPr="00B15515">
        <w:rPr>
          <w:rFonts w:ascii="Book Antiqua" w:hAnsi="Book Antiqua"/>
          <w:color w:val="000000" w:themeColor="text1"/>
        </w:rPr>
        <w:t xml:space="preserve">, cuando las planillas sean rendidas utilizando medios electrónicos, se aceptará como evidencia de autenticación la firma digital </w:t>
      </w:r>
      <w:r w:rsidRPr="00B15515">
        <w:rPr>
          <w:rFonts w:ascii="Book Antiqua" w:hAnsi="Book Antiqua"/>
          <w:b/>
          <w:bCs/>
          <w:color w:val="000000" w:themeColor="text1"/>
        </w:rPr>
        <w:t>[del socio gestor]</w:t>
      </w:r>
      <w:r w:rsidRPr="00B15515">
        <w:rPr>
          <w:rFonts w:ascii="Book Antiqua" w:hAnsi="Book Antiqua"/>
          <w:color w:val="000000" w:themeColor="text1"/>
        </w:rPr>
        <w:t xml:space="preserve"> </w:t>
      </w:r>
      <w:r w:rsidRPr="00B15515">
        <w:rPr>
          <w:rFonts w:ascii="Book Antiqua" w:hAnsi="Book Antiqua"/>
          <w:i/>
          <w:iCs/>
          <w:color w:val="000000" w:themeColor="text1"/>
        </w:rPr>
        <w:t>de uno de los dueños</w:t>
      </w:r>
      <w:r w:rsidRPr="00B15515">
        <w:rPr>
          <w:rFonts w:ascii="Book Antiqua" w:hAnsi="Book Antiqua"/>
          <w:color w:val="000000" w:themeColor="text1"/>
        </w:rPr>
        <w:t xml:space="preserve"> de que la planilla se rinde bajo las penalidades de perjurio. Dicha planilla deberá estar acompañada de estados financieros sujeto a las disposiciones de la Sección 1061.15.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establecerá mediante reglamentos aquella otra información que deberá incluirse en esa planilla.</w:t>
      </w:r>
    </w:p>
    <w:p w14:paraId="3B06AB83"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(b) Informe a los </w:t>
      </w:r>
      <w:r w:rsidRPr="00B15515">
        <w:rPr>
          <w:rFonts w:ascii="Book Antiqua" w:hAnsi="Book Antiqua"/>
          <w:b/>
          <w:bCs/>
          <w:color w:val="000000" w:themeColor="text1"/>
        </w:rPr>
        <w:t>[Socios]</w:t>
      </w:r>
      <w:r w:rsidRPr="00B15515">
        <w:rPr>
          <w:rFonts w:ascii="Book Antiqua" w:hAnsi="Book Antiqua"/>
          <w:color w:val="000000" w:themeColor="text1"/>
        </w:rPr>
        <w:t xml:space="preserve"> </w:t>
      </w:r>
      <w:r w:rsidRPr="00B15515">
        <w:rPr>
          <w:rFonts w:ascii="Book Antiqua" w:hAnsi="Book Antiqua"/>
          <w:i/>
          <w:iCs/>
          <w:color w:val="000000" w:themeColor="text1"/>
        </w:rPr>
        <w:t>Dueños</w:t>
      </w:r>
      <w:r w:rsidRPr="00B15515">
        <w:rPr>
          <w:rFonts w:ascii="Book Antiqua" w:hAnsi="Book Antiqua"/>
          <w:color w:val="000000" w:themeColor="text1"/>
        </w:rPr>
        <w:t xml:space="preserve">. — Toda </w:t>
      </w:r>
      <w:r w:rsidRPr="00B15515">
        <w:rPr>
          <w:rFonts w:ascii="Book Antiqua" w:hAnsi="Book Antiqua"/>
          <w:b/>
          <w:bCs/>
          <w:color w:val="000000" w:themeColor="text1"/>
        </w:rPr>
        <w:t>[sociedad]</w:t>
      </w:r>
      <w:r w:rsidRPr="00B15515">
        <w:rPr>
          <w:rFonts w:ascii="Book Antiqua" w:hAnsi="Book Antiqua"/>
          <w:color w:val="000000" w:themeColor="text1"/>
        </w:rPr>
        <w:t xml:space="preserve"> </w:t>
      </w:r>
      <w:r w:rsidRPr="00B15515">
        <w:rPr>
          <w:rFonts w:ascii="Book Antiqua" w:hAnsi="Book Antiqua"/>
          <w:i/>
          <w:iCs/>
          <w:color w:val="000000" w:themeColor="text1"/>
        </w:rPr>
        <w:t>Entidad Conducto</w:t>
      </w:r>
      <w:r w:rsidRPr="00B15515">
        <w:rPr>
          <w:rFonts w:ascii="Book Antiqua" w:hAnsi="Book Antiqua"/>
          <w:color w:val="000000" w:themeColor="text1"/>
        </w:rPr>
        <w:t xml:space="preserve"> que venga obligada a rendir una planilla bajo las disposiciones del apartado (a) para cualquier año contributivo deberá, no más tarde del último día del tercer (3er.) mes siguiente al cierre de su año contributivo, entregar a cada persona que sea un </w:t>
      </w:r>
      <w:r w:rsidRPr="00B15515">
        <w:rPr>
          <w:rFonts w:ascii="Book Antiqua" w:hAnsi="Book Antiqua"/>
          <w:b/>
          <w:bCs/>
          <w:color w:val="000000" w:themeColor="text1"/>
        </w:rPr>
        <w:t>[socio]</w:t>
      </w:r>
      <w:r w:rsidRPr="00B15515">
        <w:rPr>
          <w:rFonts w:ascii="Book Antiqua" w:hAnsi="Book Antiqua"/>
          <w:color w:val="000000" w:themeColor="text1"/>
        </w:rPr>
        <w:t xml:space="preserve"> </w:t>
      </w:r>
      <w:r w:rsidRPr="00B15515">
        <w:rPr>
          <w:rFonts w:ascii="Book Antiqua" w:hAnsi="Book Antiqua"/>
          <w:i/>
          <w:iCs/>
          <w:color w:val="000000" w:themeColor="text1"/>
        </w:rPr>
        <w:t>dueño</w:t>
      </w:r>
      <w:r w:rsidRPr="00B15515">
        <w:rPr>
          <w:rFonts w:ascii="Book Antiqua" w:hAnsi="Book Antiqua"/>
          <w:color w:val="000000" w:themeColor="text1"/>
        </w:rPr>
        <w:t xml:space="preserve"> en dicha </w:t>
      </w:r>
      <w:r w:rsidRPr="00B15515">
        <w:rPr>
          <w:rFonts w:ascii="Book Antiqua" w:hAnsi="Book Antiqua"/>
          <w:b/>
          <w:bCs/>
          <w:color w:val="000000" w:themeColor="text1"/>
        </w:rPr>
        <w:t>[sociedad]</w:t>
      </w:r>
      <w:r w:rsidRPr="00B15515">
        <w:rPr>
          <w:rFonts w:ascii="Book Antiqua" w:hAnsi="Book Antiqua"/>
          <w:color w:val="000000" w:themeColor="text1"/>
        </w:rPr>
        <w:t xml:space="preserve"> </w:t>
      </w:r>
      <w:r w:rsidRPr="00B15515">
        <w:rPr>
          <w:rFonts w:ascii="Book Antiqua" w:hAnsi="Book Antiqua"/>
          <w:i/>
          <w:iCs/>
          <w:color w:val="000000" w:themeColor="text1"/>
        </w:rPr>
        <w:t>Entidad Conducto</w:t>
      </w:r>
      <w:r w:rsidRPr="00B15515">
        <w:rPr>
          <w:rFonts w:ascii="Book Antiqua" w:hAnsi="Book Antiqua"/>
          <w:color w:val="000000" w:themeColor="text1"/>
        </w:rPr>
        <w:t xml:space="preserve"> un informe conteniendo aquella información que se requiere sea incluida en la planilla del </w:t>
      </w:r>
      <w:r w:rsidRPr="00B15515">
        <w:rPr>
          <w:rFonts w:ascii="Book Antiqua" w:hAnsi="Book Antiqua"/>
          <w:b/>
          <w:bCs/>
          <w:color w:val="000000" w:themeColor="text1"/>
        </w:rPr>
        <w:t>[socio]</w:t>
      </w:r>
      <w:r w:rsidRPr="00B15515">
        <w:rPr>
          <w:rFonts w:ascii="Book Antiqua" w:hAnsi="Book Antiqua"/>
          <w:color w:val="000000" w:themeColor="text1"/>
        </w:rPr>
        <w:t xml:space="preserve"> </w:t>
      </w:r>
      <w:r w:rsidRPr="00B15515">
        <w:rPr>
          <w:rFonts w:ascii="Book Antiqua" w:hAnsi="Book Antiqua"/>
          <w:i/>
          <w:iCs/>
          <w:color w:val="000000" w:themeColor="text1"/>
        </w:rPr>
        <w:t>dueño</w:t>
      </w:r>
      <w:r w:rsidRPr="00B15515">
        <w:rPr>
          <w:rFonts w:ascii="Book Antiqua" w:hAnsi="Book Antiqua"/>
          <w:color w:val="000000" w:themeColor="text1"/>
        </w:rPr>
        <w:t xml:space="preserve">, incluyendo la participación distribuible del </w:t>
      </w:r>
      <w:r w:rsidRPr="00B15515">
        <w:rPr>
          <w:rFonts w:ascii="Book Antiqua" w:hAnsi="Book Antiqua"/>
          <w:b/>
          <w:bCs/>
          <w:color w:val="000000" w:themeColor="text1"/>
        </w:rPr>
        <w:t>[socio]</w:t>
      </w:r>
      <w:r w:rsidRPr="00B15515">
        <w:rPr>
          <w:rFonts w:ascii="Book Antiqua" w:hAnsi="Book Antiqua"/>
          <w:i/>
          <w:iCs/>
          <w:color w:val="000000" w:themeColor="text1"/>
        </w:rPr>
        <w:t xml:space="preserve"> dueño</w:t>
      </w:r>
      <w:r w:rsidRPr="00B15515">
        <w:rPr>
          <w:rFonts w:ascii="Book Antiqua" w:hAnsi="Book Antiqua"/>
          <w:color w:val="000000" w:themeColor="text1"/>
        </w:rPr>
        <w:t xml:space="preserve"> en cada una de las partidas enumeradas en las Secciones 1071.03 y 1071.04, la aportación inicial y las aportaciones adicionales efectuadas por el </w:t>
      </w:r>
      <w:r w:rsidRPr="00B15515">
        <w:rPr>
          <w:rFonts w:ascii="Book Antiqua" w:hAnsi="Book Antiqua"/>
          <w:b/>
          <w:bCs/>
          <w:color w:val="000000" w:themeColor="text1"/>
        </w:rPr>
        <w:t>[socio]</w:t>
      </w:r>
      <w:r w:rsidRPr="00B15515">
        <w:rPr>
          <w:rFonts w:ascii="Book Antiqua" w:hAnsi="Book Antiqua"/>
          <w:color w:val="000000" w:themeColor="text1"/>
        </w:rPr>
        <w:t xml:space="preserve"> </w:t>
      </w:r>
      <w:r w:rsidRPr="00B15515">
        <w:rPr>
          <w:rFonts w:ascii="Book Antiqua" w:hAnsi="Book Antiqua"/>
          <w:i/>
          <w:iCs/>
          <w:color w:val="000000" w:themeColor="text1"/>
        </w:rPr>
        <w:t>dueño</w:t>
      </w:r>
      <w:r w:rsidRPr="00B15515">
        <w:rPr>
          <w:rFonts w:ascii="Book Antiqua" w:hAnsi="Book Antiqua"/>
          <w:color w:val="000000" w:themeColor="text1"/>
        </w:rPr>
        <w:t xml:space="preserve"> al capital de la </w:t>
      </w:r>
      <w:r w:rsidRPr="00B15515">
        <w:rPr>
          <w:rFonts w:ascii="Book Antiqua" w:hAnsi="Book Antiqua"/>
          <w:b/>
          <w:bCs/>
          <w:color w:val="000000" w:themeColor="text1"/>
        </w:rPr>
        <w:t>[sociedad]</w:t>
      </w:r>
      <w:r w:rsidRPr="00B15515">
        <w:rPr>
          <w:rFonts w:ascii="Book Antiqua" w:hAnsi="Book Antiqua"/>
          <w:color w:val="000000" w:themeColor="text1"/>
        </w:rPr>
        <w:t xml:space="preserve"> </w:t>
      </w:r>
      <w:r w:rsidRPr="00B15515">
        <w:rPr>
          <w:rFonts w:ascii="Book Antiqua" w:hAnsi="Book Antiqua"/>
          <w:i/>
          <w:iCs/>
          <w:color w:val="000000" w:themeColor="text1"/>
        </w:rPr>
        <w:t>Entidad Conducto</w:t>
      </w:r>
      <w:r w:rsidRPr="00B15515">
        <w:rPr>
          <w:rFonts w:ascii="Book Antiqua" w:hAnsi="Book Antiqua"/>
          <w:color w:val="000000" w:themeColor="text1"/>
        </w:rPr>
        <w:t xml:space="preserve">, las distribuciones efectuadas por la </w:t>
      </w:r>
      <w:r w:rsidRPr="00B15515">
        <w:rPr>
          <w:rFonts w:ascii="Book Antiqua" w:hAnsi="Book Antiqua"/>
          <w:b/>
          <w:bCs/>
          <w:color w:val="000000" w:themeColor="text1"/>
        </w:rPr>
        <w:t>[sociedad]</w:t>
      </w:r>
      <w:r w:rsidRPr="00B15515">
        <w:rPr>
          <w:rFonts w:ascii="Book Antiqua" w:hAnsi="Book Antiqua"/>
          <w:color w:val="000000" w:themeColor="text1"/>
        </w:rPr>
        <w:t xml:space="preserve"> </w:t>
      </w:r>
      <w:r w:rsidRPr="00B15515">
        <w:rPr>
          <w:rFonts w:ascii="Book Antiqua" w:hAnsi="Book Antiqua"/>
          <w:i/>
          <w:iCs/>
          <w:color w:val="000000" w:themeColor="text1"/>
        </w:rPr>
        <w:t>Entidad Conducto</w:t>
      </w:r>
      <w:r w:rsidRPr="00B15515">
        <w:rPr>
          <w:rFonts w:ascii="Book Antiqua" w:hAnsi="Book Antiqua"/>
          <w:color w:val="000000" w:themeColor="text1"/>
        </w:rPr>
        <w:t xml:space="preserve"> y cualquier otra información adicional que se requiera mediante reglamentos.</w:t>
      </w:r>
    </w:p>
    <w:p w14:paraId="09EE839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(c) …</w:t>
      </w:r>
    </w:p>
    <w:p w14:paraId="1E3A871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(d) Prórroga. —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podrá, bajo aquellas reglas y reglamentos que promulgue, conceder a las </w:t>
      </w:r>
      <w:r w:rsidRPr="00B15515">
        <w:rPr>
          <w:rFonts w:ascii="Book Antiqua" w:hAnsi="Book Antiqua"/>
          <w:b/>
          <w:bCs/>
          <w:color w:val="000000" w:themeColor="text1"/>
        </w:rPr>
        <w:t>[sociedades]</w:t>
      </w:r>
      <w:r w:rsidRPr="00B15515">
        <w:rPr>
          <w:rFonts w:ascii="Book Antiqua" w:hAnsi="Book Antiqua"/>
          <w:color w:val="000000" w:themeColor="text1"/>
        </w:rPr>
        <w:t xml:space="preserve"> </w:t>
      </w:r>
      <w:r w:rsidRPr="00B15515">
        <w:rPr>
          <w:rFonts w:ascii="Book Antiqua" w:hAnsi="Book Antiqua"/>
          <w:i/>
          <w:iCs/>
          <w:color w:val="000000" w:themeColor="text1"/>
        </w:rPr>
        <w:t>Entidades Conducto</w:t>
      </w:r>
      <w:r w:rsidRPr="00B15515">
        <w:rPr>
          <w:rFonts w:ascii="Book Antiqua" w:hAnsi="Book Antiqua"/>
          <w:color w:val="000000" w:themeColor="text1"/>
        </w:rPr>
        <w:t xml:space="preserve"> una prórroga </w:t>
      </w:r>
      <w:r w:rsidRPr="00B15515">
        <w:rPr>
          <w:rFonts w:ascii="Book Antiqua" w:hAnsi="Book Antiqua"/>
          <w:color w:val="000000" w:themeColor="text1"/>
        </w:rPr>
        <w:lastRenderedPageBreak/>
        <w:t xml:space="preserve">automática para rendir la información requerida bajo el apartado (b), por un periodo que no excederá de un mes contado a partir de la fecha establecida en dicho apartado (b), para someter el informe a los </w:t>
      </w:r>
      <w:r w:rsidRPr="00B15515">
        <w:rPr>
          <w:rFonts w:ascii="Book Antiqua" w:hAnsi="Book Antiqua"/>
          <w:b/>
          <w:bCs/>
          <w:color w:val="000000" w:themeColor="text1"/>
        </w:rPr>
        <w:t>[socios]</w:t>
      </w:r>
      <w:r w:rsidRPr="00B15515">
        <w:rPr>
          <w:rFonts w:ascii="Book Antiqua" w:hAnsi="Book Antiqua"/>
          <w:color w:val="000000" w:themeColor="text1"/>
        </w:rPr>
        <w:t xml:space="preserve"> </w:t>
      </w:r>
      <w:r w:rsidRPr="00B15515">
        <w:rPr>
          <w:rFonts w:ascii="Book Antiqua" w:hAnsi="Book Antiqua"/>
          <w:i/>
          <w:iCs/>
          <w:color w:val="000000" w:themeColor="text1"/>
        </w:rPr>
        <w:t>dueños</w:t>
      </w:r>
      <w:r w:rsidRPr="00B15515">
        <w:rPr>
          <w:rFonts w:ascii="Book Antiqua" w:hAnsi="Book Antiqua"/>
          <w:color w:val="000000" w:themeColor="text1"/>
        </w:rPr>
        <w:t xml:space="preserve">.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establecerá mediante reglamentos, aquella otra información que deberá incluirse en esa planilla.  </w:t>
      </w:r>
      <w:r w:rsidRPr="00B15515">
        <w:rPr>
          <w:rFonts w:ascii="Book Antiqua" w:hAnsi="Book Antiqua"/>
          <w:b/>
          <w:bCs/>
          <w:color w:val="000000" w:themeColor="text1"/>
        </w:rPr>
        <w:t>[Disponiéndose que, para]</w:t>
      </w:r>
      <w:r w:rsidRPr="00B15515">
        <w:rPr>
          <w:rFonts w:ascii="Book Antiqua" w:hAnsi="Book Antiqua"/>
          <w:color w:val="000000" w:themeColor="text1"/>
        </w:rPr>
        <w:t xml:space="preserve"> </w:t>
      </w:r>
      <w:r w:rsidRPr="00B15515">
        <w:rPr>
          <w:rFonts w:ascii="Book Antiqua" w:hAnsi="Book Antiqua"/>
          <w:i/>
          <w:iCs/>
          <w:color w:val="000000" w:themeColor="text1"/>
        </w:rPr>
        <w:t>Para</w:t>
      </w:r>
      <w:r w:rsidRPr="00B15515">
        <w:rPr>
          <w:rFonts w:ascii="Book Antiqua" w:hAnsi="Book Antiqua"/>
          <w:color w:val="000000" w:themeColor="text1"/>
        </w:rPr>
        <w:t xml:space="preserve"> años contributivos comenzados después del 31 de diciembre de 2016, esta prórroga será automática si la entidad sometió la solicitud de prórroga dispuesta en el apartado (c) de esta Sección, y el periodo de tiempo será igual que el periodo establecido en dicho apartado (c).</w:t>
      </w:r>
    </w:p>
    <w:p w14:paraId="465CDA97"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(e)…</w:t>
      </w:r>
    </w:p>
    <w:p w14:paraId="733AA1E7"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i/>
          <w:iCs/>
          <w:color w:val="000000" w:themeColor="text1"/>
        </w:rPr>
        <w:t xml:space="preserve">(f) Planillas de Entidades Conducto </w:t>
      </w:r>
      <w:proofErr w:type="gramStart"/>
      <w:r w:rsidRPr="00B15515">
        <w:rPr>
          <w:rFonts w:ascii="Book Antiqua" w:hAnsi="Book Antiqua"/>
          <w:i/>
          <w:iCs/>
          <w:color w:val="000000" w:themeColor="text1"/>
        </w:rPr>
        <w:t>Combinadas.-</w:t>
      </w:r>
      <w:proofErr w:type="gramEnd"/>
      <w:r w:rsidRPr="00B15515">
        <w:rPr>
          <w:rFonts w:ascii="Book Antiqua" w:hAnsi="Book Antiqua"/>
          <w:i/>
          <w:iCs/>
          <w:color w:val="000000" w:themeColor="text1"/>
        </w:rPr>
        <w:t xml:space="preserve"> Un grupo de entidades relacionadas podrá optar por la radicación de una planilla informativa combinada cuando los dueños foráneos de una Entidad Conducto dedicada a la explotación de una industria o negocio en Puerto Rico son, a su vez, entidades conducto en sus países de origen.  En estos casos </w:t>
      </w:r>
      <w:proofErr w:type="gramStart"/>
      <w:r w:rsidRPr="00B15515">
        <w:rPr>
          <w:rFonts w:ascii="Book Antiqua" w:hAnsi="Book Antiqua"/>
          <w:i/>
          <w:iCs/>
          <w:color w:val="000000" w:themeColor="text1"/>
        </w:rPr>
        <w:t>la fechas establecidas</w:t>
      </w:r>
      <w:proofErr w:type="gramEnd"/>
      <w:r w:rsidRPr="00B15515">
        <w:rPr>
          <w:rFonts w:ascii="Book Antiqua" w:hAnsi="Book Antiqua"/>
          <w:i/>
          <w:iCs/>
          <w:color w:val="000000" w:themeColor="text1"/>
        </w:rPr>
        <w:t xml:space="preserve"> en esta sección para la radicación de las Planillas de Entidades Conducto será la misma para las Planillas de Entidades Conducto Combinadas.</w:t>
      </w:r>
      <w:r w:rsidRPr="00B15515">
        <w:rPr>
          <w:rFonts w:ascii="Book Antiqua" w:hAnsi="Book Antiqua"/>
          <w:color w:val="000000" w:themeColor="text1"/>
        </w:rPr>
        <w:t>”</w:t>
      </w:r>
    </w:p>
    <w:p w14:paraId="2B620CF6" w14:textId="77777777" w:rsidR="00822714" w:rsidRPr="00B15515" w:rsidRDefault="00822714" w:rsidP="00822714">
      <w:pPr>
        <w:pStyle w:val="Heading1"/>
        <w:rPr>
          <w:color w:val="000000" w:themeColor="text1"/>
        </w:rPr>
      </w:pPr>
      <w:r w:rsidRPr="00B15515">
        <w:rPr>
          <w:color w:val="000000" w:themeColor="text1"/>
        </w:rPr>
        <w:t xml:space="preserve">Artículo 10.— Se </w:t>
      </w:r>
      <w:proofErr w:type="gramStart"/>
      <w:r w:rsidRPr="00B15515">
        <w:rPr>
          <w:color w:val="000000" w:themeColor="text1"/>
        </w:rPr>
        <w:t>deroga  la</w:t>
      </w:r>
      <w:proofErr w:type="gramEnd"/>
      <w:r w:rsidRPr="00B15515">
        <w:rPr>
          <w:color w:val="000000" w:themeColor="text1"/>
        </w:rPr>
        <w:t xml:space="preserve"> Sección 1061.04 de la Ley 1-2011, según enmendada, conocida como “Código de Rentas Internas </w:t>
      </w:r>
      <w:r w:rsidRPr="00B15515">
        <w:rPr>
          <w:rFonts w:cs="Arial"/>
          <w:color w:val="000000" w:themeColor="text1"/>
        </w:rPr>
        <w:t>de Puerto Rico de 2011”</w:t>
      </w:r>
      <w:r w:rsidRPr="00B15515">
        <w:rPr>
          <w:color w:val="000000" w:themeColor="text1"/>
        </w:rPr>
        <w:t>, y se deja reservada para enmiendas futuras:</w:t>
      </w:r>
    </w:p>
    <w:p w14:paraId="6B97FE86"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“Sección 1061.04. —</w:t>
      </w:r>
    </w:p>
    <w:p w14:paraId="410C4D9F" w14:textId="77777777" w:rsidR="00822714" w:rsidRPr="00B15515" w:rsidRDefault="00822714" w:rsidP="00822714">
      <w:pPr>
        <w:spacing w:line="480" w:lineRule="auto"/>
        <w:ind w:firstLine="720"/>
        <w:jc w:val="both"/>
        <w:rPr>
          <w:rFonts w:ascii="Book Antiqua" w:hAnsi="Book Antiqua"/>
          <w:b/>
          <w:bCs/>
          <w:color w:val="000000" w:themeColor="text1"/>
        </w:rPr>
      </w:pPr>
      <w:r w:rsidRPr="00B15515">
        <w:rPr>
          <w:rFonts w:ascii="Book Antiqua" w:hAnsi="Book Antiqua"/>
          <w:b/>
          <w:bCs/>
          <w:color w:val="000000" w:themeColor="text1"/>
        </w:rPr>
        <w:t xml:space="preserve">[(a) Regla General. — Toda compañía de responsabilidad limitada rendirá una planilla para cada año contributivo haciendo constar las partidas de ingreso bruto y deducciones concedidas por este Subtítulo, los nombres, direcciones y números de </w:t>
      </w:r>
      <w:r w:rsidRPr="00B15515">
        <w:rPr>
          <w:rFonts w:ascii="Book Antiqua" w:hAnsi="Book Antiqua"/>
          <w:b/>
          <w:bCs/>
          <w:color w:val="000000" w:themeColor="text1"/>
        </w:rPr>
        <w:lastRenderedPageBreak/>
        <w:t xml:space="preserve">cuenta de los miembros que participarán de la ganancia o la pérdida de la compañía de responsabilidad limitada para dicho año contributivo, y las cantidades de dicha ganancia o pérdida. Las planillas rendidas bajo esta Sección que sean rendidas a base del año natural deberán someterse no más tarde del quince (15) de marzo siguiente al cierre del año natural. Las planillas rendidas a base de un año económico deberán rendirse no más tarde del decimoquinto (15to.) día del tercer (3er.) mes siguiente al cierre del año contributivo de la compañía de responsabilidad limitada. Cualquier cantidad adeudada por concepto del pago estimado, según lo dispuesto en la Sección 1062.07, deberá ser satisfecha con la radicación de la planilla requerida por esta Sección. La planilla deberá ser firmada bajo las penalidades de perjurio por el presidente, vicepresidente, tesorero, tesorero auxiliar u otro oficial principal de finanzas. No </w:t>
      </w:r>
      <w:proofErr w:type="gramStart"/>
      <w:r w:rsidRPr="00B15515">
        <w:rPr>
          <w:rFonts w:ascii="Book Antiqua" w:hAnsi="Book Antiqua"/>
          <w:b/>
          <w:bCs/>
          <w:color w:val="000000" w:themeColor="text1"/>
        </w:rPr>
        <w:t>obstante</w:t>
      </w:r>
      <w:proofErr w:type="gramEnd"/>
      <w:r w:rsidRPr="00B15515">
        <w:rPr>
          <w:rFonts w:ascii="Book Antiqua" w:hAnsi="Book Antiqua"/>
          <w:b/>
          <w:bCs/>
          <w:color w:val="000000" w:themeColor="text1"/>
        </w:rPr>
        <w:t xml:space="preserve"> lo anterior, cuando las planillas sean rendidas utilizando medios electrónicos, se aceptará como evidencia de autenticación la firma digital de uno de los oficiales mencionados anteriormente de que la planilla se rinde bajo las penalidades de perjurio. Dicha planilla deberá estar acompañada de estados financieros sujeto a las disposiciones de la Sección 1061.15. El </w:t>
      </w:r>
      <w:proofErr w:type="gramStart"/>
      <w:r w:rsidRPr="00B15515">
        <w:rPr>
          <w:rFonts w:ascii="Book Antiqua" w:hAnsi="Book Antiqua"/>
          <w:b/>
          <w:bCs/>
          <w:color w:val="000000" w:themeColor="text1"/>
        </w:rPr>
        <w:t>Secretario</w:t>
      </w:r>
      <w:proofErr w:type="gramEnd"/>
      <w:r w:rsidRPr="00B15515">
        <w:rPr>
          <w:rFonts w:ascii="Book Antiqua" w:hAnsi="Book Antiqua"/>
          <w:b/>
          <w:bCs/>
          <w:color w:val="000000" w:themeColor="text1"/>
        </w:rPr>
        <w:t xml:space="preserve"> establecerá, mediante reglamentos, aquella otra información que deberá incluirse en esa planilla.</w:t>
      </w:r>
    </w:p>
    <w:p w14:paraId="100A98D1" w14:textId="77777777" w:rsidR="00822714" w:rsidRPr="00B15515" w:rsidRDefault="00822714" w:rsidP="00822714">
      <w:pPr>
        <w:spacing w:line="480" w:lineRule="auto"/>
        <w:ind w:firstLine="720"/>
        <w:jc w:val="both"/>
        <w:rPr>
          <w:rFonts w:ascii="Book Antiqua" w:hAnsi="Book Antiqua"/>
          <w:b/>
          <w:bCs/>
          <w:color w:val="000000" w:themeColor="text1"/>
        </w:rPr>
      </w:pPr>
      <w:r w:rsidRPr="00B15515">
        <w:rPr>
          <w:rFonts w:ascii="Book Antiqua" w:hAnsi="Book Antiqua"/>
          <w:b/>
          <w:bCs/>
          <w:color w:val="000000" w:themeColor="text1"/>
        </w:rPr>
        <w:t xml:space="preserve">(b) Informe a los Miembros. — Toda compañía de responsabilidad limitada que venga obligada a rendir una planilla bajo las disposiciones del apartado (a) para cualquier año contributivo deberá, no más tarde del último día del tercer (3er.) mes siguiente al cierre de su año contributivo, entregar a cada persona que sea un miembro de dicha compañía de responsabilidad limitada un informe conteniendo aquella </w:t>
      </w:r>
      <w:r w:rsidRPr="00B15515">
        <w:rPr>
          <w:rFonts w:ascii="Book Antiqua" w:hAnsi="Book Antiqua"/>
          <w:b/>
          <w:bCs/>
          <w:color w:val="000000" w:themeColor="text1"/>
        </w:rPr>
        <w:lastRenderedPageBreak/>
        <w:t>información que se requiere sea incluida en la planilla del miembro, incluyendo la participación distribuible del miembro en cada una de las partidas enumeradas en las Secciones 1071.03 y 1071.04, la aportación inicial y las aportaciones adicionales efectuadas por el miembro al capital de la compañía de responsabilidad limitada, las distribuciones efectuadas por la compañía de responsabilidad limitada y cualquier otra información adicional que se requiera mediante reglamentos.</w:t>
      </w:r>
    </w:p>
    <w:p w14:paraId="01954B6B" w14:textId="77777777" w:rsidR="00822714" w:rsidRPr="00B15515" w:rsidRDefault="00822714" w:rsidP="00822714">
      <w:pPr>
        <w:spacing w:line="480" w:lineRule="auto"/>
        <w:ind w:firstLine="720"/>
        <w:jc w:val="both"/>
        <w:rPr>
          <w:rFonts w:ascii="Book Antiqua" w:hAnsi="Book Antiqua"/>
          <w:b/>
          <w:bCs/>
          <w:color w:val="000000" w:themeColor="text1"/>
        </w:rPr>
      </w:pPr>
      <w:r w:rsidRPr="00B15515">
        <w:rPr>
          <w:rFonts w:ascii="Book Antiqua" w:hAnsi="Book Antiqua"/>
          <w:b/>
          <w:bCs/>
          <w:color w:val="000000" w:themeColor="text1"/>
        </w:rPr>
        <w:t xml:space="preserve">(c) Prórroga automática. — Se concederá una prórroga automática para rendir la planilla requerida bajo el apartado (a), siempre que se cumpla con aquellas reglas y reglamentos que el </w:t>
      </w:r>
      <w:proofErr w:type="gramStart"/>
      <w:r w:rsidRPr="00B15515">
        <w:rPr>
          <w:rFonts w:ascii="Book Antiqua" w:hAnsi="Book Antiqua"/>
          <w:b/>
          <w:bCs/>
          <w:color w:val="000000" w:themeColor="text1"/>
        </w:rPr>
        <w:t>Secretario</w:t>
      </w:r>
      <w:proofErr w:type="gramEnd"/>
      <w:r w:rsidRPr="00B15515">
        <w:rPr>
          <w:rFonts w:ascii="Book Antiqua" w:hAnsi="Book Antiqua"/>
          <w:b/>
          <w:bCs/>
          <w:color w:val="000000" w:themeColor="text1"/>
        </w:rPr>
        <w:t xml:space="preserve"> establezca para la concesión de dicha prórroga. Esta prórroga automática se concederá por un periodo de tres (3) meses contados a partir de la fecha establecida en el apartado (a) para la radicación de la planilla, siempre que la compañía de responsabilidad limitada haga una solicitud a tal efecto no más tarde de dicha fecha de radicación de planilla.</w:t>
      </w:r>
    </w:p>
    <w:p w14:paraId="577AF1E8" w14:textId="77777777" w:rsidR="00822714" w:rsidRPr="00B15515" w:rsidRDefault="00822714" w:rsidP="00822714">
      <w:pPr>
        <w:spacing w:line="480" w:lineRule="auto"/>
        <w:ind w:firstLine="720"/>
        <w:jc w:val="both"/>
        <w:rPr>
          <w:rFonts w:ascii="Book Antiqua" w:hAnsi="Book Antiqua"/>
          <w:b/>
          <w:bCs/>
          <w:color w:val="000000" w:themeColor="text1"/>
        </w:rPr>
      </w:pPr>
      <w:r w:rsidRPr="00B15515">
        <w:rPr>
          <w:rFonts w:ascii="Book Antiqua" w:hAnsi="Book Antiqua"/>
          <w:b/>
          <w:bCs/>
          <w:color w:val="000000" w:themeColor="text1"/>
        </w:rPr>
        <w:t>Disponiéndose que, para años contributivos comenzados después del 31 de diciembre de 2016, esta prórroga automática se concederá por un periodo de seis (6) meses, contados a partir de la fecha establecida en el apartado (a) de la planilla.</w:t>
      </w:r>
    </w:p>
    <w:p w14:paraId="229F274D" w14:textId="77777777" w:rsidR="00822714" w:rsidRPr="00B15515" w:rsidRDefault="00822714" w:rsidP="00822714">
      <w:pPr>
        <w:spacing w:line="480" w:lineRule="auto"/>
        <w:ind w:firstLine="720"/>
        <w:jc w:val="both"/>
        <w:rPr>
          <w:rFonts w:ascii="Book Antiqua" w:hAnsi="Book Antiqua"/>
          <w:b/>
          <w:bCs/>
          <w:color w:val="000000" w:themeColor="text1"/>
        </w:rPr>
      </w:pPr>
      <w:r w:rsidRPr="00B15515">
        <w:rPr>
          <w:rFonts w:ascii="Book Antiqua" w:hAnsi="Book Antiqua"/>
          <w:b/>
          <w:bCs/>
          <w:color w:val="000000" w:themeColor="text1"/>
        </w:rPr>
        <w:t xml:space="preserve">(d) Prórroga. — El </w:t>
      </w:r>
      <w:proofErr w:type="gramStart"/>
      <w:r w:rsidRPr="00B15515">
        <w:rPr>
          <w:rFonts w:ascii="Book Antiqua" w:hAnsi="Book Antiqua"/>
          <w:b/>
          <w:bCs/>
          <w:color w:val="000000" w:themeColor="text1"/>
        </w:rPr>
        <w:t>Secretario</w:t>
      </w:r>
      <w:proofErr w:type="gramEnd"/>
      <w:r w:rsidRPr="00B15515">
        <w:rPr>
          <w:rFonts w:ascii="Book Antiqua" w:hAnsi="Book Antiqua"/>
          <w:b/>
          <w:bCs/>
          <w:color w:val="000000" w:themeColor="text1"/>
        </w:rPr>
        <w:t xml:space="preserve"> podrá, bajo aquellas reglas y reglamentos que promulgue, conceder a las compañías de responsabilidad limitada, una prórroga automática para rendir la información requerida bajo el apartado (b), por un periodo que no excederá de un mes contado a partir de la fecha establecida en dicho apartado (b), para someter el informe a los miembros.</w:t>
      </w:r>
    </w:p>
    <w:p w14:paraId="4EB387FE" w14:textId="77777777" w:rsidR="00822714" w:rsidRPr="00B15515" w:rsidRDefault="00822714" w:rsidP="00822714">
      <w:pPr>
        <w:spacing w:line="480" w:lineRule="auto"/>
        <w:ind w:firstLine="720"/>
        <w:jc w:val="both"/>
        <w:rPr>
          <w:rFonts w:ascii="Book Antiqua" w:hAnsi="Book Antiqua"/>
          <w:b/>
          <w:bCs/>
          <w:color w:val="000000" w:themeColor="text1"/>
        </w:rPr>
      </w:pPr>
      <w:r w:rsidRPr="00B15515">
        <w:rPr>
          <w:rFonts w:ascii="Book Antiqua" w:hAnsi="Book Antiqua"/>
          <w:b/>
          <w:bCs/>
          <w:color w:val="000000" w:themeColor="text1"/>
        </w:rPr>
        <w:lastRenderedPageBreak/>
        <w:t xml:space="preserve">El </w:t>
      </w:r>
      <w:proofErr w:type="gramStart"/>
      <w:r w:rsidRPr="00B15515">
        <w:rPr>
          <w:rFonts w:ascii="Book Antiqua" w:hAnsi="Book Antiqua"/>
          <w:b/>
          <w:bCs/>
          <w:color w:val="000000" w:themeColor="text1"/>
        </w:rPr>
        <w:t>Secretario</w:t>
      </w:r>
      <w:proofErr w:type="gramEnd"/>
      <w:r w:rsidRPr="00B15515">
        <w:rPr>
          <w:rFonts w:ascii="Book Antiqua" w:hAnsi="Book Antiqua"/>
          <w:b/>
          <w:bCs/>
          <w:color w:val="000000" w:themeColor="text1"/>
        </w:rPr>
        <w:t xml:space="preserve"> establecerá mediante reglamentación, aquella otra información que deberá incluirse en dicha planilla. Disponiéndose que, para años contributivos comenzados después del 31 de diciembre de 2016, esta prórroga será automática si la entidad sometió la solicitud de prórroga dispuesta en el apartado (c) de esta Sección, y el periodo de tiempo será igual que el periodo establecido en dicho apartado (c).</w:t>
      </w:r>
    </w:p>
    <w:p w14:paraId="5874FF00"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b/>
          <w:bCs/>
          <w:color w:val="000000" w:themeColor="text1"/>
        </w:rPr>
        <w:t>(e) En el caso de una compañía de responsabilidad limitada que sea considerada para propósitos de este Subtítulo como una corporación, deberá rendir su planilla de contribución sobre ingresos en la misma forma y manera que una corporación, sujeto a las disposiciones de la Sección 1061.02.]</w:t>
      </w:r>
      <w:r w:rsidRPr="00B15515">
        <w:rPr>
          <w:rFonts w:ascii="Book Antiqua" w:hAnsi="Book Antiqua"/>
          <w:color w:val="000000" w:themeColor="text1"/>
        </w:rPr>
        <w:t xml:space="preserve"> </w:t>
      </w:r>
      <w:r w:rsidRPr="00B15515">
        <w:rPr>
          <w:rFonts w:ascii="Book Antiqua" w:hAnsi="Book Antiqua"/>
          <w:i/>
          <w:iCs/>
          <w:color w:val="000000" w:themeColor="text1"/>
        </w:rPr>
        <w:t>Reservada</w:t>
      </w:r>
      <w:r w:rsidRPr="00B15515">
        <w:rPr>
          <w:rFonts w:ascii="Book Antiqua" w:hAnsi="Book Antiqua"/>
          <w:color w:val="000000" w:themeColor="text1"/>
        </w:rPr>
        <w:t>”</w:t>
      </w:r>
    </w:p>
    <w:p w14:paraId="1B679A23" w14:textId="77777777" w:rsidR="00822714" w:rsidRPr="00B15515" w:rsidRDefault="00822714" w:rsidP="00822714">
      <w:pPr>
        <w:pStyle w:val="Heading1"/>
        <w:rPr>
          <w:color w:val="000000" w:themeColor="text1"/>
        </w:rPr>
      </w:pPr>
      <w:r w:rsidRPr="00B15515">
        <w:rPr>
          <w:color w:val="000000" w:themeColor="text1"/>
        </w:rPr>
        <w:t>Artículo 11.— Se enmienda la Sección 1061.09 de la Ley 1-2011, según enmendada, para que se lea como sigue:</w:t>
      </w:r>
    </w:p>
    <w:p w14:paraId="70910335"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1061.09. — Planillas de Sucesiones y Fideicomisos. (13 L.P.R.A § 30249)</w:t>
      </w:r>
    </w:p>
    <w:p w14:paraId="063507F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 …</w:t>
      </w:r>
    </w:p>
    <w:p w14:paraId="3B7E2315"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(b) Fecha para </w:t>
      </w:r>
      <w:proofErr w:type="gramStart"/>
      <w:r w:rsidRPr="00B15515">
        <w:rPr>
          <w:rFonts w:ascii="Book Antiqua" w:hAnsi="Book Antiqua"/>
          <w:color w:val="000000" w:themeColor="text1"/>
        </w:rPr>
        <w:t>rendir.-</w:t>
      </w:r>
      <w:proofErr w:type="gramEnd"/>
    </w:p>
    <w:p w14:paraId="7114AC8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roofErr w:type="gramStart"/>
      <w:r w:rsidRPr="00B15515">
        <w:rPr>
          <w:rFonts w:ascii="Book Antiqua" w:hAnsi="Book Antiqua"/>
          <w:color w:val="000000" w:themeColor="text1"/>
        </w:rPr>
        <w:t>1)…</w:t>
      </w:r>
      <w:proofErr w:type="gramEnd"/>
    </w:p>
    <w:p w14:paraId="412A9C77"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(2) Regla para fideicomisos considerados fideicomisos revocables o fideicomiso que revierte al fideicomitente (“</w:t>
      </w:r>
      <w:proofErr w:type="spellStart"/>
      <w:r w:rsidRPr="00B15515">
        <w:rPr>
          <w:rFonts w:ascii="Book Antiqua" w:hAnsi="Book Antiqua"/>
          <w:color w:val="000000" w:themeColor="text1"/>
        </w:rPr>
        <w:t>grantor</w:t>
      </w:r>
      <w:proofErr w:type="spellEnd"/>
      <w:r w:rsidRPr="00B15515">
        <w:rPr>
          <w:rFonts w:ascii="Book Antiqua" w:hAnsi="Book Antiqua"/>
          <w:color w:val="000000" w:themeColor="text1"/>
        </w:rPr>
        <w:t xml:space="preserve"> </w:t>
      </w:r>
      <w:proofErr w:type="spellStart"/>
      <w:r w:rsidRPr="00B15515">
        <w:rPr>
          <w:rFonts w:ascii="Book Antiqua" w:hAnsi="Book Antiqua"/>
          <w:color w:val="000000" w:themeColor="text1"/>
        </w:rPr>
        <w:t>trusts</w:t>
      </w:r>
      <w:proofErr w:type="spellEnd"/>
      <w:r w:rsidRPr="00B15515">
        <w:rPr>
          <w:rFonts w:ascii="Book Antiqua" w:hAnsi="Book Antiqua"/>
          <w:color w:val="000000" w:themeColor="text1"/>
        </w:rPr>
        <w:t xml:space="preserve">”). — Un fideicomiso revocable bajo la Sección 1083.05 o un fideicomiso cuyo ingreso es para beneficio del fideicomitente bajo la Sección 1083.06, someterá la planilla informativa, requerida bajo el párrafo (2) del apartado (a) de esta sección, no más tarde del quince (15) de marzo siguiente al cierre del año natural de dicho fideicomiso. Las planillas rendidas a base de un año económico deberán rendirse no más tarde del </w:t>
      </w:r>
      <w:r w:rsidRPr="00B15515">
        <w:rPr>
          <w:rFonts w:ascii="Book Antiqua" w:hAnsi="Book Antiqua"/>
          <w:color w:val="000000" w:themeColor="text1"/>
        </w:rPr>
        <w:lastRenderedPageBreak/>
        <w:t>decimoquinto (15to) día del tercer (3er) mes siguiente al cierre del año económico. P</w:t>
      </w:r>
      <w:r w:rsidRPr="00B15515">
        <w:rPr>
          <w:rFonts w:ascii="Book Antiqua" w:hAnsi="Book Antiqua"/>
          <w:i/>
          <w:iCs/>
          <w:color w:val="000000" w:themeColor="text1"/>
        </w:rPr>
        <w:t>ara años contributivos comenzados luego del 31 de diciembre de 2023, las planillas rendidas bajo este párrafo deberán rendirse no más tarde del último día del tercer (3er.) mes siguiente al cierre del año contributivo del fideicomiso.</w:t>
      </w:r>
    </w:p>
    <w:p w14:paraId="1AC165B6"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(3) …</w:t>
      </w:r>
    </w:p>
    <w:p w14:paraId="0867C0D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0F5E147C"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Artículo 12.— Se enmiendan los apartados (e) y (f) de la Sección 1061.16 de la Ley 1-2011, para que se lea como sigue:</w:t>
      </w:r>
    </w:p>
    <w:p w14:paraId="27448FB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1061.16. — Fecha y Sitio para Rendir Planillas.</w:t>
      </w:r>
    </w:p>
    <w:p w14:paraId="0C4B5CCB"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 …</w:t>
      </w:r>
    </w:p>
    <w:p w14:paraId="4233996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509022F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(e) Planillas de corporaciones con decreto de exención bajo leyes especiales. — Para años contributivos comenzados después del 31 de diciembre de 2018, la fecha de radicación de las planillas de corporaciones con decreto de exención bajo la Ley 60-2019, según enmendada, conocida como el “Código de Incentivos de Puerto Rico” o cualquier ley de naturaleza similar anterior o subsiguiente será el 15 de junio si las planillas son rendidas a base del año natural, o el decimoquinto (15to.) día del sexto (6to.) mes siguiente al cierre de periodo anual de contabilidad si las planillas son rendidas a base de un año económico.  </w:t>
      </w:r>
      <w:r w:rsidRPr="00B15515">
        <w:rPr>
          <w:rFonts w:ascii="Book Antiqua" w:hAnsi="Book Antiqua"/>
          <w:b/>
          <w:bCs/>
          <w:color w:val="000000" w:themeColor="text1"/>
        </w:rPr>
        <w:t>[Disponiéndose que las]</w:t>
      </w:r>
      <w:r w:rsidRPr="00B15515">
        <w:rPr>
          <w:rFonts w:ascii="Book Antiqua" w:hAnsi="Book Antiqua"/>
          <w:color w:val="000000" w:themeColor="text1"/>
        </w:rPr>
        <w:t xml:space="preserve"> </w:t>
      </w:r>
      <w:r w:rsidRPr="00B15515">
        <w:rPr>
          <w:rFonts w:ascii="Book Antiqua" w:hAnsi="Book Antiqua"/>
          <w:i/>
          <w:iCs/>
          <w:color w:val="000000" w:themeColor="text1"/>
        </w:rPr>
        <w:t>Las</w:t>
      </w:r>
      <w:r w:rsidRPr="00B15515">
        <w:rPr>
          <w:rFonts w:ascii="Book Antiqua" w:hAnsi="Book Antiqua"/>
          <w:color w:val="000000" w:themeColor="text1"/>
        </w:rPr>
        <w:t xml:space="preserve"> disposiciones de este apartado, no </w:t>
      </w:r>
      <w:proofErr w:type="gramStart"/>
      <w:r w:rsidRPr="00B15515">
        <w:rPr>
          <w:rFonts w:ascii="Book Antiqua" w:hAnsi="Book Antiqua"/>
          <w:color w:val="000000" w:themeColor="text1"/>
        </w:rPr>
        <w:t>serán de aplicación</w:t>
      </w:r>
      <w:proofErr w:type="gramEnd"/>
      <w:r w:rsidRPr="00B15515">
        <w:rPr>
          <w:rFonts w:ascii="Book Antiqua" w:hAnsi="Book Antiqua"/>
          <w:color w:val="000000" w:themeColor="text1"/>
        </w:rPr>
        <w:t xml:space="preserve"> a aquellos individuos o entidades conducto que tengan en vigor un decreto de exención y en consecuencia </w:t>
      </w:r>
      <w:r w:rsidRPr="00B15515">
        <w:rPr>
          <w:rFonts w:ascii="Book Antiqua" w:hAnsi="Book Antiqua"/>
          <w:color w:val="000000" w:themeColor="text1"/>
        </w:rPr>
        <w:lastRenderedPageBreak/>
        <w:t xml:space="preserve">deberán someter sus planillas según lo dispuesto en </w:t>
      </w:r>
      <w:r w:rsidRPr="00B15515">
        <w:rPr>
          <w:rFonts w:ascii="Book Antiqua" w:hAnsi="Book Antiqua"/>
          <w:b/>
          <w:bCs/>
          <w:color w:val="000000" w:themeColor="text1"/>
        </w:rPr>
        <w:t>[el apartado (a) de esta sección]</w:t>
      </w:r>
      <w:r w:rsidRPr="00B15515">
        <w:rPr>
          <w:rFonts w:ascii="Book Antiqua" w:hAnsi="Book Antiqua"/>
          <w:color w:val="000000" w:themeColor="text1"/>
        </w:rPr>
        <w:t xml:space="preserve"> </w:t>
      </w:r>
      <w:r w:rsidRPr="00B15515">
        <w:rPr>
          <w:rFonts w:ascii="Book Antiqua" w:hAnsi="Book Antiqua"/>
          <w:i/>
          <w:iCs/>
          <w:color w:val="000000" w:themeColor="text1"/>
        </w:rPr>
        <w:t>este Subcapítulo para el tipo de contribuyente correspondiente</w:t>
      </w:r>
      <w:r w:rsidRPr="00B15515">
        <w:rPr>
          <w:rFonts w:ascii="Book Antiqua" w:hAnsi="Book Antiqua"/>
          <w:color w:val="000000" w:themeColor="text1"/>
        </w:rPr>
        <w:t>.</w:t>
      </w:r>
    </w:p>
    <w:p w14:paraId="44991EF7"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(f) Se faculta al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 Hacienda a establecer </w:t>
      </w:r>
      <w:r w:rsidRPr="00B15515">
        <w:rPr>
          <w:rFonts w:ascii="Book Antiqua" w:hAnsi="Book Antiqua"/>
          <w:b/>
          <w:bCs/>
          <w:color w:val="000000" w:themeColor="text1"/>
        </w:rPr>
        <w:t>[la nueva fecha límite para la radicación de planillas relacionadas al año contributivo 2020, cuyos vencimientos según este Código, sean en o antes del 15 de abril de 2021.  Disponiéndose, que dicha fecha no podrá extenderse más allá del 15 de junio de 2021.]</w:t>
      </w:r>
      <w:r w:rsidRPr="00B15515">
        <w:rPr>
          <w:rFonts w:ascii="Book Antiqua" w:hAnsi="Book Antiqua"/>
          <w:color w:val="000000" w:themeColor="text1"/>
        </w:rPr>
        <w:t xml:space="preserve"> </w:t>
      </w:r>
      <w:r w:rsidRPr="00B15515">
        <w:rPr>
          <w:rFonts w:ascii="Book Antiqua" w:hAnsi="Book Antiqua"/>
          <w:i/>
          <w:iCs/>
          <w:color w:val="000000" w:themeColor="text1"/>
        </w:rPr>
        <w:t xml:space="preserve">en circunstancias extraordinarias, declaraciones de emergencia declaradas por el Gobernador de Puerto Rico o declaraciones de emergencia declaradas por el </w:t>
      </w:r>
      <w:proofErr w:type="gramStart"/>
      <w:r w:rsidRPr="00B15515">
        <w:rPr>
          <w:rFonts w:ascii="Book Antiqua" w:hAnsi="Book Antiqua"/>
          <w:i/>
          <w:iCs/>
          <w:color w:val="000000" w:themeColor="text1"/>
        </w:rPr>
        <w:t>Presidente</w:t>
      </w:r>
      <w:proofErr w:type="gramEnd"/>
      <w:r w:rsidRPr="00B15515">
        <w:rPr>
          <w:rFonts w:ascii="Book Antiqua" w:hAnsi="Book Antiqua"/>
          <w:i/>
          <w:iCs/>
          <w:color w:val="000000" w:themeColor="text1"/>
        </w:rPr>
        <w:t xml:space="preserve"> de los Estados Unidos de América, una nueva fecha límite para la radicación de planillas o declaraciones, cuyo vencimiento sea posterior a la fecha límite establecida en el apartado (a) de esta Sección. Dicha fecha no podrá extenderse más allá de seis (6) meses de la fecha de vencimiento establecida en el apartado (a) de esta Sección.</w:t>
      </w:r>
      <w:r w:rsidRPr="00B15515">
        <w:rPr>
          <w:rFonts w:ascii="Book Antiqua" w:hAnsi="Book Antiqua"/>
          <w:color w:val="000000" w:themeColor="text1"/>
        </w:rPr>
        <w:t xml:space="preserve">  De ejercer esta facultad, la fecha límite establecida en el apartado (a) de esta Sección y en las demás secciones del Subcapítulo A, del Capítulo 6, del [Subtitulo] </w:t>
      </w:r>
      <w:r w:rsidRPr="00B15515">
        <w:rPr>
          <w:rFonts w:ascii="Book Antiqua" w:hAnsi="Book Antiqua"/>
          <w:i/>
          <w:iCs/>
          <w:color w:val="000000" w:themeColor="text1"/>
        </w:rPr>
        <w:t>Subtítulo</w:t>
      </w:r>
      <w:r w:rsidRPr="00B15515">
        <w:rPr>
          <w:rFonts w:ascii="Book Antiqua" w:hAnsi="Book Antiqua"/>
          <w:color w:val="000000" w:themeColor="text1"/>
        </w:rPr>
        <w:t xml:space="preserve"> A de este Código, será sustituida por la fecha que determine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mediante la publicación de una Determinación Administrativa y dicha fecha será considerada la fecha de radicación original para todos los propósitos de este Código.”</w:t>
      </w:r>
    </w:p>
    <w:p w14:paraId="4145B209" w14:textId="77777777" w:rsidR="00822714" w:rsidRPr="00B15515" w:rsidRDefault="00822714" w:rsidP="00822714">
      <w:pPr>
        <w:pStyle w:val="Heading1"/>
        <w:rPr>
          <w:color w:val="000000" w:themeColor="text1"/>
        </w:rPr>
      </w:pPr>
      <w:r w:rsidRPr="00B15515">
        <w:rPr>
          <w:color w:val="000000" w:themeColor="text1"/>
        </w:rPr>
        <w:t>Artículo 13.— Se enmienda el apartado (h) de la Sección 1061.17 de la Ley 1-2011, según enmendada, para que se lea como sigue:</w:t>
      </w:r>
    </w:p>
    <w:p w14:paraId="29CBE7F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1061.17.- Pago de la Contribución.</w:t>
      </w:r>
    </w:p>
    <w:p w14:paraId="0E8F1A18"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 …</w:t>
      </w:r>
    </w:p>
    <w:p w14:paraId="22E8CE0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5833DA8C"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lastRenderedPageBreak/>
        <w:t xml:space="preserve">(h) Se faculta al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 Hacienda a establecer [la nueva fecha límite para el pago de contribución sobre ingresos para el año contributivo 2020, cuyos vencimientos según este Código, sean en o antes del 15 de abril de 2021.  Disponiéndose, que dicha fecha no podrá extenderse más allá del 15 de junio de 2021.] </w:t>
      </w:r>
      <w:r w:rsidRPr="00B15515">
        <w:rPr>
          <w:rFonts w:ascii="Book Antiqua" w:hAnsi="Book Antiqua"/>
          <w:i/>
          <w:iCs/>
          <w:color w:val="000000" w:themeColor="text1"/>
        </w:rPr>
        <w:t xml:space="preserve">en circunstancias extraordinarias, declaraciones de emergencia declaradas por el Gobernador de Puerto Rico o declaraciones de emergencia declaradas por el </w:t>
      </w:r>
      <w:proofErr w:type="gramStart"/>
      <w:r w:rsidRPr="00B15515">
        <w:rPr>
          <w:rFonts w:ascii="Book Antiqua" w:hAnsi="Book Antiqua"/>
          <w:i/>
          <w:iCs/>
          <w:color w:val="000000" w:themeColor="text1"/>
        </w:rPr>
        <w:t>Presidente</w:t>
      </w:r>
      <w:proofErr w:type="gramEnd"/>
      <w:r w:rsidRPr="00B15515">
        <w:rPr>
          <w:rFonts w:ascii="Book Antiqua" w:hAnsi="Book Antiqua"/>
          <w:i/>
          <w:iCs/>
          <w:color w:val="000000" w:themeColor="text1"/>
        </w:rPr>
        <w:t xml:space="preserve"> de los Estados Unidos de América, una nueva fecha límite para el pago de contribución sobre ingresos, cuyo vencimiento sea posterior a la fecha límite establecida en el apartado (a) de esta Sección. Dicha fecha no podrá extenderse más allá de seis (6) meses de la fecha de vencimiento establecida en el apartado (a) de esta Sección.</w:t>
      </w:r>
      <w:r w:rsidRPr="00B15515">
        <w:rPr>
          <w:rFonts w:ascii="Book Antiqua" w:hAnsi="Book Antiqua"/>
          <w:color w:val="000000" w:themeColor="text1"/>
        </w:rPr>
        <w:t xml:space="preserve">  De ejercer esta facultad, la fecha límite establecida en el apartado (a) de esta Sección y en las demás secciones del Subcapítulo A, del Capítulo 6, del [Subtitulo] </w:t>
      </w:r>
      <w:r w:rsidRPr="00B15515">
        <w:rPr>
          <w:rFonts w:ascii="Book Antiqua" w:hAnsi="Book Antiqua"/>
          <w:i/>
          <w:iCs/>
          <w:color w:val="000000" w:themeColor="text1"/>
        </w:rPr>
        <w:t>Subtítulo</w:t>
      </w:r>
      <w:r w:rsidRPr="00B15515">
        <w:rPr>
          <w:rFonts w:ascii="Book Antiqua" w:hAnsi="Book Antiqua"/>
          <w:color w:val="000000" w:themeColor="text1"/>
        </w:rPr>
        <w:t xml:space="preserve"> A de este Código, será sustituida por la fecha que determine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mediante la publicación de una Determinación Administrativa y dicha fecha será considerada la fecha límite original para todos los propósitos de este Código.”</w:t>
      </w:r>
    </w:p>
    <w:p w14:paraId="5854130F" w14:textId="77777777" w:rsidR="00822714" w:rsidRPr="00B15515" w:rsidRDefault="00822714" w:rsidP="00822714">
      <w:pPr>
        <w:pStyle w:val="Heading1"/>
        <w:rPr>
          <w:color w:val="000000" w:themeColor="text1"/>
        </w:rPr>
      </w:pPr>
      <w:r w:rsidRPr="00B15515">
        <w:rPr>
          <w:color w:val="000000" w:themeColor="text1"/>
        </w:rPr>
        <w:t>Artículo 14.— Se enmienda el apartado (d) de la Sección 1061.25 de la Ley 1-2011, según enmendada, para que se lea como sigue:</w:t>
      </w:r>
    </w:p>
    <w:p w14:paraId="2C6C1D5D"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1061.25. — Cuentas Financieras Foráneas.</w:t>
      </w:r>
    </w:p>
    <w:p w14:paraId="4AAF3660" w14:textId="77777777" w:rsidR="00822714" w:rsidRPr="00B15515" w:rsidRDefault="00822714" w:rsidP="00822714">
      <w:pPr>
        <w:pStyle w:val="ListParagraph"/>
        <w:numPr>
          <w:ilvl w:val="0"/>
          <w:numId w:val="31"/>
        </w:numPr>
        <w:spacing w:line="480" w:lineRule="auto"/>
        <w:ind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3EC5E68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492A9BB8" w14:textId="77777777" w:rsidR="00822714" w:rsidRPr="00B15515" w:rsidRDefault="00822714" w:rsidP="00822714">
      <w:pPr>
        <w:pStyle w:val="ListParagraph"/>
        <w:numPr>
          <w:ilvl w:val="0"/>
          <w:numId w:val="38"/>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 xml:space="preserve">Excepción. — Las disposiciones de esta </w:t>
      </w:r>
      <w:r w:rsidRPr="00B15515">
        <w:rPr>
          <w:rFonts w:ascii="Book Antiqua" w:hAnsi="Book Antiqua"/>
          <w:b/>
          <w:bCs/>
          <w:color w:val="000000" w:themeColor="text1"/>
        </w:rPr>
        <w:t>[sección]</w:t>
      </w:r>
      <w:r w:rsidRPr="00B15515">
        <w:rPr>
          <w:rFonts w:ascii="Book Antiqua" w:hAnsi="Book Antiqua"/>
          <w:color w:val="000000" w:themeColor="text1"/>
        </w:rPr>
        <w:t xml:space="preserve"> </w:t>
      </w:r>
      <w:r w:rsidRPr="00B15515">
        <w:rPr>
          <w:rFonts w:ascii="Book Antiqua" w:hAnsi="Book Antiqua"/>
          <w:i/>
          <w:iCs/>
          <w:color w:val="000000" w:themeColor="text1"/>
        </w:rPr>
        <w:t>Sección</w:t>
      </w:r>
      <w:r w:rsidRPr="00B15515">
        <w:rPr>
          <w:rFonts w:ascii="Book Antiqua" w:hAnsi="Book Antiqua"/>
          <w:color w:val="000000" w:themeColor="text1"/>
        </w:rPr>
        <w:t xml:space="preserve"> no aplicarán a </w:t>
      </w:r>
      <w:r w:rsidRPr="00B15515">
        <w:rPr>
          <w:rFonts w:ascii="Book Antiqua" w:hAnsi="Book Antiqua"/>
          <w:i/>
          <w:iCs/>
          <w:color w:val="000000" w:themeColor="text1"/>
        </w:rPr>
        <w:t xml:space="preserve">contribuyentes </w:t>
      </w:r>
      <w:r w:rsidRPr="00B15515">
        <w:rPr>
          <w:rFonts w:ascii="Book Antiqua" w:hAnsi="Book Antiqua"/>
          <w:color w:val="000000" w:themeColor="text1"/>
        </w:rPr>
        <w:t>[</w:t>
      </w:r>
      <w:r w:rsidRPr="00B15515">
        <w:rPr>
          <w:rFonts w:ascii="Book Antiqua" w:hAnsi="Book Antiqua"/>
          <w:b/>
          <w:bCs/>
          <w:color w:val="000000" w:themeColor="text1"/>
        </w:rPr>
        <w:t>cuentas]</w:t>
      </w:r>
      <w:r w:rsidRPr="00B15515">
        <w:rPr>
          <w:rFonts w:ascii="Book Antiqua" w:hAnsi="Book Antiqua"/>
          <w:color w:val="000000" w:themeColor="text1"/>
        </w:rPr>
        <w:t xml:space="preserve"> cuyo valor máximo </w:t>
      </w:r>
      <w:r w:rsidRPr="00B15515">
        <w:rPr>
          <w:rFonts w:ascii="Book Antiqua" w:hAnsi="Book Antiqua"/>
          <w:i/>
          <w:iCs/>
          <w:color w:val="000000" w:themeColor="text1"/>
        </w:rPr>
        <w:t>agregado de todas las</w:t>
      </w:r>
      <w:r w:rsidRPr="00B15515">
        <w:rPr>
          <w:rFonts w:ascii="Book Antiqua" w:hAnsi="Book Antiqua"/>
          <w:color w:val="000000" w:themeColor="text1"/>
        </w:rPr>
        <w:t xml:space="preserve"> </w:t>
      </w:r>
      <w:r w:rsidRPr="00B15515">
        <w:rPr>
          <w:rFonts w:ascii="Book Antiqua" w:hAnsi="Book Antiqua"/>
          <w:i/>
          <w:iCs/>
          <w:color w:val="000000" w:themeColor="text1"/>
        </w:rPr>
        <w:t xml:space="preserve">cuentas financieras </w:t>
      </w:r>
      <w:r w:rsidRPr="00B15515">
        <w:rPr>
          <w:rFonts w:ascii="Book Antiqua" w:hAnsi="Book Antiqua"/>
          <w:i/>
          <w:iCs/>
          <w:color w:val="000000" w:themeColor="text1"/>
        </w:rPr>
        <w:lastRenderedPageBreak/>
        <w:t>mantenidas fuera de Puerto Rico o los Estados Unidos</w:t>
      </w:r>
      <w:r w:rsidRPr="00B15515">
        <w:rPr>
          <w:rFonts w:ascii="Book Antiqua" w:hAnsi="Book Antiqua"/>
          <w:color w:val="000000" w:themeColor="text1"/>
        </w:rPr>
        <w:t xml:space="preserve"> durante el año contributivo no excedió diez mil (10,000) dólares. Asimismo,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podrá eximir del cumplimiento con esta </w:t>
      </w:r>
      <w:r w:rsidRPr="00B15515">
        <w:rPr>
          <w:rFonts w:ascii="Book Antiqua" w:hAnsi="Book Antiqua"/>
          <w:b/>
          <w:bCs/>
          <w:color w:val="000000" w:themeColor="text1"/>
        </w:rPr>
        <w:t>[sección]</w:t>
      </w:r>
      <w:r w:rsidRPr="00B15515">
        <w:rPr>
          <w:rFonts w:ascii="Book Antiqua" w:hAnsi="Book Antiqua"/>
          <w:color w:val="000000" w:themeColor="text1"/>
        </w:rPr>
        <w:t xml:space="preserve"> </w:t>
      </w:r>
      <w:r w:rsidRPr="00B15515">
        <w:rPr>
          <w:rFonts w:ascii="Book Antiqua" w:hAnsi="Book Antiqua"/>
          <w:i/>
          <w:iCs/>
          <w:color w:val="000000" w:themeColor="text1"/>
        </w:rPr>
        <w:t>Sección</w:t>
      </w:r>
      <w:r w:rsidRPr="00B15515">
        <w:rPr>
          <w:rFonts w:ascii="Book Antiqua" w:hAnsi="Book Antiqua"/>
          <w:color w:val="000000" w:themeColor="text1"/>
        </w:rPr>
        <w:t xml:space="preserve"> en aquellas ocasiones donde más de un individuo venga obligado a reportar la misma cuenta financiera </w:t>
      </w:r>
      <w:r w:rsidRPr="00B15515">
        <w:rPr>
          <w:rFonts w:ascii="Book Antiqua" w:hAnsi="Book Antiqua"/>
          <w:i/>
          <w:iCs/>
          <w:color w:val="000000" w:themeColor="text1"/>
        </w:rPr>
        <w:t>o en el caso de contribuyentes cuyo Interés Financiero esté descrito en los párrafos (3) y (5) del apartado (c) de esta Sección</w:t>
      </w:r>
      <w:r w:rsidRPr="00B15515">
        <w:rPr>
          <w:rFonts w:ascii="Book Antiqua" w:hAnsi="Book Antiqua"/>
          <w:color w:val="000000" w:themeColor="text1"/>
        </w:rPr>
        <w:t>.</w:t>
      </w:r>
    </w:p>
    <w:p w14:paraId="02A4BC49" w14:textId="77777777" w:rsidR="00822714" w:rsidRPr="00B15515" w:rsidRDefault="00822714" w:rsidP="00822714">
      <w:pPr>
        <w:pStyle w:val="ListParagraph"/>
        <w:numPr>
          <w:ilvl w:val="0"/>
          <w:numId w:val="38"/>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04D7F937"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6C806B67" w14:textId="77777777" w:rsidR="00822714" w:rsidRPr="00B15515" w:rsidRDefault="00822714" w:rsidP="00822714">
      <w:pPr>
        <w:pStyle w:val="Heading1"/>
        <w:rPr>
          <w:color w:val="000000" w:themeColor="text1"/>
        </w:rPr>
      </w:pPr>
      <w:r w:rsidRPr="00B15515">
        <w:rPr>
          <w:color w:val="000000" w:themeColor="text1"/>
        </w:rPr>
        <w:t>Artículo 15.— Se enmiendan los apartados (d) y (e) de la Sección 1063.05 de la Ley 1-2011, según enmendada, para que se lea como sigue:</w:t>
      </w:r>
    </w:p>
    <w:p w14:paraId="15A536A3"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1063.05. — Información por Corporaciones y Sociedades.</w:t>
      </w:r>
    </w:p>
    <w:p w14:paraId="7E2DC8E1" w14:textId="77777777" w:rsidR="00822714" w:rsidRPr="00B15515" w:rsidRDefault="00822714" w:rsidP="00822714">
      <w:pPr>
        <w:pStyle w:val="ListParagraph"/>
        <w:numPr>
          <w:ilvl w:val="0"/>
          <w:numId w:val="41"/>
        </w:numPr>
        <w:spacing w:line="480" w:lineRule="auto"/>
        <w:ind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3D804C63"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7DFF342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(d) Disolución o Liquidación. — Dentro de los treinta (30) días después de la adopción por cualquier </w:t>
      </w:r>
      <w:r w:rsidRPr="00B15515">
        <w:rPr>
          <w:rFonts w:ascii="Book Antiqua" w:hAnsi="Book Antiqua"/>
          <w:b/>
          <w:bCs/>
          <w:color w:val="000000" w:themeColor="text1"/>
        </w:rPr>
        <w:t>[corporación o sociedad]</w:t>
      </w:r>
      <w:r w:rsidRPr="00B15515">
        <w:rPr>
          <w:rFonts w:ascii="Book Antiqua" w:hAnsi="Book Antiqua"/>
          <w:color w:val="000000" w:themeColor="text1"/>
        </w:rPr>
        <w:t xml:space="preserve"> </w:t>
      </w:r>
      <w:r w:rsidRPr="00B15515">
        <w:rPr>
          <w:rFonts w:ascii="Book Antiqua" w:hAnsi="Book Antiqua"/>
          <w:i/>
          <w:iCs/>
          <w:color w:val="000000" w:themeColor="text1"/>
        </w:rPr>
        <w:t>entidad</w:t>
      </w:r>
      <w:r w:rsidRPr="00B15515">
        <w:rPr>
          <w:rFonts w:ascii="Book Antiqua" w:hAnsi="Book Antiqua"/>
          <w:color w:val="000000" w:themeColor="text1"/>
        </w:rPr>
        <w:t xml:space="preserve"> de una resolución o plan para su disolución o para la liquidación total o parcial de su capital social, dicha </w:t>
      </w:r>
      <w:r w:rsidRPr="00B15515">
        <w:rPr>
          <w:rFonts w:ascii="Book Antiqua" w:hAnsi="Book Antiqua"/>
          <w:b/>
          <w:bCs/>
          <w:color w:val="000000" w:themeColor="text1"/>
        </w:rPr>
        <w:t>[corporación o sociedad]</w:t>
      </w:r>
      <w:r w:rsidRPr="00B15515">
        <w:rPr>
          <w:rFonts w:ascii="Book Antiqua" w:hAnsi="Book Antiqua"/>
          <w:color w:val="000000" w:themeColor="text1"/>
        </w:rPr>
        <w:t xml:space="preserve"> </w:t>
      </w:r>
      <w:r w:rsidRPr="00B15515">
        <w:rPr>
          <w:rFonts w:ascii="Book Antiqua" w:hAnsi="Book Antiqua"/>
          <w:i/>
          <w:iCs/>
          <w:color w:val="000000" w:themeColor="text1"/>
        </w:rPr>
        <w:t>entidad</w:t>
      </w:r>
      <w:r w:rsidRPr="00B15515">
        <w:rPr>
          <w:rFonts w:ascii="Book Antiqua" w:hAnsi="Book Antiqua"/>
          <w:color w:val="000000" w:themeColor="text1"/>
        </w:rPr>
        <w:t xml:space="preserve"> deberá rendir una declaración correcta al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debidamente jurada, en la que consten los términos de tal resolución o plan y aquella otra información que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por reglamentos promulgue. </w:t>
      </w:r>
      <w:r w:rsidRPr="00B15515">
        <w:rPr>
          <w:rFonts w:ascii="Book Antiqua" w:hAnsi="Book Antiqua"/>
          <w:i/>
          <w:iCs/>
          <w:color w:val="000000" w:themeColor="text1"/>
        </w:rPr>
        <w:t xml:space="preserve">El </w:t>
      </w:r>
      <w:proofErr w:type="gramStart"/>
      <w:r w:rsidRPr="00B15515">
        <w:rPr>
          <w:rFonts w:ascii="Book Antiqua" w:hAnsi="Book Antiqua"/>
          <w:i/>
          <w:iCs/>
          <w:color w:val="000000" w:themeColor="text1"/>
        </w:rPr>
        <w:t>Secretario</w:t>
      </w:r>
      <w:proofErr w:type="gramEnd"/>
      <w:r w:rsidRPr="00B15515">
        <w:rPr>
          <w:rFonts w:ascii="Book Antiqua" w:hAnsi="Book Antiqua"/>
          <w:i/>
          <w:iCs/>
          <w:color w:val="000000" w:themeColor="text1"/>
        </w:rPr>
        <w:t xml:space="preserve"> podrá requerir que la declaración se radique por medios electrónicos.</w:t>
      </w:r>
      <w:r w:rsidRPr="00B15515">
        <w:rPr>
          <w:rFonts w:ascii="Book Antiqua" w:hAnsi="Book Antiqua"/>
          <w:color w:val="000000" w:themeColor="text1"/>
        </w:rPr>
        <w:t xml:space="preserve"> </w:t>
      </w:r>
      <w:r w:rsidRPr="00B15515">
        <w:rPr>
          <w:rFonts w:ascii="Book Antiqua" w:hAnsi="Book Antiqua"/>
          <w:i/>
          <w:iCs/>
          <w:color w:val="000000" w:themeColor="text1"/>
        </w:rPr>
        <w:t xml:space="preserve">En el caso de disoluciones o liquidaciones causadas por un cambio en tratamiento contributivo, según dispuesto en la Sección 1078.02, la notificación requerida por este apartado no será de </w:t>
      </w:r>
      <w:r w:rsidRPr="00B15515">
        <w:rPr>
          <w:rFonts w:ascii="Book Antiqua" w:hAnsi="Book Antiqua"/>
          <w:i/>
          <w:iCs/>
          <w:color w:val="000000" w:themeColor="text1"/>
        </w:rPr>
        <w:lastRenderedPageBreak/>
        <w:t>aplicación.  Esta información será incluida en la solicitud de cambio en tratamiento contributivo.</w:t>
      </w:r>
    </w:p>
    <w:p w14:paraId="427F9860"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color w:val="000000" w:themeColor="text1"/>
        </w:rPr>
        <w:t xml:space="preserve">(e) Distribuciones en Liquidación. — Toda </w:t>
      </w:r>
      <w:r w:rsidRPr="00B15515">
        <w:rPr>
          <w:rFonts w:ascii="Book Antiqua" w:hAnsi="Book Antiqua"/>
          <w:b/>
          <w:bCs/>
          <w:color w:val="000000" w:themeColor="text1"/>
        </w:rPr>
        <w:t>[corporación o sociedad]</w:t>
      </w:r>
      <w:r w:rsidRPr="00B15515">
        <w:rPr>
          <w:rFonts w:ascii="Book Antiqua" w:hAnsi="Book Antiqua"/>
          <w:color w:val="000000" w:themeColor="text1"/>
        </w:rPr>
        <w:t xml:space="preserve"> </w:t>
      </w:r>
      <w:r w:rsidRPr="00B15515">
        <w:rPr>
          <w:rFonts w:ascii="Book Antiqua" w:hAnsi="Book Antiqua"/>
          <w:i/>
          <w:iCs/>
          <w:color w:val="000000" w:themeColor="text1"/>
        </w:rPr>
        <w:t>entidad</w:t>
      </w:r>
      <w:r w:rsidRPr="00B15515">
        <w:rPr>
          <w:rFonts w:ascii="Book Antiqua" w:hAnsi="Book Antiqua"/>
          <w:color w:val="000000" w:themeColor="text1"/>
        </w:rPr>
        <w:t xml:space="preserve"> deberá rendir, en o antes del veintiocho (28) de febrero del año siguiente, o en aquella otra fecha que establezca el Secretario mediante reglamento, una declaración debidamente jurada de sus distribuciones en liquidación, expresando el nombre, dirección y número de cuenta de cada accionista</w:t>
      </w:r>
      <w:r w:rsidRPr="00B15515">
        <w:rPr>
          <w:rFonts w:ascii="Book Antiqua" w:hAnsi="Book Antiqua"/>
          <w:i/>
          <w:iCs/>
          <w:color w:val="000000" w:themeColor="text1"/>
        </w:rPr>
        <w:t>, miembro</w:t>
      </w:r>
      <w:r w:rsidRPr="00B15515">
        <w:rPr>
          <w:rFonts w:ascii="Book Antiqua" w:hAnsi="Book Antiqua"/>
          <w:color w:val="000000" w:themeColor="text1"/>
        </w:rPr>
        <w:t xml:space="preserve"> o socio, el número y clase de acciones que posea o su participación en los beneficios y el monto que se le haya pagado o, si la distribución fuere en propiedad que no sea dinero, el justo valor en el mercado a la fecha de la distribución de la propiedad distribuida a dicho accionista o socio. </w:t>
      </w:r>
      <w:r w:rsidRPr="00B15515">
        <w:rPr>
          <w:rFonts w:ascii="Book Antiqua" w:hAnsi="Book Antiqua"/>
          <w:i/>
          <w:iCs/>
          <w:color w:val="000000" w:themeColor="text1"/>
        </w:rPr>
        <w:t>En el caso de disoluciones o liquidaciones causadas por un cambio en tratamiento contributivo, según dispuesto en la Sección 1078.02, la declaración deberá ser rendida no más tarde del treinta (30) de noviembre del año siguiente al año contributivo en que la elección será efectiva.</w:t>
      </w:r>
    </w:p>
    <w:p w14:paraId="34057251"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(f) …”</w:t>
      </w:r>
    </w:p>
    <w:p w14:paraId="4FFF664A" w14:textId="77777777" w:rsidR="00822714" w:rsidRPr="00B15515" w:rsidRDefault="00822714" w:rsidP="00822714">
      <w:pPr>
        <w:pStyle w:val="Heading1"/>
        <w:rPr>
          <w:color w:val="000000" w:themeColor="text1"/>
        </w:rPr>
      </w:pPr>
      <w:r w:rsidRPr="00B15515">
        <w:rPr>
          <w:color w:val="000000" w:themeColor="text1"/>
        </w:rPr>
        <w:t>Artículo 16.— Se enmiendan los apartados (a) y (c) de la Sección 1063.15 de la Ley 1-2011, según enmendada, para que se lea como sigue:</w:t>
      </w:r>
    </w:p>
    <w:p w14:paraId="14040F0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i/>
          <w:color w:val="000000" w:themeColor="text1"/>
        </w:rPr>
        <w:t>“</w:t>
      </w:r>
      <w:r w:rsidRPr="00B15515">
        <w:rPr>
          <w:rFonts w:ascii="Book Antiqua" w:hAnsi="Book Antiqua"/>
          <w:color w:val="000000" w:themeColor="text1"/>
        </w:rPr>
        <w:t>Sección 1063.15. — Declaración Informativa sobre Transacciones Efectuadas por Medios Electrónicos.</w:t>
      </w:r>
    </w:p>
    <w:p w14:paraId="7AC274A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(a) Para transacciones, efectuadas a partir del 1 de enero de 2019, toda entidad dedicada al negocio de procesamiento de pagos por medios electrónicos </w:t>
      </w:r>
      <w:r w:rsidRPr="00B15515">
        <w:rPr>
          <w:rFonts w:ascii="Book Antiqua" w:hAnsi="Book Antiqua"/>
          <w:i/>
          <w:color w:val="000000" w:themeColor="text1"/>
        </w:rPr>
        <w:t>o que</w:t>
      </w:r>
      <w:r w:rsidRPr="00B15515">
        <w:rPr>
          <w:rFonts w:ascii="Book Antiqua" w:hAnsi="Book Antiqua"/>
          <w:color w:val="000000" w:themeColor="text1"/>
        </w:rPr>
        <w:t xml:space="preserve"> </w:t>
      </w:r>
      <w:r w:rsidRPr="00B15515">
        <w:rPr>
          <w:rFonts w:ascii="Book Antiqua" w:hAnsi="Book Antiqua"/>
          <w:i/>
          <w:color w:val="000000" w:themeColor="text1"/>
        </w:rPr>
        <w:t xml:space="preserve">mediante su plataforma provean las opciones para realizar cobros para beneficio de los </w:t>
      </w:r>
      <w:r w:rsidRPr="00B15515">
        <w:rPr>
          <w:rFonts w:ascii="Book Antiqua" w:hAnsi="Book Antiqua"/>
          <w:i/>
          <w:color w:val="000000" w:themeColor="text1"/>
        </w:rPr>
        <w:lastRenderedPageBreak/>
        <w:t>comerciantes que utilizan la misma</w:t>
      </w:r>
      <w:r w:rsidRPr="00B15515">
        <w:rPr>
          <w:rFonts w:ascii="Book Antiqua" w:hAnsi="Book Antiqua"/>
          <w:color w:val="000000" w:themeColor="text1"/>
        </w:rPr>
        <w:t>, incluyendo procesamiento de pagos con tarjetas de crédito o débito o pagos a través de una red (</w:t>
      </w:r>
      <w:proofErr w:type="spellStart"/>
      <w:r w:rsidRPr="00B15515">
        <w:rPr>
          <w:rFonts w:ascii="Book Antiqua" w:hAnsi="Book Antiqua"/>
          <w:color w:val="000000" w:themeColor="text1"/>
        </w:rPr>
        <w:t>network</w:t>
      </w:r>
      <w:proofErr w:type="spellEnd"/>
      <w:r w:rsidRPr="00B15515">
        <w:rPr>
          <w:rFonts w:ascii="Book Antiqua" w:hAnsi="Book Antiqua"/>
          <w:color w:val="000000" w:themeColor="text1"/>
        </w:rPr>
        <w:t xml:space="preserve">) </w:t>
      </w:r>
      <w:r w:rsidRPr="00B15515">
        <w:rPr>
          <w:rFonts w:ascii="Book Antiqua" w:hAnsi="Book Antiqua"/>
          <w:i/>
          <w:color w:val="000000" w:themeColor="text1"/>
        </w:rPr>
        <w:t xml:space="preserve">o pagos por actividad dentro de alguna red o medio </w:t>
      </w:r>
      <w:r w:rsidRPr="00B15515">
        <w:rPr>
          <w:rFonts w:ascii="Book Antiqua" w:hAnsi="Book Antiqua"/>
          <w:color w:val="000000" w:themeColor="text1"/>
        </w:rPr>
        <w:t>vendrá obligada a informar, anualmente, el monto total de los pagos procesados y acreditados al comerciante participante de los servicios de procesamiento de pagos con tarjeta o pagos a través de una red de comunicación.</w:t>
      </w:r>
    </w:p>
    <w:p w14:paraId="11034D4C"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(b)  Definiciones. — Para propósitos de esta Sección;</w:t>
      </w:r>
    </w:p>
    <w:p w14:paraId="46B9097E" w14:textId="77777777" w:rsidR="00822714" w:rsidRPr="00B15515" w:rsidRDefault="00822714" w:rsidP="00822714">
      <w:pPr>
        <w:pStyle w:val="ListParagraph"/>
        <w:numPr>
          <w:ilvl w:val="0"/>
          <w:numId w:val="33"/>
        </w:numPr>
        <w:spacing w:line="480" w:lineRule="auto"/>
        <w:ind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43ADF90B"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043805C6" w14:textId="77777777" w:rsidR="00822714" w:rsidRPr="00B15515" w:rsidRDefault="00822714" w:rsidP="00822714">
      <w:pPr>
        <w:spacing w:line="480" w:lineRule="auto"/>
        <w:ind w:left="720"/>
        <w:jc w:val="both"/>
        <w:rPr>
          <w:rFonts w:ascii="Book Antiqua" w:hAnsi="Book Antiqua"/>
          <w:i/>
          <w:color w:val="000000" w:themeColor="text1"/>
        </w:rPr>
      </w:pPr>
      <w:r w:rsidRPr="00B15515">
        <w:rPr>
          <w:rFonts w:ascii="Book Antiqua" w:hAnsi="Book Antiqua"/>
          <w:color w:val="000000" w:themeColor="text1"/>
        </w:rPr>
        <w:t>(4) El término “comerciante participante”</w:t>
      </w:r>
      <w:r w:rsidRPr="00B15515">
        <w:rPr>
          <w:rFonts w:ascii="Book Antiqua" w:hAnsi="Book Antiqua"/>
          <w:i/>
          <w:color w:val="000000" w:themeColor="text1"/>
        </w:rPr>
        <w:t>,</w:t>
      </w:r>
      <w:r w:rsidRPr="00B15515">
        <w:rPr>
          <w:rFonts w:ascii="Book Antiqua" w:hAnsi="Book Antiqua"/>
          <w:color w:val="000000" w:themeColor="text1"/>
        </w:rPr>
        <w:t xml:space="preserve"> se refiere </w:t>
      </w:r>
      <w:r w:rsidRPr="00B15515">
        <w:rPr>
          <w:rFonts w:ascii="Book Antiqua" w:hAnsi="Book Antiqua"/>
          <w:b/>
          <w:bCs/>
          <w:color w:val="000000" w:themeColor="text1"/>
        </w:rPr>
        <w:t>[al]</w:t>
      </w:r>
      <w:r w:rsidRPr="00B15515">
        <w:rPr>
          <w:rFonts w:ascii="Book Antiqua" w:hAnsi="Book Antiqua"/>
          <w:i/>
          <w:iCs/>
          <w:color w:val="000000" w:themeColor="text1"/>
        </w:rPr>
        <w:t>a toda persona dedicada a industria o negocio y que se considera un</w:t>
      </w:r>
      <w:r w:rsidRPr="00B15515">
        <w:rPr>
          <w:rFonts w:ascii="Book Antiqua" w:hAnsi="Book Antiqua"/>
          <w:color w:val="000000" w:themeColor="text1"/>
        </w:rPr>
        <w:t xml:space="preserve"> </w:t>
      </w:r>
      <w:r w:rsidRPr="00B15515">
        <w:rPr>
          <w:rFonts w:ascii="Book Antiqua" w:hAnsi="Book Antiqua"/>
          <w:i/>
          <w:iCs/>
          <w:color w:val="000000" w:themeColor="text1"/>
        </w:rPr>
        <w:t>“</w:t>
      </w:r>
      <w:r w:rsidRPr="00B15515">
        <w:rPr>
          <w:rFonts w:ascii="Book Antiqua" w:hAnsi="Book Antiqua"/>
          <w:color w:val="000000" w:themeColor="text1"/>
        </w:rPr>
        <w:t>comerciante</w:t>
      </w:r>
      <w:r w:rsidRPr="00B15515">
        <w:rPr>
          <w:rFonts w:ascii="Book Antiqua" w:hAnsi="Book Antiqua"/>
          <w:i/>
          <w:iCs/>
          <w:color w:val="000000" w:themeColor="text1"/>
        </w:rPr>
        <w:t>”, según dicho término se define bajo la Sección 4010.01(h) de este Código,</w:t>
      </w:r>
      <w:r w:rsidRPr="00B15515">
        <w:rPr>
          <w:rFonts w:ascii="Book Antiqua" w:hAnsi="Book Antiqua"/>
          <w:color w:val="000000" w:themeColor="text1"/>
        </w:rPr>
        <w:t xml:space="preserve"> que acepta pagos a través de tarjetas de débito o crédito o que acepta pagos a través de otra entidad que los procesa a través del </w:t>
      </w:r>
      <w:r w:rsidRPr="00B15515">
        <w:rPr>
          <w:rFonts w:ascii="Book Antiqua" w:hAnsi="Book Antiqua"/>
          <w:b/>
          <w:bCs/>
          <w:color w:val="000000" w:themeColor="text1"/>
        </w:rPr>
        <w:t>[internet]</w:t>
      </w:r>
      <w:r w:rsidRPr="00B15515">
        <w:rPr>
          <w:rFonts w:ascii="Book Antiqua" w:hAnsi="Book Antiqua"/>
          <w:color w:val="000000" w:themeColor="text1"/>
        </w:rPr>
        <w:t xml:space="preserve"> </w:t>
      </w:r>
      <w:r w:rsidRPr="00B15515">
        <w:rPr>
          <w:rFonts w:ascii="Book Antiqua" w:hAnsi="Book Antiqua"/>
          <w:i/>
          <w:color w:val="000000" w:themeColor="text1"/>
        </w:rPr>
        <w:t>Internet, aplicación electrónica móvil</w:t>
      </w:r>
      <w:r w:rsidRPr="00B15515">
        <w:rPr>
          <w:rFonts w:ascii="Book Antiqua" w:hAnsi="Book Antiqua"/>
          <w:color w:val="000000" w:themeColor="text1"/>
        </w:rPr>
        <w:t xml:space="preserve"> o de una red de comunicación. </w:t>
      </w:r>
      <w:r w:rsidRPr="00B15515">
        <w:rPr>
          <w:rFonts w:ascii="Book Antiqua" w:hAnsi="Book Antiqua"/>
          <w:i/>
          <w:color w:val="000000" w:themeColor="text1"/>
        </w:rPr>
        <w:t>Dicho término incluye</w:t>
      </w:r>
      <w:r w:rsidRPr="00B15515">
        <w:rPr>
          <w:rFonts w:ascii="Book Antiqua" w:hAnsi="Book Antiqua"/>
          <w:color w:val="000000" w:themeColor="text1"/>
        </w:rPr>
        <w:t xml:space="preserve"> </w:t>
      </w:r>
      <w:r w:rsidRPr="00B15515">
        <w:rPr>
          <w:rFonts w:ascii="Book Antiqua" w:hAnsi="Book Antiqua"/>
          <w:i/>
          <w:color w:val="000000" w:themeColor="text1"/>
        </w:rPr>
        <w:t>cualquier tipo de actividad comercial, incluyendo, pero sin limitarse a, la venta de bienes, servicios, arrendamiento, o cualquier otra actividad comercial.</w:t>
      </w:r>
    </w:p>
    <w:p w14:paraId="74422A2F" w14:textId="77777777" w:rsidR="00822714" w:rsidRPr="00B15515" w:rsidRDefault="00822714" w:rsidP="00822714">
      <w:pPr>
        <w:pStyle w:val="ListParagraph"/>
        <w:spacing w:line="480" w:lineRule="auto"/>
        <w:contextualSpacing w:val="0"/>
        <w:jc w:val="both"/>
        <w:rPr>
          <w:rFonts w:ascii="Book Antiqua" w:hAnsi="Book Antiqua"/>
          <w:i/>
          <w:iCs/>
          <w:color w:val="000000" w:themeColor="text1"/>
        </w:rPr>
      </w:pPr>
      <w:r w:rsidRPr="00B15515">
        <w:rPr>
          <w:rFonts w:ascii="Book Antiqua" w:hAnsi="Book Antiqua"/>
          <w:i/>
          <w:iCs/>
          <w:color w:val="000000" w:themeColor="text1"/>
        </w:rPr>
        <w:t xml:space="preserve">(5) El término “pagos por actividad dentro de alguna red o medio”, se refiere a transacciones procesadas, pagadas o realizadas a beneficio de algún comerciante participante por actividad realizada en algún portal, página electrónica, red social, plataforma para producir, generar y/o transmitir contenido por cualquier medio, o cualquier otra actividad de naturaleza similar, que genere ingresos, de cualquier tipo, y de </w:t>
      </w:r>
      <w:r w:rsidRPr="00B15515">
        <w:rPr>
          <w:rFonts w:ascii="Book Antiqua" w:hAnsi="Book Antiqua"/>
          <w:i/>
          <w:iCs/>
          <w:color w:val="000000" w:themeColor="text1"/>
        </w:rPr>
        <w:lastRenderedPageBreak/>
        <w:t>los cuales dichos ingresos sean pagados por un banco o entidad procesadora de pagos a dicho comerciante participante.</w:t>
      </w:r>
    </w:p>
    <w:p w14:paraId="29594230"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color w:val="000000" w:themeColor="text1"/>
        </w:rPr>
        <w:t>(c) …</w:t>
      </w:r>
    </w:p>
    <w:p w14:paraId="604D01AE"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i/>
          <w:iCs/>
          <w:color w:val="000000" w:themeColor="text1"/>
        </w:rPr>
        <w:t>(d) Requisito de reportar los cargos de procesamiento cobrados por la entidad procesadora de pagos.  Será requerido informar los costos o cargos de procesamiento en la Declaración Informativa requerida bajo el apartado (a) de esta sección.</w:t>
      </w:r>
      <w:r w:rsidRPr="00B15515">
        <w:rPr>
          <w:rFonts w:ascii="Book Antiqua" w:hAnsi="Book Antiqua"/>
          <w:color w:val="000000" w:themeColor="text1"/>
        </w:rPr>
        <w:t>”</w:t>
      </w:r>
    </w:p>
    <w:p w14:paraId="05464CAD" w14:textId="77777777" w:rsidR="00822714" w:rsidRPr="00B15515" w:rsidRDefault="00822714" w:rsidP="00822714">
      <w:pPr>
        <w:pStyle w:val="Heading1"/>
        <w:rPr>
          <w:color w:val="000000" w:themeColor="text1"/>
        </w:rPr>
      </w:pPr>
      <w:r w:rsidRPr="00B15515">
        <w:rPr>
          <w:color w:val="000000" w:themeColor="text1"/>
        </w:rPr>
        <w:t>Artículo 17.- Se enmienda la Sección 1063.16 de la Ley 1-2011, según enmendada, para que se lea como sigue:</w:t>
      </w:r>
    </w:p>
    <w:p w14:paraId="74F841DD"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1063.16. — Declaración Informativa sobre Anuncios, Primas de Seguro, Servicios de Telecomunicaciones, Acceso a Internet</w:t>
      </w:r>
      <w:r w:rsidRPr="00B15515">
        <w:rPr>
          <w:rFonts w:ascii="Book Antiqua" w:hAnsi="Book Antiqua"/>
          <w:i/>
          <w:iCs/>
          <w:color w:val="000000" w:themeColor="text1"/>
        </w:rPr>
        <w:t>, Cargos Bancarios</w:t>
      </w:r>
      <w:r w:rsidRPr="00B15515">
        <w:rPr>
          <w:rFonts w:ascii="Book Antiqua" w:hAnsi="Book Antiqua"/>
          <w:color w:val="000000" w:themeColor="text1"/>
        </w:rPr>
        <w:t xml:space="preserve"> y Televisión por Cable o Satélite. </w:t>
      </w:r>
    </w:p>
    <w:p w14:paraId="7303C440"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color w:val="000000" w:themeColor="text1"/>
        </w:rPr>
        <w:t>(a) Para pagos recibidos luego del 31 de diciembre de 2019, toda entidad dedicada a proveer servicios de telecomunicaciones, según dicho término se define en el apartado (</w:t>
      </w:r>
      <w:proofErr w:type="spellStart"/>
      <w:r w:rsidRPr="00B15515">
        <w:rPr>
          <w:rFonts w:ascii="Book Antiqua" w:hAnsi="Book Antiqua"/>
          <w:color w:val="000000" w:themeColor="text1"/>
        </w:rPr>
        <w:t>kk</w:t>
      </w:r>
      <w:proofErr w:type="spellEnd"/>
      <w:r w:rsidRPr="00B15515">
        <w:rPr>
          <w:rFonts w:ascii="Book Antiqua" w:hAnsi="Book Antiqua"/>
          <w:color w:val="000000" w:themeColor="text1"/>
        </w:rPr>
        <w:t>) de la Sección 4010.01, sin tomar en consideración las exclusiones descritas en los incisos (A), (B), (C), (E), (F), (H), (I), (J) y (K) del párrafo (2) de dicho apartado (</w:t>
      </w:r>
      <w:proofErr w:type="spellStart"/>
      <w:r w:rsidRPr="00B15515">
        <w:rPr>
          <w:rFonts w:ascii="Book Antiqua" w:hAnsi="Book Antiqua"/>
          <w:color w:val="000000" w:themeColor="text1"/>
        </w:rPr>
        <w:t>kk</w:t>
      </w:r>
      <w:proofErr w:type="spellEnd"/>
      <w:r w:rsidRPr="00B15515">
        <w:rPr>
          <w:rFonts w:ascii="Book Antiqua" w:hAnsi="Book Antiqua"/>
          <w:color w:val="000000" w:themeColor="text1"/>
        </w:rPr>
        <w:t>), servicios de acceso a Internet o servicios de televisión por cable o satélite en Puerto Rico, o cualquier combinación de éstos, o que reciba pagos por anuncios o primas de seguro vendrá obligada a rendir una declaración informativa anual, según se dispone en los apartados (b) y (c) de esta sección a todo cliente comercial</w:t>
      </w:r>
      <w:r w:rsidRPr="00B15515">
        <w:rPr>
          <w:rFonts w:ascii="Book Antiqua" w:hAnsi="Book Antiqua"/>
          <w:i/>
          <w:iCs/>
          <w:color w:val="000000" w:themeColor="text1"/>
        </w:rPr>
        <w:t xml:space="preserve"> dedicado a industria o negocio en Puerto Rico</w:t>
      </w:r>
      <w:r w:rsidRPr="00B15515">
        <w:rPr>
          <w:rFonts w:ascii="Book Antiqua" w:hAnsi="Book Antiqua"/>
          <w:color w:val="000000" w:themeColor="text1"/>
        </w:rPr>
        <w:t>. En el caso de servicios combinados (conocidos en inglés como “</w:t>
      </w:r>
      <w:proofErr w:type="spellStart"/>
      <w:r w:rsidRPr="00B15515">
        <w:rPr>
          <w:rFonts w:ascii="Book Antiqua" w:hAnsi="Book Antiqua"/>
          <w:color w:val="000000" w:themeColor="text1"/>
        </w:rPr>
        <w:t>bundles</w:t>
      </w:r>
      <w:proofErr w:type="spellEnd"/>
      <w:r w:rsidRPr="00B15515">
        <w:rPr>
          <w:rFonts w:ascii="Book Antiqua" w:hAnsi="Book Antiqua"/>
          <w:color w:val="000000" w:themeColor="text1"/>
        </w:rPr>
        <w:t xml:space="preserve">”) o en aquellos casos en que los sistemas de la entidad no puedan segregar o asignar los pagos realizados por los </w:t>
      </w:r>
      <w:r w:rsidRPr="00B15515">
        <w:rPr>
          <w:rFonts w:ascii="Book Antiqua" w:hAnsi="Book Antiqua"/>
          <w:color w:val="000000" w:themeColor="text1"/>
        </w:rPr>
        <w:lastRenderedPageBreak/>
        <w:t xml:space="preserve">clientes a los servicios prestados, la entidad informará en dicha declaración informativa anual la totalidad de los pagos recibidos por el cliente bajo un renglón titulado “Servicios Combinados”. El original de dicha declaración deberá ser suministrado al pagador, en o antes del 28 de febrero siguiente al año natural para el cual la copia de la declaración ha de ser radicada ante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w:t>
      </w:r>
      <w:r w:rsidRPr="00B15515">
        <w:rPr>
          <w:rFonts w:ascii="Book Antiqua" w:hAnsi="Book Antiqua"/>
          <w:i/>
          <w:iCs/>
          <w:color w:val="000000" w:themeColor="text1"/>
        </w:rPr>
        <w:t>En el caso entidades dedicadas a la prestación de servicios financieros incluyendo pero sin limitarse a instituciones financieras, manejadores de fondos, administradores de planes de retiro y casas de corretaje, entre otros, que, luego del 31 de diciembre de 2024 reciban pagos por concepto de cargos bancarios o procesamiento de pagos, procesamiento de nóminas o cualquier cargo relacionado a servicios financieros de otro comerciante, vendrá obligada a rendir una declaración informativa anual, según se dispone en los apartados (b) y (c) de esta sección a todo cliente comercial, incluyendo personas naturales y jurídicas.</w:t>
      </w:r>
    </w:p>
    <w:p w14:paraId="728CCCF3"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roofErr w:type="gramStart"/>
      <w:r w:rsidRPr="00B15515">
        <w:rPr>
          <w:rFonts w:ascii="Book Antiqua" w:hAnsi="Book Antiqua"/>
          <w:color w:val="000000" w:themeColor="text1"/>
        </w:rPr>
        <w:t>1)…</w:t>
      </w:r>
      <w:proofErr w:type="gramEnd"/>
    </w:p>
    <w:p w14:paraId="1E9F704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65A414B5"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(b) Declaración Informativa sobre Servicios de Telecomunicaciones, Acceso a Internet, Televisión por Cable o Satélite, anuncios</w:t>
      </w:r>
      <w:r w:rsidRPr="00B15515">
        <w:rPr>
          <w:rFonts w:ascii="Book Antiqua" w:hAnsi="Book Antiqua"/>
          <w:i/>
          <w:iCs/>
          <w:color w:val="000000" w:themeColor="text1"/>
        </w:rPr>
        <w:t>, cargos bancarios</w:t>
      </w:r>
      <w:r w:rsidRPr="00B15515">
        <w:rPr>
          <w:rFonts w:ascii="Book Antiqua" w:hAnsi="Book Antiqua"/>
          <w:color w:val="000000" w:themeColor="text1"/>
        </w:rPr>
        <w:t xml:space="preserve"> o primas de seguro. A los fines de esta Sección, la declaración informativa se preparará y rendirá ajustándose a la forma que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prescriba y contendrá, sin limitar, la siguiente información:</w:t>
      </w:r>
    </w:p>
    <w:p w14:paraId="62BB62A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roofErr w:type="gramStart"/>
      <w:r w:rsidRPr="00B15515">
        <w:rPr>
          <w:rFonts w:ascii="Book Antiqua" w:hAnsi="Book Antiqua"/>
          <w:color w:val="000000" w:themeColor="text1"/>
        </w:rPr>
        <w:t>1)…</w:t>
      </w:r>
      <w:proofErr w:type="gramEnd"/>
    </w:p>
    <w:p w14:paraId="49C5A1E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3DDFE119"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(c) …”</w:t>
      </w:r>
    </w:p>
    <w:p w14:paraId="50CB43F0" w14:textId="77777777" w:rsidR="00822714" w:rsidRPr="00B15515" w:rsidRDefault="00822714" w:rsidP="00822714">
      <w:pPr>
        <w:pStyle w:val="Heading1"/>
        <w:rPr>
          <w:color w:val="000000" w:themeColor="text1"/>
        </w:rPr>
      </w:pPr>
      <w:r w:rsidRPr="00B15515">
        <w:rPr>
          <w:color w:val="000000" w:themeColor="text1"/>
        </w:rPr>
        <w:lastRenderedPageBreak/>
        <w:t xml:space="preserve">Artículo 18.— Se añade un apartado (e) a la sección </w:t>
      </w:r>
      <w:proofErr w:type="gramStart"/>
      <w:r w:rsidRPr="00B15515">
        <w:rPr>
          <w:color w:val="000000" w:themeColor="text1"/>
        </w:rPr>
        <w:t>1078.02  de</w:t>
      </w:r>
      <w:proofErr w:type="gramEnd"/>
      <w:r w:rsidRPr="00B15515">
        <w:rPr>
          <w:color w:val="000000" w:themeColor="text1"/>
        </w:rPr>
        <w:t xml:space="preserve"> la Sección 1101.01 de la Ley 1-2011, según enmendada, para que lea como sigue:</w:t>
      </w:r>
    </w:p>
    <w:p w14:paraId="20FA2F7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“Sección 1078.02. – Efectos Contributivos relacionados a los Cambios en Tributación. </w:t>
      </w:r>
    </w:p>
    <w:p w14:paraId="38FAF96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 …</w:t>
      </w:r>
    </w:p>
    <w:p w14:paraId="0F3F188D"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029D7FD1" w14:textId="77777777" w:rsidR="00822714" w:rsidRPr="00B15515" w:rsidRDefault="00822714" w:rsidP="00822714">
      <w:pPr>
        <w:pStyle w:val="ListParagraph"/>
        <w:numPr>
          <w:ilvl w:val="0"/>
          <w:numId w:val="38"/>
        </w:numPr>
        <w:spacing w:line="480" w:lineRule="auto"/>
        <w:jc w:val="both"/>
        <w:rPr>
          <w:rFonts w:ascii="Book Antiqua" w:hAnsi="Book Antiqua"/>
          <w:color w:val="000000" w:themeColor="text1"/>
        </w:rPr>
      </w:pPr>
      <w:r w:rsidRPr="00B15515">
        <w:rPr>
          <w:rFonts w:ascii="Book Antiqua" w:hAnsi="Book Antiqua"/>
          <w:i/>
          <w:iCs/>
          <w:color w:val="000000" w:themeColor="text1"/>
        </w:rPr>
        <w:t xml:space="preserve">Si como resultado de la conversión por causa de una elección de cambio de tributación bajo los apartados (a), (b) o (c) de esta sección la entidad tiene obligación de pagar alguna contribución, ya sea por la ganancia realizada en la liquidación o por la contribución sobre las utilidades y beneficios acumulados a la fecha de la elección, dicho pago deberá ser efectuado junto con la solicitud de cambio de elección y en la fecha que establece la sección 1010.01(a)(3) de este Código para ejercer la elección. El </w:t>
      </w:r>
      <w:proofErr w:type="gramStart"/>
      <w:r w:rsidRPr="00B15515">
        <w:rPr>
          <w:rFonts w:ascii="Book Antiqua" w:hAnsi="Book Antiqua"/>
          <w:i/>
          <w:iCs/>
          <w:color w:val="000000" w:themeColor="text1"/>
        </w:rPr>
        <w:t>Secretario</w:t>
      </w:r>
      <w:proofErr w:type="gramEnd"/>
      <w:r w:rsidRPr="00B15515">
        <w:rPr>
          <w:rFonts w:ascii="Book Antiqua" w:hAnsi="Book Antiqua"/>
          <w:i/>
          <w:iCs/>
          <w:color w:val="000000" w:themeColor="text1"/>
        </w:rPr>
        <w:t xml:space="preserve"> podrá exigir que el pago se realice por medios electrónicos, siempre y cuando la fecha límite para el pago sea la misma fecha límite para ejercer la elección de cambio de tributación.</w:t>
      </w:r>
      <w:r w:rsidRPr="00B15515">
        <w:rPr>
          <w:rFonts w:ascii="Book Antiqua" w:hAnsi="Book Antiqua"/>
          <w:color w:val="000000" w:themeColor="text1"/>
        </w:rPr>
        <w:t>”</w:t>
      </w:r>
    </w:p>
    <w:p w14:paraId="6F3D16F1"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Artículo 19.— Se enmiendan los apartados (ll) y (</w:t>
      </w:r>
      <w:proofErr w:type="spellStart"/>
      <w:r w:rsidRPr="00B15515">
        <w:rPr>
          <w:rFonts w:ascii="Book Antiqua" w:hAnsi="Book Antiqua"/>
          <w:color w:val="000000" w:themeColor="text1"/>
        </w:rPr>
        <w:t>nn</w:t>
      </w:r>
      <w:proofErr w:type="spellEnd"/>
      <w:r w:rsidRPr="00B15515">
        <w:rPr>
          <w:rFonts w:ascii="Book Antiqua" w:hAnsi="Book Antiqua"/>
          <w:color w:val="000000" w:themeColor="text1"/>
        </w:rPr>
        <w:t>) de la Sección 4010.01 de la Ley 1-2011, según enmendada, para que se lea como sigue:</w:t>
      </w:r>
    </w:p>
    <w:p w14:paraId="15A6073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“Sección 4010.01. — Definiciones Generales. </w:t>
      </w:r>
    </w:p>
    <w:p w14:paraId="1D70073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Para fines de este Subtítulo, los siguientes términos, palabras y frases tendrán el significado general que a continuación se expresa, excepto cuando el contexto claramente indique otro significado.</w:t>
      </w:r>
    </w:p>
    <w:p w14:paraId="6DD1F6A9"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color w:val="000000" w:themeColor="text1"/>
        </w:rPr>
        <w:t>(a) . . .</w:t>
      </w:r>
    </w:p>
    <w:p w14:paraId="2AF0B33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lastRenderedPageBreak/>
        <w:t>…</w:t>
      </w:r>
    </w:p>
    <w:p w14:paraId="6F19497B"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(ll) Servicios Profesionales Designados. — …</w:t>
      </w:r>
    </w:p>
    <w:p w14:paraId="3824EC78" w14:textId="77777777" w:rsidR="00822714" w:rsidRPr="00B15515" w:rsidRDefault="00822714" w:rsidP="00822714">
      <w:pPr>
        <w:pStyle w:val="ListParagraph"/>
        <w:numPr>
          <w:ilvl w:val="0"/>
          <w:numId w:val="29"/>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7B9089F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7308ADED"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(12) …</w:t>
      </w:r>
    </w:p>
    <w:p w14:paraId="2F05531C"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(A) los servicios profesionales designados prestados por personas cuyo volumen de negocios anual no exceda de cincuenta mil (50,000) dólares. Cuando una persona pertenezca a un grupo controlado, según definido en la Sección 1010.04, el volumen de negocios de dicha persona se determinará considerando el volumen de negocios de todos los </w:t>
      </w:r>
      <w:r w:rsidRPr="00B15515">
        <w:rPr>
          <w:rFonts w:ascii="Book Antiqua" w:hAnsi="Book Antiqua"/>
          <w:b/>
          <w:bCs/>
          <w:color w:val="000000" w:themeColor="text1"/>
        </w:rPr>
        <w:t>[miembros]</w:t>
      </w:r>
      <w:r w:rsidRPr="00B15515">
        <w:rPr>
          <w:rFonts w:ascii="Book Antiqua" w:hAnsi="Book Antiqua"/>
          <w:color w:val="000000" w:themeColor="text1"/>
        </w:rPr>
        <w:t xml:space="preserve"> </w:t>
      </w:r>
      <w:r w:rsidRPr="00B15515">
        <w:rPr>
          <w:rFonts w:ascii="Book Antiqua" w:hAnsi="Book Antiqua"/>
          <w:i/>
          <w:iCs/>
          <w:color w:val="000000" w:themeColor="text1"/>
        </w:rPr>
        <w:t>integrantes</w:t>
      </w:r>
      <w:r w:rsidRPr="00B15515">
        <w:rPr>
          <w:rFonts w:ascii="Book Antiqua" w:hAnsi="Book Antiqua"/>
          <w:color w:val="000000" w:themeColor="text1"/>
        </w:rPr>
        <w:t xml:space="preserve"> del grupo controlado. Para propósitos de este inciso una sociedad, sociedad especial y corporación de individuos será considerada como una corporación bajo la Sección 1010.04 para determinar si es </w:t>
      </w:r>
      <w:r w:rsidRPr="00B15515">
        <w:rPr>
          <w:rFonts w:ascii="Book Antiqua" w:hAnsi="Book Antiqua"/>
          <w:b/>
          <w:bCs/>
          <w:color w:val="000000" w:themeColor="text1"/>
        </w:rPr>
        <w:t>[miembro]</w:t>
      </w:r>
      <w:r w:rsidRPr="00B15515">
        <w:rPr>
          <w:rFonts w:ascii="Book Antiqua" w:hAnsi="Book Antiqua"/>
          <w:color w:val="000000" w:themeColor="text1"/>
        </w:rPr>
        <w:t xml:space="preserve"> </w:t>
      </w:r>
      <w:r w:rsidRPr="00B15515">
        <w:rPr>
          <w:rFonts w:ascii="Book Antiqua" w:hAnsi="Book Antiqua"/>
          <w:i/>
          <w:iCs/>
          <w:color w:val="000000" w:themeColor="text1"/>
        </w:rPr>
        <w:t>integrante</w:t>
      </w:r>
      <w:r w:rsidRPr="00B15515">
        <w:rPr>
          <w:rFonts w:ascii="Book Antiqua" w:hAnsi="Book Antiqua"/>
          <w:color w:val="000000" w:themeColor="text1"/>
        </w:rPr>
        <w:t xml:space="preserve"> del grupo controlado. En el caso de una persona que sea un individuo, el volumen de negocios se determinará considerando el volumen de negocio de todas sus actividades de industria o negocios o para la producción de ingresos.</w:t>
      </w:r>
    </w:p>
    <w:p w14:paraId="7A52364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(i) …</w:t>
      </w:r>
    </w:p>
    <w:p w14:paraId="3EFA461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roofErr w:type="spellStart"/>
      <w:r w:rsidRPr="00B15515">
        <w:rPr>
          <w:rFonts w:ascii="Book Antiqua" w:hAnsi="Book Antiqua"/>
          <w:color w:val="000000" w:themeColor="text1"/>
        </w:rPr>
        <w:t>ii</w:t>
      </w:r>
      <w:proofErr w:type="spellEnd"/>
      <w:r w:rsidRPr="00B15515">
        <w:rPr>
          <w:rFonts w:ascii="Book Antiqua" w:hAnsi="Book Antiqua"/>
          <w:color w:val="000000" w:themeColor="text1"/>
        </w:rPr>
        <w:t xml:space="preserve">) Para determinar si el volumen de negocio del profesional de servicios designados no excede de la cantidad establecida en la </w:t>
      </w:r>
      <w:r w:rsidRPr="00B15515">
        <w:rPr>
          <w:rFonts w:ascii="Book Antiqua" w:hAnsi="Book Antiqua"/>
          <w:b/>
          <w:bCs/>
          <w:color w:val="000000" w:themeColor="text1"/>
        </w:rPr>
        <w:t>[clausula]</w:t>
      </w:r>
      <w:r w:rsidRPr="00B15515">
        <w:rPr>
          <w:rFonts w:ascii="Book Antiqua" w:hAnsi="Book Antiqua"/>
          <w:color w:val="000000" w:themeColor="text1"/>
        </w:rPr>
        <w:t xml:space="preserve"> </w:t>
      </w:r>
      <w:r w:rsidRPr="00B15515">
        <w:rPr>
          <w:rFonts w:ascii="Book Antiqua" w:hAnsi="Book Antiqua"/>
          <w:i/>
          <w:iCs/>
          <w:color w:val="000000" w:themeColor="text1"/>
        </w:rPr>
        <w:t>cláusula</w:t>
      </w:r>
      <w:r w:rsidRPr="00B15515">
        <w:rPr>
          <w:rFonts w:ascii="Book Antiqua" w:hAnsi="Book Antiqua"/>
          <w:color w:val="000000" w:themeColor="text1"/>
        </w:rPr>
        <w:t xml:space="preserve"> (i) de este inciso (A)</w:t>
      </w:r>
      <w:r w:rsidRPr="00B15515">
        <w:rPr>
          <w:rFonts w:ascii="Book Antiqua" w:hAnsi="Book Antiqua"/>
          <w:i/>
          <w:iCs/>
          <w:color w:val="000000" w:themeColor="text1"/>
        </w:rPr>
        <w:t>,</w:t>
      </w:r>
      <w:r w:rsidRPr="00B15515">
        <w:rPr>
          <w:rFonts w:ascii="Book Antiqua" w:hAnsi="Book Antiqua"/>
          <w:color w:val="000000" w:themeColor="text1"/>
        </w:rPr>
        <w:t xml:space="preserve"> se tomará en consideración el volumen de negocio agregado generado para el año contributivo inmediatamente anterior</w:t>
      </w:r>
      <w:r w:rsidRPr="00B15515">
        <w:rPr>
          <w:rFonts w:ascii="Book Antiqua" w:hAnsi="Book Antiqua"/>
          <w:b/>
          <w:bCs/>
          <w:color w:val="000000" w:themeColor="text1"/>
        </w:rPr>
        <w:t>[;]</w:t>
      </w:r>
      <w:r w:rsidRPr="00B15515">
        <w:rPr>
          <w:rFonts w:ascii="Book Antiqua" w:hAnsi="Book Antiqua"/>
          <w:color w:val="000000" w:themeColor="text1"/>
        </w:rPr>
        <w:t xml:space="preserve"> </w:t>
      </w:r>
      <w:r w:rsidRPr="00B15515">
        <w:rPr>
          <w:rFonts w:ascii="Book Antiqua" w:hAnsi="Book Antiqua"/>
          <w:i/>
          <w:iCs/>
          <w:color w:val="000000" w:themeColor="text1"/>
        </w:rPr>
        <w:t xml:space="preserve">utilizando como base el volumen de negocios informado en las Planillas Mensuales del Impuesto sobre Ventas y Uso </w:t>
      </w:r>
      <w:r w:rsidRPr="00B15515">
        <w:rPr>
          <w:rFonts w:ascii="Book Antiqua" w:hAnsi="Book Antiqua"/>
          <w:i/>
          <w:iCs/>
          <w:color w:val="000000" w:themeColor="text1"/>
        </w:rPr>
        <w:lastRenderedPageBreak/>
        <w:t>correspondientes al año natural inmediatamente anterior y/o la Planilla de Contribución sobre Ingresos radicada por el comerciante.</w:t>
      </w:r>
      <w:r w:rsidRPr="00B15515">
        <w:rPr>
          <w:rFonts w:ascii="Book Antiqua" w:hAnsi="Book Antiqua"/>
          <w:color w:val="000000" w:themeColor="text1"/>
        </w:rPr>
        <w:t xml:space="preserve"> </w:t>
      </w:r>
    </w:p>
    <w:p w14:paraId="225F049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(B) . . .</w:t>
      </w:r>
    </w:p>
    <w:p w14:paraId="323F1B53"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3A08012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(mm) … </w:t>
      </w:r>
    </w:p>
    <w:p w14:paraId="6021831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roofErr w:type="spellStart"/>
      <w:r w:rsidRPr="00B15515">
        <w:rPr>
          <w:rFonts w:ascii="Book Antiqua" w:hAnsi="Book Antiqua"/>
          <w:color w:val="000000" w:themeColor="text1"/>
        </w:rPr>
        <w:t>nn</w:t>
      </w:r>
      <w:proofErr w:type="spellEnd"/>
      <w:r w:rsidRPr="00B15515">
        <w:rPr>
          <w:rFonts w:ascii="Book Antiqua" w:hAnsi="Book Antiqua"/>
          <w:color w:val="000000" w:themeColor="text1"/>
        </w:rPr>
        <w:t>) Servicios Tributables. —</w:t>
      </w:r>
    </w:p>
    <w:p w14:paraId="00AE291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(1) . . .</w:t>
      </w:r>
    </w:p>
    <w:p w14:paraId="346A8815"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(2) . . .</w:t>
      </w:r>
    </w:p>
    <w:p w14:paraId="75F360B9"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(3) Servicios tributables excluirá lo siguiente para eventos ocurridos después del 30 de septiembre de 2015:</w:t>
      </w:r>
    </w:p>
    <w:p w14:paraId="14D28F69"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w:t>
      </w:r>
    </w:p>
    <w:p w14:paraId="6CD4641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 . . </w:t>
      </w:r>
    </w:p>
    <w:p w14:paraId="2B11BCD9"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(I) servicios prestados por una persona dedicada al ejercicio de una actividad de industria o negocio o para la producción de ingresos en Puerto Rico a otra persona dedicada al ejercicio de una actividad de industria o negocio o para la producción de ingresos en Puerto Rico y que forma parte de un grupo controlado de corporaciones</w:t>
      </w:r>
      <w:r w:rsidRPr="00B15515">
        <w:rPr>
          <w:rFonts w:ascii="Book Antiqua" w:hAnsi="Book Antiqua"/>
          <w:i/>
          <w:iCs/>
          <w:color w:val="000000" w:themeColor="text1"/>
        </w:rPr>
        <w:t>,</w:t>
      </w:r>
      <w:r w:rsidRPr="00B15515">
        <w:rPr>
          <w:rFonts w:ascii="Book Antiqua" w:hAnsi="Book Antiqua"/>
          <w:color w:val="000000" w:themeColor="text1"/>
        </w:rPr>
        <w:t xml:space="preserve"> </w:t>
      </w:r>
      <w:r w:rsidRPr="00B15515">
        <w:rPr>
          <w:rFonts w:ascii="Book Antiqua" w:hAnsi="Book Antiqua"/>
          <w:b/>
          <w:bCs/>
          <w:color w:val="000000" w:themeColor="text1"/>
        </w:rPr>
        <w:t>[o]</w:t>
      </w:r>
      <w:r w:rsidRPr="00B15515">
        <w:rPr>
          <w:rFonts w:ascii="Book Antiqua" w:hAnsi="Book Antiqua"/>
          <w:color w:val="000000" w:themeColor="text1"/>
        </w:rPr>
        <w:t xml:space="preserve"> de un grupo </w:t>
      </w:r>
      <w:r w:rsidRPr="00B15515">
        <w:rPr>
          <w:rFonts w:ascii="Book Antiqua" w:hAnsi="Book Antiqua"/>
          <w:b/>
          <w:bCs/>
          <w:color w:val="000000" w:themeColor="text1"/>
        </w:rPr>
        <w:t>[controlado]</w:t>
      </w:r>
      <w:r w:rsidRPr="00B15515">
        <w:rPr>
          <w:rFonts w:ascii="Book Antiqua" w:hAnsi="Book Antiqua"/>
          <w:color w:val="000000" w:themeColor="text1"/>
        </w:rPr>
        <w:t xml:space="preserve"> de entidades relacionadas </w:t>
      </w:r>
      <w:r w:rsidRPr="00B15515">
        <w:rPr>
          <w:rFonts w:ascii="Book Antiqua" w:hAnsi="Book Antiqua"/>
          <w:i/>
          <w:iCs/>
          <w:color w:val="000000" w:themeColor="text1"/>
        </w:rPr>
        <w:t>o persona relacionada</w:t>
      </w:r>
      <w:r w:rsidRPr="00B15515">
        <w:rPr>
          <w:rFonts w:ascii="Book Antiqua" w:hAnsi="Book Antiqua"/>
          <w:color w:val="000000" w:themeColor="text1"/>
        </w:rPr>
        <w:t xml:space="preserve">, según </w:t>
      </w:r>
      <w:r w:rsidRPr="00B15515">
        <w:rPr>
          <w:rFonts w:ascii="Book Antiqua" w:hAnsi="Book Antiqua"/>
          <w:b/>
          <w:bCs/>
          <w:color w:val="000000" w:themeColor="text1"/>
        </w:rPr>
        <w:t>[definido]</w:t>
      </w:r>
      <w:r w:rsidRPr="00B15515">
        <w:rPr>
          <w:rFonts w:ascii="Book Antiqua" w:hAnsi="Book Antiqua"/>
          <w:color w:val="000000" w:themeColor="text1"/>
        </w:rPr>
        <w:t xml:space="preserve"> </w:t>
      </w:r>
      <w:r w:rsidRPr="00B15515">
        <w:rPr>
          <w:rFonts w:ascii="Book Antiqua" w:hAnsi="Book Antiqua"/>
          <w:i/>
          <w:iCs/>
          <w:color w:val="000000" w:themeColor="text1"/>
        </w:rPr>
        <w:t>dichos términos</w:t>
      </w:r>
      <w:r w:rsidRPr="00B15515">
        <w:rPr>
          <w:rFonts w:ascii="Book Antiqua" w:hAnsi="Book Antiqua"/>
          <w:color w:val="000000" w:themeColor="text1"/>
        </w:rPr>
        <w:t xml:space="preserve"> </w:t>
      </w:r>
      <w:r w:rsidRPr="00B15515">
        <w:rPr>
          <w:rFonts w:ascii="Book Antiqua" w:hAnsi="Book Antiqua"/>
          <w:i/>
          <w:iCs/>
          <w:color w:val="000000" w:themeColor="text1"/>
        </w:rPr>
        <w:t xml:space="preserve">son definidos </w:t>
      </w:r>
      <w:r w:rsidRPr="00B15515">
        <w:rPr>
          <w:rFonts w:ascii="Book Antiqua" w:hAnsi="Book Antiqua"/>
          <w:color w:val="000000" w:themeColor="text1"/>
        </w:rPr>
        <w:t>en las Secciones 1010.04 y 1010.05 de este Código, excepto que para estos propósitos</w:t>
      </w:r>
      <w:r w:rsidRPr="00B15515">
        <w:rPr>
          <w:rFonts w:ascii="Book Antiqua" w:hAnsi="Book Antiqua"/>
          <w:b/>
          <w:bCs/>
          <w:color w:val="000000" w:themeColor="text1"/>
        </w:rPr>
        <w:t>[,]</w:t>
      </w:r>
      <w:r w:rsidRPr="00B15515">
        <w:rPr>
          <w:rFonts w:ascii="Book Antiqua" w:hAnsi="Book Antiqua"/>
          <w:color w:val="000000" w:themeColor="text1"/>
        </w:rPr>
        <w:t xml:space="preserve"> no se tomará en consideración el párrafo (2)(D) del apartado (b) de la Sección 1010.04</w:t>
      </w:r>
      <w:r w:rsidRPr="00B15515">
        <w:rPr>
          <w:rFonts w:ascii="Book Antiqua" w:hAnsi="Book Antiqua"/>
          <w:b/>
          <w:bCs/>
          <w:color w:val="000000" w:themeColor="text1"/>
        </w:rPr>
        <w:t xml:space="preserve">[, o es una sociedad o un miembro excluido dedicado al ejercicio de una industria o negocio para la producción de ingresos, en Puerto Rico, que de aplicarse las </w:t>
      </w:r>
      <w:r w:rsidRPr="00B15515">
        <w:rPr>
          <w:rFonts w:ascii="Book Antiqua" w:hAnsi="Book Antiqua"/>
          <w:b/>
          <w:bCs/>
          <w:color w:val="000000" w:themeColor="text1"/>
        </w:rPr>
        <w:lastRenderedPageBreak/>
        <w:t>reglas de grupo de entidades relacionadas o grupo controlado de corporaciones, para propósitos de este apartado, se consideraría un miembro componente de dicho grupo, por otra persona que forma parte de uno de esos grupos]</w:t>
      </w:r>
      <w:r w:rsidRPr="00B15515">
        <w:rPr>
          <w:rFonts w:ascii="Book Antiqua" w:hAnsi="Book Antiqua"/>
          <w:color w:val="000000" w:themeColor="text1"/>
        </w:rPr>
        <w:t>;</w:t>
      </w:r>
    </w:p>
    <w:p w14:paraId="6286A4AD"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(J)…</w:t>
      </w:r>
    </w:p>
    <w:p w14:paraId="6268648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59E472AB"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roofErr w:type="spellStart"/>
      <w:r w:rsidRPr="00B15515">
        <w:rPr>
          <w:rFonts w:ascii="Book Antiqua" w:hAnsi="Book Antiqua"/>
          <w:color w:val="000000" w:themeColor="text1"/>
        </w:rPr>
        <w:t>oo</w:t>
      </w:r>
      <w:proofErr w:type="spellEnd"/>
      <w:r w:rsidRPr="00B15515">
        <w:rPr>
          <w:rFonts w:ascii="Book Antiqua" w:hAnsi="Book Antiqua"/>
          <w:color w:val="000000" w:themeColor="text1"/>
        </w:rPr>
        <w:t>)…</w:t>
      </w:r>
    </w:p>
    <w:p w14:paraId="2C0FE0BD"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 </w:t>
      </w:r>
    </w:p>
    <w:p w14:paraId="782D8B99" w14:textId="77777777" w:rsidR="00822714" w:rsidRPr="00B15515" w:rsidRDefault="00822714" w:rsidP="00822714">
      <w:pPr>
        <w:pStyle w:val="Heading1"/>
        <w:rPr>
          <w:color w:val="000000" w:themeColor="text1"/>
        </w:rPr>
      </w:pPr>
      <w:r w:rsidRPr="00B15515">
        <w:rPr>
          <w:color w:val="000000" w:themeColor="text1"/>
        </w:rPr>
        <w:t>Artículo 20.— Se añade un apartado (b) de la Sección 6041.10 de la Ley 1-2011, según enmendada, para que se lea como sigue:</w:t>
      </w:r>
    </w:p>
    <w:p w14:paraId="06515DB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6041.10. — Por Dejar de Pagar la Contribución Estimada en el Caso de Corporaciones y Sociedades.</w:t>
      </w:r>
    </w:p>
    <w:p w14:paraId="7A8566D5" w14:textId="77777777" w:rsidR="00822714" w:rsidRPr="00B15515" w:rsidRDefault="00822714" w:rsidP="00822714">
      <w:pPr>
        <w:pStyle w:val="ListParagraph"/>
        <w:numPr>
          <w:ilvl w:val="0"/>
          <w:numId w:val="34"/>
        </w:numPr>
        <w:spacing w:line="480" w:lineRule="auto"/>
        <w:ind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6AC6F768" w14:textId="77777777" w:rsidR="00822714" w:rsidRPr="00B15515" w:rsidRDefault="00822714" w:rsidP="00822714">
      <w:pPr>
        <w:pStyle w:val="ListParagraph"/>
        <w:numPr>
          <w:ilvl w:val="0"/>
          <w:numId w:val="34"/>
        </w:numPr>
        <w:spacing w:line="480" w:lineRule="auto"/>
        <w:ind w:firstLine="0"/>
        <w:contextualSpacing w:val="0"/>
        <w:jc w:val="both"/>
        <w:rPr>
          <w:rFonts w:ascii="Book Antiqua" w:hAnsi="Book Antiqua"/>
          <w:i/>
          <w:iCs/>
          <w:color w:val="000000" w:themeColor="text1"/>
        </w:rPr>
      </w:pPr>
      <w:r w:rsidRPr="00B15515">
        <w:rPr>
          <w:rFonts w:ascii="Book Antiqua" w:hAnsi="Book Antiqua"/>
          <w:i/>
          <w:iCs/>
          <w:color w:val="000000" w:themeColor="text1"/>
        </w:rPr>
        <w:t xml:space="preserve">Cálculo de la contribución estimada de ciertas entidades con decreto. – No </w:t>
      </w:r>
      <w:proofErr w:type="gramStart"/>
      <w:r w:rsidRPr="00B15515">
        <w:rPr>
          <w:rFonts w:ascii="Book Antiqua" w:hAnsi="Book Antiqua"/>
          <w:i/>
          <w:iCs/>
          <w:color w:val="000000" w:themeColor="text1"/>
        </w:rPr>
        <w:t>obstante</w:t>
      </w:r>
      <w:proofErr w:type="gramEnd"/>
      <w:r w:rsidRPr="00B15515">
        <w:rPr>
          <w:rFonts w:ascii="Book Antiqua" w:hAnsi="Book Antiqua"/>
          <w:i/>
          <w:iCs/>
          <w:color w:val="000000" w:themeColor="text1"/>
        </w:rPr>
        <w:t xml:space="preserve"> lo dispuesto en el apartado (a) de esta Sección, la contribución estimada de las entidades con un decreto de incentivos bajo las disposiciones de la Sección 3A de la Ley 135-1997, la Sección 3A de la Ley 73-2008, o la Sección 2062.01(a)(3) y (b)(4) de la Ley 60-2019, será:</w:t>
      </w:r>
    </w:p>
    <w:p w14:paraId="6E0E3EB3" w14:textId="77777777" w:rsidR="00822714" w:rsidRPr="00B15515" w:rsidRDefault="00822714" w:rsidP="00822714">
      <w:pPr>
        <w:pStyle w:val="ListParagraph"/>
        <w:numPr>
          <w:ilvl w:val="0"/>
          <w:numId w:val="35"/>
        </w:numPr>
        <w:spacing w:line="480" w:lineRule="auto"/>
        <w:ind w:left="720" w:firstLine="0"/>
        <w:contextualSpacing w:val="0"/>
        <w:jc w:val="both"/>
        <w:rPr>
          <w:rFonts w:ascii="Book Antiqua" w:hAnsi="Book Antiqua"/>
          <w:i/>
          <w:iCs/>
          <w:color w:val="000000" w:themeColor="text1"/>
        </w:rPr>
      </w:pPr>
      <w:r w:rsidRPr="00B15515">
        <w:rPr>
          <w:rFonts w:ascii="Book Antiqua" w:hAnsi="Book Antiqua"/>
          <w:i/>
          <w:iCs/>
          <w:color w:val="000000" w:themeColor="text1"/>
        </w:rPr>
        <w:t>Lo menor entre:</w:t>
      </w:r>
    </w:p>
    <w:p w14:paraId="338844DA" w14:textId="77777777" w:rsidR="00822714" w:rsidRPr="00B15515" w:rsidRDefault="00822714" w:rsidP="00822714">
      <w:pPr>
        <w:pStyle w:val="ListParagraph"/>
        <w:numPr>
          <w:ilvl w:val="2"/>
          <w:numId w:val="37"/>
        </w:numPr>
        <w:spacing w:line="480" w:lineRule="auto"/>
        <w:ind w:left="720" w:firstLine="0"/>
        <w:contextualSpacing w:val="0"/>
        <w:jc w:val="both"/>
        <w:rPr>
          <w:rFonts w:ascii="Book Antiqua" w:hAnsi="Book Antiqua"/>
          <w:i/>
          <w:iCs/>
          <w:color w:val="000000" w:themeColor="text1"/>
        </w:rPr>
      </w:pPr>
      <w:r w:rsidRPr="00B15515">
        <w:rPr>
          <w:rFonts w:ascii="Book Antiqua" w:hAnsi="Book Antiqua"/>
          <w:i/>
          <w:iCs/>
          <w:color w:val="000000" w:themeColor="text1"/>
        </w:rPr>
        <w:t>El noventa (90) por ciento de la contribución de dicho año contributivo, o</w:t>
      </w:r>
    </w:p>
    <w:p w14:paraId="0DC6215C" w14:textId="77777777" w:rsidR="00822714" w:rsidRPr="00B15515" w:rsidRDefault="00822714" w:rsidP="00822714">
      <w:pPr>
        <w:pStyle w:val="ListParagraph"/>
        <w:numPr>
          <w:ilvl w:val="2"/>
          <w:numId w:val="37"/>
        </w:numPr>
        <w:spacing w:line="480" w:lineRule="auto"/>
        <w:ind w:left="720" w:firstLine="0"/>
        <w:contextualSpacing w:val="0"/>
        <w:jc w:val="both"/>
        <w:rPr>
          <w:rFonts w:ascii="Book Antiqua" w:hAnsi="Book Antiqua"/>
          <w:i/>
          <w:iCs/>
          <w:color w:val="000000" w:themeColor="text1"/>
        </w:rPr>
      </w:pPr>
      <w:r w:rsidRPr="00B15515">
        <w:rPr>
          <w:rFonts w:ascii="Book Antiqua" w:hAnsi="Book Antiqua"/>
          <w:i/>
          <w:iCs/>
          <w:color w:val="000000" w:themeColor="text1"/>
        </w:rPr>
        <w:t>Lo mayor entre:</w:t>
      </w:r>
    </w:p>
    <w:p w14:paraId="04FA88D0" w14:textId="77777777" w:rsidR="00822714" w:rsidRPr="00B15515" w:rsidRDefault="00822714" w:rsidP="00822714">
      <w:pPr>
        <w:pStyle w:val="ListParagraph"/>
        <w:numPr>
          <w:ilvl w:val="0"/>
          <w:numId w:val="36"/>
        </w:numPr>
        <w:spacing w:line="480" w:lineRule="auto"/>
        <w:ind w:left="720" w:firstLine="0"/>
        <w:contextualSpacing w:val="0"/>
        <w:jc w:val="both"/>
        <w:rPr>
          <w:rFonts w:ascii="Book Antiqua" w:hAnsi="Book Antiqua"/>
          <w:i/>
          <w:iCs/>
          <w:color w:val="000000" w:themeColor="text1"/>
        </w:rPr>
      </w:pPr>
      <w:r w:rsidRPr="00B15515">
        <w:rPr>
          <w:rFonts w:ascii="Book Antiqua" w:hAnsi="Book Antiqua"/>
          <w:i/>
          <w:iCs/>
          <w:color w:val="000000" w:themeColor="text1"/>
        </w:rPr>
        <w:t xml:space="preserve">el total de la contribución determinada, según surge de la planilla de contribución sobre ingresos radicada para el año contributivo precedente, incluyendo, para el primer año contributivo bajo las disposiciones de la Sección 3A de la Ley 135-1997, Sección 3A de la </w:t>
      </w:r>
      <w:r w:rsidRPr="00B15515">
        <w:rPr>
          <w:rFonts w:ascii="Book Antiqua" w:hAnsi="Book Antiqua"/>
          <w:i/>
          <w:iCs/>
          <w:color w:val="000000" w:themeColor="text1"/>
        </w:rPr>
        <w:lastRenderedPageBreak/>
        <w:t>Ley 73-2008 o Sección 2062.01(a)(3) y (b)(4) de la Ley 60-2019, el arbitrio pagado bajo las disposiciones de la Ley 154-2010, según enmendada, durante el año calendario precedente, o</w:t>
      </w:r>
    </w:p>
    <w:p w14:paraId="1A5F447E" w14:textId="77777777" w:rsidR="00822714" w:rsidRPr="00B15515" w:rsidRDefault="00822714" w:rsidP="00822714">
      <w:pPr>
        <w:pStyle w:val="ListParagraph"/>
        <w:numPr>
          <w:ilvl w:val="0"/>
          <w:numId w:val="36"/>
        </w:numPr>
        <w:spacing w:line="480" w:lineRule="auto"/>
        <w:ind w:left="720" w:firstLine="0"/>
        <w:contextualSpacing w:val="0"/>
        <w:jc w:val="both"/>
        <w:rPr>
          <w:rFonts w:ascii="Book Antiqua" w:hAnsi="Book Antiqua"/>
          <w:i/>
          <w:iCs/>
          <w:color w:val="000000" w:themeColor="text1"/>
        </w:rPr>
      </w:pPr>
      <w:r w:rsidRPr="00B15515">
        <w:rPr>
          <w:rFonts w:ascii="Book Antiqua" w:hAnsi="Book Antiqua"/>
          <w:i/>
          <w:iCs/>
          <w:color w:val="000000" w:themeColor="text1"/>
        </w:rPr>
        <w:t xml:space="preserve">una cantidad igual a la contribución computada a los tipos y bajo la ley aplicable al año contributivo utilizando los datos contenidos en la planilla de la corporación para el año contributivo precedente. </w:t>
      </w:r>
    </w:p>
    <w:p w14:paraId="53D360B3" w14:textId="77777777" w:rsidR="00822714" w:rsidRPr="00B15515" w:rsidRDefault="00822714" w:rsidP="00822714">
      <w:pPr>
        <w:pStyle w:val="ListParagraph"/>
        <w:numPr>
          <w:ilvl w:val="0"/>
          <w:numId w:val="35"/>
        </w:numPr>
        <w:spacing w:line="480" w:lineRule="auto"/>
        <w:ind w:left="720" w:firstLine="0"/>
        <w:contextualSpacing w:val="0"/>
        <w:jc w:val="both"/>
        <w:rPr>
          <w:rFonts w:ascii="Book Antiqua" w:hAnsi="Book Antiqua"/>
          <w:color w:val="000000" w:themeColor="text1"/>
        </w:rPr>
      </w:pPr>
      <w:r w:rsidRPr="00B15515">
        <w:rPr>
          <w:rFonts w:ascii="Book Antiqua" w:hAnsi="Book Antiqua"/>
          <w:i/>
          <w:iCs/>
          <w:color w:val="000000" w:themeColor="text1"/>
        </w:rPr>
        <w:t xml:space="preserve">El </w:t>
      </w:r>
      <w:proofErr w:type="gramStart"/>
      <w:r w:rsidRPr="00B15515">
        <w:rPr>
          <w:rFonts w:ascii="Book Antiqua" w:hAnsi="Book Antiqua"/>
          <w:i/>
          <w:iCs/>
          <w:color w:val="000000" w:themeColor="text1"/>
        </w:rPr>
        <w:t>Secretario</w:t>
      </w:r>
      <w:proofErr w:type="gramEnd"/>
      <w:r w:rsidRPr="00B15515">
        <w:rPr>
          <w:rFonts w:ascii="Book Antiqua" w:hAnsi="Book Antiqua"/>
          <w:i/>
          <w:iCs/>
          <w:color w:val="000000" w:themeColor="text1"/>
        </w:rPr>
        <w:t xml:space="preserve"> deberá indicar mediante publicación de carácter general, la forma en que entidades que computen su ingreso neto a base de un año económico calcularán su contribución estimada.”</w:t>
      </w:r>
    </w:p>
    <w:p w14:paraId="6F31A571" w14:textId="77777777" w:rsidR="00822714" w:rsidRPr="00B15515" w:rsidRDefault="00822714" w:rsidP="00822714">
      <w:pPr>
        <w:spacing w:line="480" w:lineRule="auto"/>
        <w:ind w:left="720" w:firstLine="720"/>
        <w:jc w:val="both"/>
        <w:rPr>
          <w:rFonts w:ascii="Book Antiqua" w:hAnsi="Book Antiqua"/>
          <w:color w:val="000000" w:themeColor="text1"/>
        </w:rPr>
      </w:pPr>
      <w:r w:rsidRPr="00B15515">
        <w:rPr>
          <w:rFonts w:ascii="Book Antiqua" w:hAnsi="Book Antiqua"/>
          <w:color w:val="000000" w:themeColor="text1"/>
        </w:rPr>
        <w:t>Artículo 21.— Se enmienda el apartado (a) de la Sección 6051.21 de la Ley 1-2011, según enmendada, para que se lea como sigue:</w:t>
      </w:r>
    </w:p>
    <w:p w14:paraId="5EA4C7E6"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“Sección 6051.21. — Facultades Adicionales del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sobre la administración de este Código.</w:t>
      </w:r>
    </w:p>
    <w:p w14:paraId="7295B977"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 …</w:t>
      </w:r>
    </w:p>
    <w:p w14:paraId="74F8EE2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(1) Limitaciones </w:t>
      </w:r>
      <w:r w:rsidRPr="00B15515">
        <w:rPr>
          <w:rFonts w:ascii="Book Antiqua" w:hAnsi="Book Antiqua"/>
          <w:i/>
          <w:iCs/>
          <w:color w:val="000000" w:themeColor="text1"/>
        </w:rPr>
        <w:t>de Aplicación General</w:t>
      </w:r>
      <w:r w:rsidRPr="00B15515">
        <w:rPr>
          <w:rFonts w:ascii="Book Antiqua" w:hAnsi="Book Antiqua"/>
          <w:color w:val="000000" w:themeColor="text1"/>
        </w:rPr>
        <w:t>. — Todo plan de rehabilitación o divulgación voluntaria deberá estar sujeto a los siguientes requisitos:</w:t>
      </w:r>
    </w:p>
    <w:p w14:paraId="0CD666E8"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 …</w:t>
      </w:r>
    </w:p>
    <w:p w14:paraId="18368011"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7DDBBEF9"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t>(2) Limitaciones específicas. —</w:t>
      </w:r>
    </w:p>
    <w:p w14:paraId="723A5C80"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t xml:space="preserve">(A) Programa de Rehabilitación del Contribuyente. — Bajo un programa de rehabilitación del contribuyente, el </w:t>
      </w:r>
      <w:proofErr w:type="gramStart"/>
      <w:r w:rsidRPr="00B15515">
        <w:rPr>
          <w:rFonts w:ascii="Book Antiqua" w:hAnsi="Book Antiqua"/>
          <w:i/>
          <w:iCs/>
          <w:color w:val="000000" w:themeColor="text1"/>
        </w:rPr>
        <w:t>Secretario</w:t>
      </w:r>
      <w:proofErr w:type="gramEnd"/>
      <w:r w:rsidRPr="00B15515">
        <w:rPr>
          <w:rFonts w:ascii="Book Antiqua" w:hAnsi="Book Antiqua"/>
          <w:i/>
          <w:iCs/>
          <w:color w:val="000000" w:themeColor="text1"/>
        </w:rPr>
        <w:t xml:space="preserve"> tiene la facultad de condonar recargos y penalidades </w:t>
      </w:r>
      <w:r w:rsidRPr="00B15515">
        <w:rPr>
          <w:rFonts w:ascii="Book Antiqua" w:hAnsi="Book Antiqua"/>
          <w:i/>
          <w:iCs/>
          <w:color w:val="000000" w:themeColor="text1"/>
        </w:rPr>
        <w:lastRenderedPageBreak/>
        <w:t>impuestas bajo el Capítulo 3 de este Subtítulo F. Asimismo, podrá establecer planes de pagos a plazos por un término no menor de seis (6) meses.</w:t>
      </w:r>
    </w:p>
    <w:p w14:paraId="43FB990E"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t xml:space="preserve">(B) Programa de Divulgación Voluntaria. </w:t>
      </w:r>
    </w:p>
    <w:p w14:paraId="262B7FFC"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t xml:space="preserve">(i) Bajo un programa de divulgación voluntaria, el </w:t>
      </w:r>
      <w:proofErr w:type="gramStart"/>
      <w:r w:rsidRPr="00B15515">
        <w:rPr>
          <w:rFonts w:ascii="Book Antiqua" w:hAnsi="Book Antiqua"/>
          <w:i/>
          <w:iCs/>
          <w:color w:val="000000" w:themeColor="text1"/>
        </w:rPr>
        <w:t>Secretario</w:t>
      </w:r>
      <w:proofErr w:type="gramEnd"/>
      <w:r w:rsidRPr="00B15515">
        <w:rPr>
          <w:rFonts w:ascii="Book Antiqua" w:hAnsi="Book Antiqua"/>
          <w:i/>
          <w:iCs/>
          <w:color w:val="000000" w:themeColor="text1"/>
        </w:rPr>
        <w:t xml:space="preserve"> tendrá la facultad de condonar recargos y penalidades exclusivamente. El </w:t>
      </w:r>
      <w:proofErr w:type="gramStart"/>
      <w:r w:rsidRPr="00B15515">
        <w:rPr>
          <w:rFonts w:ascii="Book Antiqua" w:hAnsi="Book Antiqua"/>
          <w:i/>
          <w:iCs/>
          <w:color w:val="000000" w:themeColor="text1"/>
        </w:rPr>
        <w:t>Secretario</w:t>
      </w:r>
      <w:proofErr w:type="gramEnd"/>
      <w:r w:rsidRPr="00B15515">
        <w:rPr>
          <w:rFonts w:ascii="Book Antiqua" w:hAnsi="Book Antiqua"/>
          <w:i/>
          <w:iCs/>
          <w:color w:val="000000" w:themeColor="text1"/>
        </w:rPr>
        <w:t xml:space="preserve"> podrá establecer planes de pagos a plazos por un término no menor de seis (6) meses. </w:t>
      </w:r>
    </w:p>
    <w:p w14:paraId="6DD9AE7A"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t>(</w:t>
      </w:r>
      <w:proofErr w:type="spellStart"/>
      <w:r w:rsidRPr="00B15515">
        <w:rPr>
          <w:rFonts w:ascii="Book Antiqua" w:hAnsi="Book Antiqua"/>
          <w:i/>
          <w:iCs/>
          <w:color w:val="000000" w:themeColor="text1"/>
        </w:rPr>
        <w:t>ii</w:t>
      </w:r>
      <w:proofErr w:type="spellEnd"/>
      <w:r w:rsidRPr="00B15515">
        <w:rPr>
          <w:rFonts w:ascii="Book Antiqua" w:hAnsi="Book Antiqua"/>
          <w:i/>
          <w:iCs/>
          <w:color w:val="000000" w:themeColor="text1"/>
        </w:rPr>
        <w:t>) Aquellos contribuyentes que hayan incumplido con sus obligaciones fiscales pero que formalicen un acuerdo de pago bajo un programa de divulgación voluntaria, no serán referidos por el Departamento al Departamento de Justicia para procesamiento criminal. Esta limitación del referido al Departamento de Justicia será aplicable exclusivamente en relación con los periodos y tipos contributivos sobre los cuales se haya efectuado la divulgación voluntaria y aplicará solo al contribuyente que haya realizado dicha divulgación voluntaria.</w:t>
      </w:r>
    </w:p>
    <w:p w14:paraId="5307668B" w14:textId="77777777" w:rsidR="00822714" w:rsidRPr="00B15515" w:rsidRDefault="00822714" w:rsidP="00822714">
      <w:pPr>
        <w:numPr>
          <w:ilvl w:val="0"/>
          <w:numId w:val="37"/>
        </w:numPr>
        <w:spacing w:line="480" w:lineRule="auto"/>
        <w:ind w:firstLine="0"/>
        <w:jc w:val="both"/>
        <w:rPr>
          <w:rFonts w:ascii="Book Antiqua" w:hAnsi="Book Antiqua"/>
          <w:color w:val="000000" w:themeColor="text1"/>
        </w:rPr>
      </w:pPr>
      <w:r w:rsidRPr="00B15515">
        <w:rPr>
          <w:rFonts w:ascii="Book Antiqua" w:hAnsi="Book Antiqua"/>
          <w:color w:val="000000" w:themeColor="text1"/>
        </w:rPr>
        <w:t xml:space="preserve">. . . </w:t>
      </w:r>
    </w:p>
    <w:p w14:paraId="5DF5D5C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3B1854F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(d)</w:t>
      </w:r>
      <w:proofErr w:type="gramStart"/>
      <w:r w:rsidRPr="00B15515">
        <w:rPr>
          <w:rFonts w:ascii="Book Antiqua" w:hAnsi="Book Antiqua"/>
          <w:color w:val="000000" w:themeColor="text1"/>
        </w:rPr>
        <w:t>…“</w:t>
      </w:r>
      <w:proofErr w:type="gramEnd"/>
    </w:p>
    <w:p w14:paraId="2F7F8D39" w14:textId="77777777" w:rsidR="00822714" w:rsidRPr="00B15515" w:rsidRDefault="00822714" w:rsidP="00822714">
      <w:pPr>
        <w:pStyle w:val="Heading1"/>
        <w:rPr>
          <w:color w:val="000000" w:themeColor="text1"/>
        </w:rPr>
      </w:pPr>
      <w:r w:rsidRPr="00B15515">
        <w:rPr>
          <w:color w:val="000000" w:themeColor="text1"/>
        </w:rPr>
        <w:t>Artículo 22.— Se enmienda el apartado (c) de la Sección 6055.03 de la Ley 1-2011, según enmendada, para que se lea como sigue:</w:t>
      </w:r>
    </w:p>
    <w:p w14:paraId="4B599E38"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6055.03. — Definiciones.</w:t>
      </w:r>
    </w:p>
    <w:p w14:paraId="4817B45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A los efectos de la implementación y operación del Portal </w:t>
      </w:r>
      <w:proofErr w:type="spellStart"/>
      <w:r w:rsidRPr="00B15515">
        <w:rPr>
          <w:rFonts w:ascii="Book Antiqua" w:hAnsi="Book Antiqua"/>
          <w:color w:val="000000" w:themeColor="text1"/>
        </w:rPr>
        <w:t>Interagencial</w:t>
      </w:r>
      <w:proofErr w:type="spellEnd"/>
      <w:r w:rsidRPr="00B15515">
        <w:rPr>
          <w:rFonts w:ascii="Book Antiqua" w:hAnsi="Book Antiqua"/>
          <w:color w:val="000000" w:themeColor="text1"/>
        </w:rPr>
        <w:t xml:space="preserve"> de Fiscalización de la Responsabilidad Contributiva del Individuo y las </w:t>
      </w:r>
      <w:r w:rsidRPr="00B15515">
        <w:rPr>
          <w:rFonts w:ascii="Book Antiqua" w:hAnsi="Book Antiqua"/>
          <w:color w:val="000000" w:themeColor="text1"/>
        </w:rPr>
        <w:lastRenderedPageBreak/>
        <w:t>Corporaciones, las siguientes palabras tendrán el significado que a continuación se expresa:</w:t>
      </w:r>
    </w:p>
    <w:p w14:paraId="506F54D0" w14:textId="77777777" w:rsidR="00822714" w:rsidRPr="00B15515" w:rsidRDefault="00822714" w:rsidP="00822714">
      <w:pPr>
        <w:pStyle w:val="ListParagraph"/>
        <w:numPr>
          <w:ilvl w:val="0"/>
          <w:numId w:val="44"/>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5A158128" w14:textId="77777777" w:rsidR="00822714" w:rsidRPr="00B15515" w:rsidRDefault="00822714" w:rsidP="00822714">
      <w:pPr>
        <w:pStyle w:val="ListParagraph"/>
        <w:numPr>
          <w:ilvl w:val="0"/>
          <w:numId w:val="44"/>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0608D452" w14:textId="77777777" w:rsidR="00822714" w:rsidRPr="00B15515" w:rsidRDefault="00822714" w:rsidP="00822714">
      <w:pPr>
        <w:pStyle w:val="ListParagraph"/>
        <w:numPr>
          <w:ilvl w:val="0"/>
          <w:numId w:val="44"/>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 xml:space="preserve">“Portal”: significa el Portal </w:t>
      </w:r>
      <w:proofErr w:type="spellStart"/>
      <w:r w:rsidRPr="00B15515">
        <w:rPr>
          <w:rFonts w:ascii="Book Antiqua" w:hAnsi="Book Antiqua"/>
          <w:color w:val="000000" w:themeColor="text1"/>
        </w:rPr>
        <w:t>Interagencial</w:t>
      </w:r>
      <w:proofErr w:type="spellEnd"/>
      <w:r w:rsidRPr="00B15515">
        <w:rPr>
          <w:rFonts w:ascii="Book Antiqua" w:hAnsi="Book Antiqua"/>
          <w:color w:val="000000" w:themeColor="text1"/>
        </w:rPr>
        <w:t xml:space="preserve"> de Fiscalización de la Responsabilidad Contributiva del Individuo y las Corporaciones. </w:t>
      </w:r>
      <w:r w:rsidRPr="00B15515">
        <w:rPr>
          <w:rFonts w:ascii="Book Antiqua" w:hAnsi="Book Antiqua"/>
          <w:i/>
          <w:iCs/>
          <w:color w:val="000000" w:themeColor="text1"/>
        </w:rPr>
        <w:t>El Portal podrá formar parte del Sistema Unificado de Rentas Internas (SURI) del Departamento de Hacienda.</w:t>
      </w:r>
      <w:r w:rsidRPr="00B15515">
        <w:rPr>
          <w:rFonts w:ascii="Book Antiqua" w:hAnsi="Book Antiqua"/>
          <w:color w:val="000000" w:themeColor="text1"/>
        </w:rPr>
        <w:t>”</w:t>
      </w:r>
    </w:p>
    <w:p w14:paraId="1BC5F9C6" w14:textId="77777777" w:rsidR="00822714" w:rsidRPr="00B15515" w:rsidRDefault="00822714" w:rsidP="00822714">
      <w:pPr>
        <w:pStyle w:val="Heading1"/>
        <w:rPr>
          <w:color w:val="000000" w:themeColor="text1"/>
        </w:rPr>
      </w:pPr>
      <w:r w:rsidRPr="00B15515">
        <w:rPr>
          <w:color w:val="000000" w:themeColor="text1"/>
        </w:rPr>
        <w:t>Artículo 23.— Se enmienda la Sección 6055.06 de la Ley 1-2011, según enmendada, para que se lea como sigue:</w:t>
      </w:r>
    </w:p>
    <w:p w14:paraId="150BEC4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6055.06.- Deberes de las Agencias Emisoras.</w:t>
      </w:r>
    </w:p>
    <w:p w14:paraId="05756234" w14:textId="77777777" w:rsidR="00822714" w:rsidRPr="00B15515" w:rsidRDefault="00822714" w:rsidP="00822714">
      <w:pPr>
        <w:pStyle w:val="ListParagraph"/>
        <w:numPr>
          <w:ilvl w:val="0"/>
          <w:numId w:val="45"/>
        </w:numPr>
        <w:spacing w:line="480" w:lineRule="auto"/>
        <w:ind w:firstLine="0"/>
        <w:contextualSpacing w:val="0"/>
        <w:jc w:val="both"/>
        <w:rPr>
          <w:rFonts w:ascii="Book Antiqua" w:hAnsi="Book Antiqua"/>
          <w:color w:val="000000" w:themeColor="text1"/>
        </w:rPr>
      </w:pPr>
      <w:r w:rsidRPr="00B15515">
        <w:rPr>
          <w:rFonts w:ascii="Book Antiqua" w:hAnsi="Book Antiqua"/>
          <w:color w:val="000000" w:themeColor="text1"/>
        </w:rPr>
        <w:t>Será responsabilidad exclusiva de las Agencias Emisoras enviar digitalmente, en los formatos y bajo las pautas que dictamine el Departamento, la información que se dispone a continuación:</w:t>
      </w:r>
    </w:p>
    <w:p w14:paraId="03450DA8"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b/>
          <w:bCs/>
          <w:color w:val="000000" w:themeColor="text1"/>
        </w:rPr>
        <w:t>[(a)]</w:t>
      </w:r>
      <w:r w:rsidRPr="00B15515">
        <w:rPr>
          <w:rFonts w:ascii="Book Antiqua" w:hAnsi="Book Antiqua"/>
          <w:color w:val="000000" w:themeColor="text1"/>
        </w:rPr>
        <w:t xml:space="preserve"> </w:t>
      </w:r>
      <w:r w:rsidRPr="00B15515">
        <w:rPr>
          <w:rFonts w:ascii="Book Antiqua" w:hAnsi="Book Antiqua"/>
          <w:i/>
          <w:iCs/>
          <w:color w:val="000000" w:themeColor="text1"/>
        </w:rPr>
        <w:t>(1)</w:t>
      </w:r>
      <w:r w:rsidRPr="00B15515">
        <w:rPr>
          <w:rFonts w:ascii="Book Antiqua" w:hAnsi="Book Antiqua"/>
          <w:color w:val="000000" w:themeColor="text1"/>
        </w:rPr>
        <w:t xml:space="preserve"> …</w:t>
      </w:r>
    </w:p>
    <w:p w14:paraId="0B299251"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b/>
          <w:bCs/>
          <w:color w:val="000000" w:themeColor="text1"/>
        </w:rPr>
        <w:t>[(b)]</w:t>
      </w:r>
      <w:r w:rsidRPr="00B15515">
        <w:rPr>
          <w:rFonts w:ascii="Book Antiqua" w:hAnsi="Book Antiqua"/>
          <w:color w:val="000000" w:themeColor="text1"/>
        </w:rPr>
        <w:t xml:space="preserve"> </w:t>
      </w:r>
      <w:r w:rsidRPr="00B15515">
        <w:rPr>
          <w:rFonts w:ascii="Book Antiqua" w:hAnsi="Book Antiqua"/>
          <w:i/>
          <w:iCs/>
          <w:color w:val="000000" w:themeColor="text1"/>
        </w:rPr>
        <w:t>(2) …</w:t>
      </w:r>
    </w:p>
    <w:p w14:paraId="54DEEE51"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b/>
          <w:bCs/>
          <w:color w:val="000000" w:themeColor="text1"/>
        </w:rPr>
        <w:t>[(c)]</w:t>
      </w:r>
      <w:r w:rsidRPr="00B15515">
        <w:rPr>
          <w:rFonts w:ascii="Book Antiqua" w:hAnsi="Book Antiqua"/>
          <w:color w:val="000000" w:themeColor="text1"/>
        </w:rPr>
        <w:t xml:space="preserve"> (3) …</w:t>
      </w:r>
    </w:p>
    <w:p w14:paraId="07696F70"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color w:val="000000" w:themeColor="text1"/>
        </w:rPr>
        <w:t xml:space="preserve">[(d)] </w:t>
      </w:r>
      <w:r w:rsidRPr="00B15515">
        <w:rPr>
          <w:rFonts w:ascii="Book Antiqua" w:hAnsi="Book Antiqua"/>
          <w:i/>
          <w:iCs/>
          <w:color w:val="000000" w:themeColor="text1"/>
        </w:rPr>
        <w:t>(</w:t>
      </w:r>
      <w:proofErr w:type="gramStart"/>
      <w:r w:rsidRPr="00B15515">
        <w:rPr>
          <w:rFonts w:ascii="Book Antiqua" w:hAnsi="Book Antiqua"/>
          <w:i/>
          <w:iCs/>
          <w:color w:val="000000" w:themeColor="text1"/>
        </w:rPr>
        <w:t>4)…</w:t>
      </w:r>
      <w:proofErr w:type="gramEnd"/>
    </w:p>
    <w:p w14:paraId="72E4D3F5"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color w:val="000000" w:themeColor="text1"/>
        </w:rPr>
        <w:t xml:space="preserve">[(e)] </w:t>
      </w:r>
      <w:r w:rsidRPr="00B15515">
        <w:rPr>
          <w:rFonts w:ascii="Book Antiqua" w:hAnsi="Book Antiqua"/>
          <w:i/>
          <w:iCs/>
          <w:color w:val="000000" w:themeColor="text1"/>
        </w:rPr>
        <w:t>(5) …</w:t>
      </w:r>
    </w:p>
    <w:p w14:paraId="4FA447A7"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color w:val="000000" w:themeColor="text1"/>
        </w:rPr>
        <w:t>[(f)] (6) …</w:t>
      </w:r>
    </w:p>
    <w:p w14:paraId="6C5DB000"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color w:val="000000" w:themeColor="text1"/>
        </w:rPr>
        <w:t xml:space="preserve">[(g)] </w:t>
      </w:r>
      <w:r w:rsidRPr="00B15515">
        <w:rPr>
          <w:rFonts w:ascii="Book Antiqua" w:hAnsi="Book Antiqua"/>
          <w:i/>
          <w:iCs/>
          <w:color w:val="000000" w:themeColor="text1"/>
        </w:rPr>
        <w:t>(7) …</w:t>
      </w:r>
    </w:p>
    <w:p w14:paraId="6135E423"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color w:val="000000" w:themeColor="text1"/>
        </w:rPr>
        <w:t xml:space="preserve">[(h)] </w:t>
      </w:r>
      <w:r w:rsidRPr="00B15515">
        <w:rPr>
          <w:rFonts w:ascii="Book Antiqua" w:hAnsi="Book Antiqua"/>
          <w:i/>
          <w:iCs/>
          <w:color w:val="000000" w:themeColor="text1"/>
        </w:rPr>
        <w:t>(8) …</w:t>
      </w:r>
    </w:p>
    <w:p w14:paraId="6B7E0188" w14:textId="77777777" w:rsidR="00822714" w:rsidRPr="00B15515" w:rsidRDefault="00822714" w:rsidP="00822714">
      <w:pPr>
        <w:pStyle w:val="ListParagraph"/>
        <w:spacing w:line="480" w:lineRule="auto"/>
        <w:contextualSpacing w:val="0"/>
        <w:jc w:val="both"/>
        <w:rPr>
          <w:rFonts w:ascii="Book Antiqua" w:hAnsi="Book Antiqua" w:cs="Calibri"/>
          <w:i/>
          <w:iCs/>
          <w:color w:val="000000" w:themeColor="text1"/>
        </w:rPr>
      </w:pPr>
      <w:r w:rsidRPr="00B15515">
        <w:rPr>
          <w:rFonts w:ascii="Book Antiqua" w:hAnsi="Book Antiqua"/>
          <w:i/>
          <w:iCs/>
          <w:color w:val="000000" w:themeColor="text1"/>
        </w:rPr>
        <w:lastRenderedPageBreak/>
        <w:t xml:space="preserve">(9) Compañía de Turismo. – Enviar toda la información relativa a las personas sujetas al </w:t>
      </w:r>
      <w:r w:rsidRPr="00B15515">
        <w:rPr>
          <w:rFonts w:ascii="Book Antiqua" w:hAnsi="Book Antiqua" w:cs="Calibri"/>
          <w:i/>
          <w:iCs/>
          <w:color w:val="000000" w:themeColor="text1"/>
        </w:rPr>
        <w:t>Impuesto sobre el Canon de Ocupación de Habitación, conforme a la Ley 272-2003, según enmendada, por arrendamientos de propiedades residenciales a corto plazo.</w:t>
      </w:r>
    </w:p>
    <w:p w14:paraId="5C0DB10C"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i/>
          <w:iCs/>
          <w:color w:val="000000" w:themeColor="text1"/>
        </w:rPr>
        <w:t xml:space="preserve">(b) </w:t>
      </w:r>
      <w:r w:rsidRPr="00B15515">
        <w:rPr>
          <w:rFonts w:ascii="Book Antiqua" w:hAnsi="Book Antiqua"/>
          <w:color w:val="000000" w:themeColor="text1"/>
        </w:rPr>
        <w:t xml:space="preserve">La información recopilada por las Agencias Emisoras y transmitida al Portal deberá contener y/o estar acompañada de los siguientes aspectos: el nombre del individuo o de la corporación que se trate; el número de seguro social y/o número de seguro social patronal según sea el caso; el número de catastro de la propiedad o propiedades relacionadas al individuo o a la corporación; el número en el registro de comerciante; la cuenta relacionada del negocio según requerida en el Código de Rentas Internas de Puerto Rico y la información requerida por la Ley 216-2014, </w:t>
      </w:r>
      <w:r w:rsidRPr="00B15515">
        <w:rPr>
          <w:rFonts w:ascii="Book Antiqua" w:hAnsi="Book Antiqua"/>
          <w:b/>
          <w:bCs/>
          <w:color w:val="000000" w:themeColor="text1"/>
        </w:rPr>
        <w:t>[mejor conocida como la “Ley del Control de Información Fiscal y de Permisos”,]</w:t>
      </w:r>
      <w:r w:rsidRPr="00B15515">
        <w:rPr>
          <w:rFonts w:ascii="Book Antiqua" w:hAnsi="Book Antiqua"/>
          <w:color w:val="000000" w:themeColor="text1"/>
        </w:rPr>
        <w:t xml:space="preserve"> según aplique. En el caso de individuos que sean asalariados, </w:t>
      </w:r>
      <w:r w:rsidRPr="00B15515">
        <w:rPr>
          <w:rFonts w:ascii="Book Antiqua" w:hAnsi="Book Antiqua"/>
          <w:b/>
          <w:bCs/>
          <w:color w:val="000000" w:themeColor="text1"/>
        </w:rPr>
        <w:t>[sólo]</w:t>
      </w:r>
      <w:r w:rsidRPr="00B15515">
        <w:rPr>
          <w:rFonts w:ascii="Book Antiqua" w:hAnsi="Book Antiqua"/>
          <w:color w:val="000000" w:themeColor="text1"/>
        </w:rPr>
        <w:t xml:space="preserve"> </w:t>
      </w:r>
      <w:r w:rsidRPr="00B15515">
        <w:rPr>
          <w:rFonts w:ascii="Book Antiqua" w:hAnsi="Book Antiqua"/>
          <w:i/>
          <w:iCs/>
          <w:color w:val="000000" w:themeColor="text1"/>
        </w:rPr>
        <w:t>solo</w:t>
      </w:r>
      <w:r w:rsidRPr="00B15515">
        <w:rPr>
          <w:rFonts w:ascii="Book Antiqua" w:hAnsi="Book Antiqua"/>
          <w:color w:val="000000" w:themeColor="text1"/>
        </w:rPr>
        <w:t xml:space="preserve"> tendrá que cumplir con los primeros tres (3) aspectos antes descritos.</w:t>
      </w:r>
    </w:p>
    <w:p w14:paraId="144DEFE8"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i/>
          <w:iCs/>
          <w:color w:val="000000" w:themeColor="text1"/>
        </w:rPr>
        <w:t xml:space="preserve">(c) </w:t>
      </w:r>
      <w:r w:rsidRPr="00B15515">
        <w:rPr>
          <w:rFonts w:ascii="Book Antiqua" w:hAnsi="Book Antiqua"/>
          <w:color w:val="000000" w:themeColor="text1"/>
        </w:rPr>
        <w:t>La información provista por las Agencias Emisoras debe realizarse en formato digital, por campos, que permita extraer información para motivos de análisis y estadística por parte del Departamento de Hacienda, por lo que no se aceptarán imágenes foto-digitales (</w:t>
      </w:r>
      <w:proofErr w:type="spellStart"/>
      <w:r w:rsidRPr="00B15515">
        <w:rPr>
          <w:rFonts w:ascii="Book Antiqua" w:hAnsi="Book Antiqua"/>
          <w:color w:val="000000" w:themeColor="text1"/>
        </w:rPr>
        <w:t>JPGs</w:t>
      </w:r>
      <w:proofErr w:type="spellEnd"/>
      <w:r w:rsidRPr="00B15515">
        <w:rPr>
          <w:rFonts w:ascii="Book Antiqua" w:hAnsi="Book Antiqua"/>
          <w:color w:val="000000" w:themeColor="text1"/>
        </w:rPr>
        <w:t>) y cualquier otro formato similar que impida u obstaculice tal objetivo.</w:t>
      </w:r>
    </w:p>
    <w:p w14:paraId="0CF942E5"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i/>
          <w:iCs/>
          <w:color w:val="000000" w:themeColor="text1"/>
        </w:rPr>
        <w:t>(d)</w:t>
      </w:r>
      <w:r w:rsidRPr="00B15515">
        <w:rPr>
          <w:rFonts w:ascii="Book Antiqua" w:hAnsi="Book Antiqua"/>
          <w:color w:val="000000" w:themeColor="text1"/>
        </w:rPr>
        <w:t xml:space="preserve"> Las Agencias Emisoras tendrán la obligación de adaptar, modificar, e implementar cualquier cambio en sus estructuras operacionales y reglamentarias, a fin de enviar la información aquí dispuesta al Portal, según establezca el Departamento de Hacienda y cumplir con todo lo relacionado a este Subcapítulo.</w:t>
      </w:r>
    </w:p>
    <w:p w14:paraId="5187F3BA"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i/>
          <w:iCs/>
          <w:color w:val="000000" w:themeColor="text1"/>
        </w:rPr>
        <w:lastRenderedPageBreak/>
        <w:t>(e) El Departamento de Hacienda notificará a las Agencias Emisoras cuando el Portal esté listo para recibir la información y los pasos a seguir para transmitir la misma. Las Agencias Emisoras tendrán noventa (90) días luego de dicha notificación para comenzar a enviar la información requerida</w:t>
      </w:r>
      <w:r w:rsidRPr="00B15515">
        <w:rPr>
          <w:rFonts w:ascii="Book Antiqua" w:hAnsi="Book Antiqua"/>
          <w:color w:val="000000" w:themeColor="text1"/>
        </w:rPr>
        <w:t>.”</w:t>
      </w:r>
    </w:p>
    <w:p w14:paraId="679E0AAC" w14:textId="77777777" w:rsidR="00822714" w:rsidRPr="00B15515" w:rsidRDefault="00822714" w:rsidP="00822714">
      <w:pPr>
        <w:pStyle w:val="Heading1"/>
        <w:rPr>
          <w:color w:val="000000" w:themeColor="text1"/>
        </w:rPr>
      </w:pPr>
      <w:r w:rsidRPr="00B15515">
        <w:rPr>
          <w:color w:val="000000" w:themeColor="text1"/>
        </w:rPr>
        <w:t xml:space="preserve">Artículo 24.— Se enmienda el Artículo 15.01 de la Ley 164-2009, según enmendada, para que se lea como sigue: </w:t>
      </w:r>
    </w:p>
    <w:p w14:paraId="350C5C1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“Artículo 15.01. — Corporaciones domésticas; informes anuales; libros y otros documentos en Puerto Rico. </w:t>
      </w:r>
    </w:p>
    <w:p w14:paraId="36360F56" w14:textId="77777777" w:rsidR="00822714" w:rsidRPr="00B15515" w:rsidRDefault="00822714" w:rsidP="00822714">
      <w:pPr>
        <w:pStyle w:val="Heading1"/>
        <w:ind w:left="720"/>
        <w:rPr>
          <w:color w:val="000000" w:themeColor="text1"/>
        </w:rPr>
      </w:pPr>
      <w:r w:rsidRPr="00B15515">
        <w:rPr>
          <w:color w:val="000000" w:themeColor="text1"/>
        </w:rPr>
        <w:t xml:space="preserve">A. </w:t>
      </w:r>
      <w:r w:rsidRPr="00B15515">
        <w:rPr>
          <w:i/>
          <w:iCs/>
          <w:color w:val="000000" w:themeColor="text1"/>
        </w:rPr>
        <w:t>Para todo año anterior al 2025,</w:t>
      </w:r>
      <w:r w:rsidRPr="00B15515">
        <w:rPr>
          <w:color w:val="000000" w:themeColor="text1"/>
        </w:rPr>
        <w:t xml:space="preserve"> </w:t>
      </w:r>
      <w:r w:rsidRPr="00B15515">
        <w:rPr>
          <w:b/>
          <w:bCs/>
          <w:color w:val="000000" w:themeColor="text1"/>
        </w:rPr>
        <w:t>[Toda]</w:t>
      </w:r>
      <w:r w:rsidRPr="00B15515">
        <w:rPr>
          <w:color w:val="000000" w:themeColor="text1"/>
        </w:rPr>
        <w:t xml:space="preserve"> </w:t>
      </w:r>
      <w:r w:rsidRPr="00B15515">
        <w:rPr>
          <w:i/>
          <w:iCs/>
          <w:color w:val="000000" w:themeColor="text1"/>
        </w:rPr>
        <w:t>toda</w:t>
      </w:r>
      <w:r w:rsidRPr="00B15515">
        <w:rPr>
          <w:color w:val="000000" w:themeColor="text1"/>
        </w:rPr>
        <w:t xml:space="preserve"> corporación organizada al amparo de las leyes del Estado Libre Asociado deberá radicar anualmente en las oficinas del Departamento de Estado o por Internet no más tarde del día quince (15) de abril, un informe certificado, bajo pena de perjurio, conforme al Artículo 1.03 (A) y (B), por un oficial autorizado, un director o el incorporador. Para años contributivos comenzados luego del 31 de diciembre de 2021, si el </w:t>
      </w:r>
      <w:proofErr w:type="gramStart"/>
      <w:r w:rsidRPr="00B15515">
        <w:rPr>
          <w:color w:val="000000" w:themeColor="text1"/>
        </w:rPr>
        <w:t>Secretario</w:t>
      </w:r>
      <w:proofErr w:type="gramEnd"/>
      <w:r w:rsidRPr="00B15515">
        <w:rPr>
          <w:color w:val="000000" w:themeColor="text1"/>
        </w:rPr>
        <w:t xml:space="preserve"> de Hacienda emite una Determinación Administrativa conforme a lo dispuesto en la Sección 6080.12(e) o 6051.11 del Código de Rentas Internas de Puerto Rico, el </w:t>
      </w:r>
      <w:proofErr w:type="gramStart"/>
      <w:r w:rsidRPr="00B15515">
        <w:rPr>
          <w:color w:val="000000" w:themeColor="text1"/>
        </w:rPr>
        <w:t>Secretario</w:t>
      </w:r>
      <w:proofErr w:type="gramEnd"/>
      <w:r w:rsidRPr="00B15515">
        <w:rPr>
          <w:color w:val="000000" w:themeColor="text1"/>
        </w:rPr>
        <w:t xml:space="preserve"> de Estado vendrá obligado a posponer la fecha de radicación y pago del informe anual. La posposición para la radicación del informe anual deberá ser por el mismo tiempo de la posposición de la planilla de contribución sobre ingresos establecida por el </w:t>
      </w:r>
      <w:proofErr w:type="gramStart"/>
      <w:r w:rsidRPr="00B15515">
        <w:rPr>
          <w:color w:val="000000" w:themeColor="text1"/>
        </w:rPr>
        <w:t>Secretario</w:t>
      </w:r>
      <w:proofErr w:type="gramEnd"/>
      <w:r w:rsidRPr="00B15515">
        <w:rPr>
          <w:color w:val="000000" w:themeColor="text1"/>
        </w:rPr>
        <w:t xml:space="preserve"> de Hacienda, dicha fecha pospuesta mediante Determinación Administrativa será considerada la fecha de radicación y pago </w:t>
      </w:r>
      <w:r w:rsidRPr="00B15515">
        <w:rPr>
          <w:color w:val="000000" w:themeColor="text1"/>
        </w:rPr>
        <w:lastRenderedPageBreak/>
        <w:t>original para todos los propósitos de esta Ley.</w:t>
      </w:r>
      <w:r w:rsidRPr="00B15515">
        <w:rPr>
          <w:color w:val="000000" w:themeColor="text1"/>
        </w:rPr>
        <w:cr/>
        <w:t xml:space="preserve">El informe deberá contener: </w:t>
      </w:r>
    </w:p>
    <w:p w14:paraId="52F7316E" w14:textId="77777777" w:rsidR="00822714" w:rsidRPr="00B15515" w:rsidRDefault="00822714" w:rsidP="00822714">
      <w:pPr>
        <w:spacing w:line="480" w:lineRule="auto"/>
        <w:ind w:left="720"/>
        <w:jc w:val="both"/>
        <w:rPr>
          <w:rFonts w:ascii="Book Antiqua" w:hAnsi="Book Antiqua"/>
          <w:color w:val="000000" w:themeColor="text1"/>
        </w:rPr>
      </w:pPr>
      <w:proofErr w:type="gramStart"/>
      <w:r w:rsidRPr="00B15515">
        <w:rPr>
          <w:rFonts w:ascii="Book Antiqua" w:hAnsi="Book Antiqua"/>
          <w:color w:val="000000" w:themeColor="text1"/>
        </w:rPr>
        <w:t>1 .</w:t>
      </w:r>
      <w:proofErr w:type="gramEnd"/>
      <w:r w:rsidRPr="00B15515">
        <w:rPr>
          <w:rFonts w:ascii="Book Antiqua" w:hAnsi="Book Antiqua"/>
          <w:color w:val="000000" w:themeColor="text1"/>
        </w:rPr>
        <w:t xml:space="preserve"> …</w:t>
      </w:r>
    </w:p>
    <w:p w14:paraId="703024F8"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02074066"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B. …</w:t>
      </w:r>
    </w:p>
    <w:p w14:paraId="6B3E37BC"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i/>
          <w:iCs/>
          <w:color w:val="000000" w:themeColor="text1"/>
        </w:rPr>
        <w:t>C. Para el año 2025 y años subsiguientes, no será necesario que las corporaciones organizadas al amparo de las leyes del Estado Libre Asociado radiquen el informe aquí dispuesto. No obstante, deberán cumplir con el pago del cargo anual descrito en el Artículo 17.01.”</w:t>
      </w:r>
    </w:p>
    <w:p w14:paraId="4CED075B"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 xml:space="preserve">Artículo 25.— Se enmienda el Artículo 15.03 de la Ley 164-2009, según enmendada, para que se lea como sigue: </w:t>
      </w:r>
    </w:p>
    <w:p w14:paraId="3C4019BB"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“Artículo 15.03. — Corporaciones foráneas; informes anuales. </w:t>
      </w:r>
    </w:p>
    <w:p w14:paraId="0227F573"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i/>
          <w:iCs/>
          <w:color w:val="000000" w:themeColor="text1"/>
        </w:rPr>
        <w:t>Para todo año anterior al 2025,</w:t>
      </w:r>
      <w:r w:rsidRPr="00B15515">
        <w:rPr>
          <w:rFonts w:ascii="Book Antiqua" w:hAnsi="Book Antiqua"/>
          <w:color w:val="000000" w:themeColor="text1"/>
        </w:rPr>
        <w:t xml:space="preserve"> </w:t>
      </w:r>
      <w:r w:rsidRPr="00B15515">
        <w:rPr>
          <w:rFonts w:ascii="Book Antiqua" w:hAnsi="Book Antiqua"/>
          <w:b/>
          <w:bCs/>
          <w:color w:val="000000" w:themeColor="text1"/>
        </w:rPr>
        <w:t>[Toda]</w:t>
      </w:r>
      <w:r w:rsidRPr="00B15515">
        <w:rPr>
          <w:rFonts w:ascii="Book Antiqua" w:hAnsi="Book Antiqua"/>
          <w:color w:val="000000" w:themeColor="text1"/>
        </w:rPr>
        <w:t xml:space="preserve"> </w:t>
      </w:r>
      <w:r w:rsidRPr="00B15515">
        <w:rPr>
          <w:rFonts w:ascii="Book Antiqua" w:hAnsi="Book Antiqua"/>
          <w:i/>
          <w:iCs/>
          <w:color w:val="000000" w:themeColor="text1"/>
        </w:rPr>
        <w:t>toda</w:t>
      </w:r>
      <w:r w:rsidRPr="00B15515">
        <w:rPr>
          <w:rFonts w:ascii="Book Antiqua" w:hAnsi="Book Antiqua"/>
          <w:color w:val="000000" w:themeColor="text1"/>
        </w:rPr>
        <w:t xml:space="preserve"> corporación foránea, con fines lucrativos o sin fines lucrativos, autorizada a hacer negocios en Puerto Rico, deberá radicar anualmente en las oficinas del Departamento de Estado o por Internet, cuando el servicio esté disponible, no más tarde del 15 de abril, un informe certificado, bajo pena de perjurio, conforme al Artículo 1.03 (B) de esta Ley. Para años contributivos comenzados luego del 31 de diciembre de 2021, si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 Hacienda emite una Determinación Administrativa conforme a lo dispuesto en las Secciones 6080.12(e) o 6151.11 del Código de Rentas Internas de Puerto Rico,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 Estado vendrá obligado a posponer la fecha de radicación y pago del informe anual. La posposición para la radicación del informe anual deberá ser por el mismo </w:t>
      </w:r>
      <w:r w:rsidRPr="00B15515">
        <w:rPr>
          <w:rFonts w:ascii="Book Antiqua" w:hAnsi="Book Antiqua"/>
          <w:color w:val="000000" w:themeColor="text1"/>
        </w:rPr>
        <w:lastRenderedPageBreak/>
        <w:t xml:space="preserve">tiempo de la posposición de la planilla de contribución sobre ingresos establecida por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 Hacienda, dicha fecha pospuesta mediante Determinación Administrativa será considerada la fecha de radicación y pago original para todos los propósitos de esta Ley.</w:t>
      </w:r>
      <w:r w:rsidRPr="00B15515">
        <w:rPr>
          <w:rFonts w:ascii="Book Antiqua" w:hAnsi="Book Antiqua"/>
          <w:color w:val="000000" w:themeColor="text1"/>
        </w:rPr>
        <w:cr/>
        <w:t>El informe deberá contener:</w:t>
      </w:r>
    </w:p>
    <w:p w14:paraId="52000070"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b/>
        <w:t>A. …</w:t>
      </w:r>
    </w:p>
    <w:p w14:paraId="651DA35A"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b/>
        <w:t>…</w:t>
      </w:r>
    </w:p>
    <w:p w14:paraId="3D109C4C"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b/>
        <w:t>C. …</w:t>
      </w:r>
    </w:p>
    <w:p w14:paraId="4148D8F7"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b/>
      </w:r>
      <w:r w:rsidRPr="00B15515">
        <w:rPr>
          <w:rFonts w:ascii="Book Antiqua" w:hAnsi="Book Antiqua"/>
          <w:i/>
          <w:iCs/>
          <w:color w:val="000000" w:themeColor="text1"/>
        </w:rPr>
        <w:t>D. Para el año 2025 y años subsiguientes, no será necesario que las corporaciones foráneas radiquen el informe aquí dispuesto. No obstante, deberán cumplir con el pago del cargo anual descrito en el Artículo 17.01</w:t>
      </w:r>
      <w:r w:rsidRPr="00B15515">
        <w:rPr>
          <w:rFonts w:ascii="Book Antiqua" w:hAnsi="Book Antiqua"/>
          <w:color w:val="000000" w:themeColor="text1"/>
        </w:rPr>
        <w:t>.”</w:t>
      </w:r>
    </w:p>
    <w:p w14:paraId="22B84EE7" w14:textId="77777777" w:rsidR="00822714" w:rsidRPr="00B15515" w:rsidRDefault="00822714" w:rsidP="00822714">
      <w:pPr>
        <w:pStyle w:val="Heading1"/>
        <w:rPr>
          <w:color w:val="000000" w:themeColor="text1"/>
        </w:rPr>
      </w:pPr>
      <w:r w:rsidRPr="00B15515">
        <w:rPr>
          <w:color w:val="000000" w:themeColor="text1"/>
        </w:rPr>
        <w:t xml:space="preserve">Artículo 26.— Se enmienda el apartado A del Artículo 17.01 de la Ley 164-2009, según enmendada, para </w:t>
      </w:r>
      <w:proofErr w:type="spellStart"/>
      <w:r w:rsidRPr="00B15515">
        <w:rPr>
          <w:color w:val="000000" w:themeColor="text1"/>
        </w:rPr>
        <w:t>se</w:t>
      </w:r>
      <w:proofErr w:type="spellEnd"/>
      <w:r w:rsidRPr="00B15515">
        <w:rPr>
          <w:color w:val="000000" w:themeColor="text1"/>
        </w:rPr>
        <w:t xml:space="preserve"> que lea como sigue:</w:t>
      </w:r>
    </w:p>
    <w:p w14:paraId="13B7BF39"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“Artículo 17.01. — Derechos pagaderos al Departamento de Estado por la radicación de certificados u otros documentos. </w:t>
      </w:r>
    </w:p>
    <w:p w14:paraId="0B2FB63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A.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 Estado cobrará y recaudará los siguientes derechos que se pagarán mediante diversas formas de pago electrónico cuando las transacciones sean efectuadas a través de la Internet, y mediante comprobantes de rentas internas, cuando las transacciones se hagan en las oficinas del Departamento de Estado:</w:t>
      </w:r>
    </w:p>
    <w:p w14:paraId="406F1568" w14:textId="77777777" w:rsidR="00822714" w:rsidRPr="00B15515" w:rsidRDefault="00822714" w:rsidP="00822714">
      <w:pPr>
        <w:spacing w:line="480" w:lineRule="auto"/>
        <w:ind w:left="720"/>
        <w:jc w:val="both"/>
        <w:rPr>
          <w:rFonts w:ascii="Book Antiqua" w:hAnsi="Book Antiqua"/>
          <w:color w:val="000000" w:themeColor="text1"/>
        </w:rPr>
      </w:pPr>
      <w:proofErr w:type="gramStart"/>
      <w:r w:rsidRPr="00B15515">
        <w:rPr>
          <w:rFonts w:ascii="Book Antiqua" w:hAnsi="Book Antiqua"/>
          <w:color w:val="000000" w:themeColor="text1"/>
        </w:rPr>
        <w:t>1 .</w:t>
      </w:r>
      <w:proofErr w:type="gramEnd"/>
      <w:r w:rsidRPr="00B15515">
        <w:rPr>
          <w:rFonts w:ascii="Book Antiqua" w:hAnsi="Book Antiqua"/>
          <w:color w:val="000000" w:themeColor="text1"/>
        </w:rPr>
        <w:t xml:space="preserve"> …</w:t>
      </w:r>
    </w:p>
    <w:p w14:paraId="0095090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7089227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lastRenderedPageBreak/>
        <w:t xml:space="preserve">15. </w:t>
      </w:r>
      <w:r w:rsidRPr="00B15515">
        <w:rPr>
          <w:rFonts w:ascii="Book Antiqua" w:hAnsi="Book Antiqua"/>
          <w:b/>
          <w:bCs/>
          <w:color w:val="000000" w:themeColor="text1"/>
        </w:rPr>
        <w:t>[Por radicar en las oficinas del Departamento de Estado cualquier informe anual, tal como se dispone en los Artículos 15.01 y 15.03 de esta Ley, se cobrarán y pagarán derechos por una suma que en ningún caso será menor de cien dólares ($100).]</w:t>
      </w:r>
      <w:r w:rsidRPr="00B15515">
        <w:rPr>
          <w:rFonts w:ascii="Book Antiqua" w:hAnsi="Book Antiqua"/>
          <w:i/>
          <w:iCs/>
          <w:color w:val="000000" w:themeColor="text1"/>
          <w:u w:val="single"/>
        </w:rPr>
        <w:t xml:space="preserve"> Toda corporación doméstica o foránea deberá pagar derechos anuales por una suma que en ningún caso será menor de cien dólares ($100). </w:t>
      </w:r>
    </w:p>
    <w:p w14:paraId="57FD35C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28042DC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B. ...</w:t>
      </w:r>
    </w:p>
    <w:p w14:paraId="435C8D5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C. ...” </w:t>
      </w:r>
    </w:p>
    <w:p w14:paraId="50A669D1" w14:textId="77777777" w:rsidR="00822714" w:rsidRPr="00B15515" w:rsidRDefault="00822714" w:rsidP="00822714">
      <w:pPr>
        <w:pStyle w:val="Heading1"/>
        <w:rPr>
          <w:color w:val="000000" w:themeColor="text1"/>
        </w:rPr>
      </w:pPr>
      <w:r w:rsidRPr="00B15515">
        <w:rPr>
          <w:color w:val="000000" w:themeColor="text1"/>
        </w:rPr>
        <w:t>Artículo 27.— Se enmienda el apartado (c) del Artículo 7.135 de la Ley 107-2020, según enmendada, para que se lea como sigue:</w:t>
      </w:r>
    </w:p>
    <w:p w14:paraId="1B364767"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“Artículo 7.135 — Planilla de Contribución sobre Propiedad Mueble</w:t>
      </w:r>
    </w:p>
    <w:p w14:paraId="0C5DF10B" w14:textId="77777777" w:rsidR="00822714" w:rsidRPr="00B15515" w:rsidRDefault="00822714" w:rsidP="00822714">
      <w:pPr>
        <w:pStyle w:val="ListParagraph"/>
        <w:numPr>
          <w:ilvl w:val="0"/>
          <w:numId w:val="30"/>
        </w:numPr>
        <w:spacing w:line="480" w:lineRule="auto"/>
        <w:ind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0AF4F66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729EC61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(c) Planillas acompañadas de estados financieros auditados y otros documentos preparados por contadores públicos autorizados — Disponiéndose que para </w:t>
      </w:r>
      <w:r w:rsidRPr="00B15515">
        <w:rPr>
          <w:rFonts w:ascii="Book Antiqua" w:hAnsi="Book Antiqua"/>
          <w:b/>
          <w:bCs/>
          <w:color w:val="000000" w:themeColor="text1"/>
        </w:rPr>
        <w:t>[antes del 1 de enero de 2023]</w:t>
      </w:r>
      <w:r w:rsidRPr="00B15515">
        <w:rPr>
          <w:rFonts w:ascii="Book Antiqua" w:hAnsi="Book Antiqua"/>
          <w:color w:val="000000" w:themeColor="text1"/>
        </w:rPr>
        <w:t xml:space="preserve"> </w:t>
      </w:r>
      <w:r w:rsidRPr="00B15515">
        <w:rPr>
          <w:rFonts w:ascii="Book Antiqua" w:hAnsi="Book Antiqua"/>
          <w:i/>
          <w:iCs/>
          <w:color w:val="000000" w:themeColor="text1"/>
        </w:rPr>
        <w:t>todo año contributivo comenzado después del 31 de diciembre de 2021</w:t>
      </w:r>
      <w:r w:rsidRPr="00B15515">
        <w:rPr>
          <w:rFonts w:ascii="Book Antiqua" w:hAnsi="Book Antiqua"/>
          <w:color w:val="000000" w:themeColor="text1"/>
        </w:rPr>
        <w:t xml:space="preserve">, toda persona natural o jurídica dedicada a industria o negocio o dedicada a la producción de ingresos en Puerto Rico, que venga obligada, conforme a la Sección 1061.15 de la Ley 1-2011, según enmendada, conocida como “Código de Rentas Internas de Puerto Rico de 2011” a someter, o que voluntariamente presente ante el Secretario de Hacienda, estados financieros auditados por un contador público autorizado con licencia expedida por el </w:t>
      </w:r>
      <w:r w:rsidRPr="00B15515">
        <w:rPr>
          <w:rFonts w:ascii="Book Antiqua" w:hAnsi="Book Antiqua"/>
          <w:color w:val="000000" w:themeColor="text1"/>
        </w:rPr>
        <w:lastRenderedPageBreak/>
        <w:t>Gobierno de Puerto Rico, deberá someter la planilla de contribución sobre la propiedad mueble junto con estados financieros. Además, la planilla de contribución sobre la propiedad mueble será́ acompa</w:t>
      </w:r>
      <w:r w:rsidRPr="00B15515">
        <w:rPr>
          <w:rFonts w:ascii="Book Antiqua" w:hAnsi="Book Antiqua" w:cs="Book Antiqua"/>
          <w:color w:val="000000" w:themeColor="text1"/>
        </w:rPr>
        <w:t>ñ</w:t>
      </w:r>
      <w:r w:rsidRPr="00B15515">
        <w:rPr>
          <w:rFonts w:ascii="Book Antiqua" w:hAnsi="Book Antiqua"/>
          <w:color w:val="000000" w:themeColor="text1"/>
        </w:rPr>
        <w:t>ada de:</w:t>
      </w:r>
    </w:p>
    <w:p w14:paraId="5021F197"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(1) ...</w:t>
      </w:r>
    </w:p>
    <w:p w14:paraId="413DFF4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027817D3" w14:textId="77777777" w:rsidR="00822714" w:rsidRPr="00B15515" w:rsidRDefault="00822714" w:rsidP="00822714">
      <w:pPr>
        <w:pStyle w:val="ListParagraph"/>
        <w:numPr>
          <w:ilvl w:val="0"/>
          <w:numId w:val="44"/>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 . .</w:t>
      </w:r>
    </w:p>
    <w:p w14:paraId="5436ADE0" w14:textId="77777777" w:rsidR="00822714" w:rsidRPr="00B15515" w:rsidRDefault="00822714" w:rsidP="00822714">
      <w:pPr>
        <w:pStyle w:val="ListParagraph"/>
        <w:numPr>
          <w:ilvl w:val="0"/>
          <w:numId w:val="44"/>
        </w:numPr>
        <w:spacing w:line="480" w:lineRule="auto"/>
        <w:ind w:left="720" w:firstLine="0"/>
        <w:contextualSpacing w:val="0"/>
        <w:jc w:val="both"/>
        <w:rPr>
          <w:rFonts w:ascii="Book Antiqua" w:hAnsi="Book Antiqua"/>
          <w:color w:val="000000" w:themeColor="text1"/>
        </w:rPr>
      </w:pPr>
      <w:r w:rsidRPr="00B15515">
        <w:rPr>
          <w:rFonts w:ascii="Book Antiqua" w:hAnsi="Book Antiqua"/>
          <w:color w:val="000000" w:themeColor="text1"/>
        </w:rPr>
        <w:t>. . .”</w:t>
      </w:r>
    </w:p>
    <w:p w14:paraId="50B95B5E" w14:textId="77777777" w:rsidR="00822714" w:rsidRPr="00B15515" w:rsidRDefault="00822714" w:rsidP="00822714">
      <w:pPr>
        <w:pStyle w:val="Heading1"/>
        <w:rPr>
          <w:color w:val="000000" w:themeColor="text1"/>
        </w:rPr>
      </w:pPr>
      <w:r w:rsidRPr="00B15515">
        <w:rPr>
          <w:color w:val="000000" w:themeColor="text1"/>
        </w:rPr>
        <w:t>Artículo 28.— Se enmienda el párrafo (1) del apartado (a) del Artículo 7.207 de la Ley 107-2020, según enmendada, para que se lea como sigue:</w:t>
      </w:r>
    </w:p>
    <w:p w14:paraId="71F312B1"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“Artículo 7.207 — Radicación de Declaración</w:t>
      </w:r>
    </w:p>
    <w:p w14:paraId="1520FF9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(a) Fecha para la declaración — </w:t>
      </w:r>
    </w:p>
    <w:p w14:paraId="2DF953D7" w14:textId="77777777" w:rsidR="00822714" w:rsidRPr="00B15515" w:rsidRDefault="00822714" w:rsidP="00822714">
      <w:pPr>
        <w:spacing w:line="480" w:lineRule="auto"/>
        <w:ind w:left="720"/>
        <w:jc w:val="both"/>
        <w:rPr>
          <w:rFonts w:ascii="Book Antiqua" w:hAnsi="Book Antiqua"/>
          <w:i/>
          <w:iCs/>
          <w:color w:val="000000" w:themeColor="text1"/>
        </w:rPr>
      </w:pPr>
      <w:r w:rsidRPr="00B15515">
        <w:rPr>
          <w:rFonts w:ascii="Book Antiqua" w:hAnsi="Book Antiqua"/>
          <w:color w:val="000000" w:themeColor="text1"/>
        </w:rPr>
        <w:t xml:space="preserve">(1) Regla general — Toda persona sujeta al pago de patente o su agente autorizado estará obligada a rendir una declaración de volumen de negocio, según se dispone en este Código, en o antes de los cinco (5) días laborables siguientes al 15 de abril de cada año contributivo.  </w:t>
      </w:r>
      <w:r w:rsidRPr="00B15515">
        <w:rPr>
          <w:rFonts w:ascii="Book Antiqua" w:hAnsi="Book Antiqua"/>
          <w:i/>
          <w:iCs/>
          <w:color w:val="000000" w:themeColor="text1"/>
        </w:rPr>
        <w:t xml:space="preserve">En el caso de negocios cubiertos por un decreto de exención contributiva y que están sujetos a la radicación de la Planilla de Contribución sobre Ingresos bajo lo dispuesto en la Sección 1061.16(e) del Código de Rentas Internas de Puerto Rico, la fecha límite para la radicación de la Declaración de Volumen de Negocios será cinco (5) días laborables siguientes al 15 de junio de cada año contributivo.  </w:t>
      </w:r>
      <w:r w:rsidRPr="00B15515">
        <w:rPr>
          <w:rFonts w:ascii="Book Antiqua" w:hAnsi="Book Antiqua"/>
          <w:color w:val="000000" w:themeColor="text1"/>
        </w:rPr>
        <w:t xml:space="preserve">Para años contributivos comenzados luego del 31 de diciembre de 2021, si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 Hacienda emite una Determinación Administrativa conforme a lo dispuesto en la Secciones 6080.12(e) o 6051.11 del Código de Rentas Internas de Puerto Rico, cada </w:t>
      </w:r>
      <w:r w:rsidRPr="00B15515">
        <w:rPr>
          <w:rFonts w:ascii="Book Antiqua" w:hAnsi="Book Antiqua"/>
          <w:color w:val="000000" w:themeColor="text1"/>
        </w:rPr>
        <w:lastRenderedPageBreak/>
        <w:t xml:space="preserve">municipio vendrá obligado a posponer la fecha de radicación de Declaración. La posposición para la radicación de la Declaración deberá ser por el mismo tiempo de la posposición de la planilla de contribución sobre ingresos establecida por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 Hacienda, dicha fecha pospuesta mediante Determinación Administrativa será considerada la fecha de radicación original para todos los propósitos de este Código.</w:t>
      </w:r>
      <w:r w:rsidRPr="00B15515">
        <w:rPr>
          <w:rFonts w:ascii="Book Antiqua" w:hAnsi="Book Antiqua"/>
          <w:i/>
          <w:iCs/>
          <w:color w:val="000000" w:themeColor="text1"/>
        </w:rPr>
        <w:t>”</w:t>
      </w:r>
    </w:p>
    <w:p w14:paraId="511223BD" w14:textId="77777777" w:rsidR="00822714" w:rsidRPr="00B15515" w:rsidRDefault="00822714" w:rsidP="00822714">
      <w:pPr>
        <w:pStyle w:val="Heading1"/>
        <w:rPr>
          <w:color w:val="000000" w:themeColor="text1"/>
        </w:rPr>
      </w:pPr>
      <w:r w:rsidRPr="00B15515">
        <w:rPr>
          <w:color w:val="000000" w:themeColor="text1"/>
        </w:rPr>
        <w:t>Artículo 29.— Se enmienda el apartado (d), se renumera parte del apartado (d) como el nuevo apartado (e), y se añade un nuevo apartado (f) a la Sección 6020.10 de la Ley 60-2019, según enmendada para que se lea como sigue:</w:t>
      </w:r>
    </w:p>
    <w:p w14:paraId="3FF1F22F"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6020.10. — Informes. —</w:t>
      </w:r>
    </w:p>
    <w:p w14:paraId="3FE4DDD3"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color w:val="000000" w:themeColor="text1"/>
        </w:rPr>
        <w:t>(a) …</w:t>
      </w:r>
    </w:p>
    <w:p w14:paraId="4A1EBEF2"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w:t>
      </w:r>
    </w:p>
    <w:p w14:paraId="189014D8"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color w:val="000000" w:themeColor="text1"/>
        </w:rPr>
        <w:t xml:space="preserve">(d) La radicación de los informes anuales requeridos para Negocios Exentos bajo la Sección 2021.01 de este Código, o bajo la Ley 22-2012, según enmendada, conocida como la “Ley Para Incentivar el Traslado de Individuos Inversionistas a Puerto Rico”, estará sujeta a un cargo anual de cinco mil (5,000) dólares, de los cuales trescientos (300) dólares serán pagaderos a favor del Secretario de Hacienda y nutrirán un Fondo Especial administrado por el DDEC, y cuatro mil </w:t>
      </w:r>
      <w:r w:rsidRPr="00B15515">
        <w:rPr>
          <w:rFonts w:ascii="Book Antiqua" w:hAnsi="Book Antiqua"/>
          <w:b/>
          <w:bCs/>
          <w:color w:val="000000" w:themeColor="text1"/>
        </w:rPr>
        <w:t>[</w:t>
      </w:r>
      <w:proofErr w:type="spellStart"/>
      <w:r w:rsidRPr="00B15515">
        <w:rPr>
          <w:rFonts w:ascii="Book Antiqua" w:hAnsi="Book Antiqua"/>
          <w:b/>
          <w:bCs/>
          <w:color w:val="000000" w:themeColor="text1"/>
        </w:rPr>
        <w:t>setescientos</w:t>
      </w:r>
      <w:proofErr w:type="spellEnd"/>
      <w:r w:rsidRPr="00B15515">
        <w:rPr>
          <w:rFonts w:ascii="Book Antiqua" w:hAnsi="Book Antiqua"/>
          <w:b/>
          <w:bCs/>
          <w:color w:val="000000" w:themeColor="text1"/>
        </w:rPr>
        <w:t>]</w:t>
      </w:r>
      <w:r w:rsidRPr="00B15515">
        <w:rPr>
          <w:rFonts w:ascii="Book Antiqua" w:hAnsi="Book Antiqua"/>
          <w:color w:val="000000" w:themeColor="text1"/>
        </w:rPr>
        <w:t xml:space="preserve"> </w:t>
      </w:r>
      <w:r w:rsidRPr="00B15515">
        <w:rPr>
          <w:rFonts w:ascii="Book Antiqua" w:hAnsi="Book Antiqua"/>
          <w:i/>
          <w:iCs/>
          <w:color w:val="000000" w:themeColor="text1"/>
        </w:rPr>
        <w:t>setecientos</w:t>
      </w:r>
      <w:r w:rsidRPr="00B15515">
        <w:rPr>
          <w:rFonts w:ascii="Book Antiqua" w:hAnsi="Book Antiqua"/>
          <w:color w:val="000000" w:themeColor="text1"/>
        </w:rPr>
        <w:t xml:space="preserve"> (4,700) dólares serán pagaderos a favor del Secretario de Hacienda que serán destinados al Fondo General del Gobierno de Puerto Rico.</w:t>
      </w:r>
    </w:p>
    <w:p w14:paraId="6A7C6E85"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i/>
          <w:iCs/>
          <w:color w:val="000000" w:themeColor="text1"/>
        </w:rPr>
        <w:t>(e)</w:t>
      </w:r>
      <w:r w:rsidRPr="00B15515">
        <w:rPr>
          <w:rFonts w:ascii="Book Antiqua" w:hAnsi="Book Antiqua"/>
          <w:color w:val="000000" w:themeColor="text1"/>
        </w:rPr>
        <w:t xml:space="preserve">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del DDEC, luego de serle informado por la agencia concernida, podrá imponer una multa administrativa de hasta un máximo de diez mil (10,000) </w:t>
      </w:r>
      <w:r w:rsidRPr="00B15515">
        <w:rPr>
          <w:rFonts w:ascii="Book Antiqua" w:hAnsi="Book Antiqua"/>
          <w:color w:val="000000" w:themeColor="text1"/>
        </w:rPr>
        <w:lastRenderedPageBreak/>
        <w:t xml:space="preserve">dólares a cualquier Negocio Exento que posea un Decreto concedido bajo este Código y que deje de radicar alguno de los informes que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 Hacienda, 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del DDEC o el Comisionado de Seguros le requiera, o que radique los mismos después de la fecha de su vencimiento. La radicación de un informe incompleto se considerará como no radicado, si la agencia concernida notifica al Negocio Exento de alguna omisión en el informe requerido y dicho Negocio Exento no somete la información que falta dentro de quince (15) días de haber sido notificada, o no justifica razonablemente la falta de la misma.</w:t>
      </w:r>
    </w:p>
    <w:p w14:paraId="42A8CC2B" w14:textId="77777777" w:rsidR="00822714" w:rsidRPr="00B15515" w:rsidRDefault="00822714" w:rsidP="00822714">
      <w:pPr>
        <w:pStyle w:val="Heading1"/>
        <w:rPr>
          <w:color w:val="000000" w:themeColor="text1"/>
        </w:rPr>
      </w:pPr>
      <w:r w:rsidRPr="00B15515">
        <w:rPr>
          <w:color w:val="000000" w:themeColor="text1"/>
        </w:rPr>
        <w:t>Artículo 30.— Se enmienda el apartado (d) de la Sección 6070.66 de la Ley 60-2019, según enmendada, para que se lea como sigue:</w:t>
      </w:r>
    </w:p>
    <w:p w14:paraId="60AD5E04"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“Sección 6070.66. — Informes Requeridos a Negocios Exentos y a sus Accionistas o Socios aplicables a las Zonas de Oportunidad. —</w:t>
      </w:r>
    </w:p>
    <w:p w14:paraId="75FCBBD5" w14:textId="77777777" w:rsidR="00822714" w:rsidRPr="00B15515" w:rsidRDefault="00822714" w:rsidP="00822714">
      <w:pPr>
        <w:pStyle w:val="ListParagraph"/>
        <w:numPr>
          <w:ilvl w:val="0"/>
          <w:numId w:val="32"/>
        </w:numPr>
        <w:spacing w:line="480" w:lineRule="auto"/>
        <w:ind w:firstLine="0"/>
        <w:contextualSpacing w:val="0"/>
        <w:jc w:val="both"/>
        <w:rPr>
          <w:rFonts w:ascii="Book Antiqua" w:hAnsi="Book Antiqua"/>
          <w:color w:val="000000" w:themeColor="text1"/>
        </w:rPr>
      </w:pPr>
      <w:r w:rsidRPr="00B15515">
        <w:rPr>
          <w:rFonts w:ascii="Book Antiqua" w:hAnsi="Book Antiqua"/>
          <w:color w:val="000000" w:themeColor="text1"/>
        </w:rPr>
        <w:t>…</w:t>
      </w:r>
    </w:p>
    <w:p w14:paraId="7BBEC84C" w14:textId="77777777" w:rsidR="00822714" w:rsidRPr="00B15515" w:rsidRDefault="00822714" w:rsidP="00822714">
      <w:pPr>
        <w:pStyle w:val="ListParagraph"/>
        <w:spacing w:line="480" w:lineRule="auto"/>
        <w:contextualSpacing w:val="0"/>
        <w:jc w:val="both"/>
        <w:rPr>
          <w:rFonts w:ascii="Book Antiqua" w:hAnsi="Book Antiqua"/>
          <w:color w:val="000000" w:themeColor="text1"/>
        </w:rPr>
      </w:pPr>
      <w:r w:rsidRPr="00B15515">
        <w:rPr>
          <w:rFonts w:ascii="Book Antiqua" w:hAnsi="Book Antiqua"/>
          <w:color w:val="000000" w:themeColor="text1"/>
        </w:rPr>
        <w:t>…</w:t>
      </w:r>
    </w:p>
    <w:p w14:paraId="6116F76E"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 xml:space="preserve">(d) Todo </w:t>
      </w:r>
      <w:r w:rsidRPr="00B15515">
        <w:rPr>
          <w:rFonts w:ascii="Book Antiqua" w:hAnsi="Book Antiqua"/>
          <w:b/>
          <w:bCs/>
          <w:color w:val="000000" w:themeColor="text1"/>
        </w:rPr>
        <w:t>[negocio exento]</w:t>
      </w:r>
      <w:r w:rsidRPr="00B15515">
        <w:rPr>
          <w:rFonts w:ascii="Book Antiqua" w:hAnsi="Book Antiqua"/>
          <w:color w:val="000000" w:themeColor="text1"/>
        </w:rPr>
        <w:t xml:space="preserve"> </w:t>
      </w:r>
      <w:r w:rsidRPr="00B15515">
        <w:rPr>
          <w:rFonts w:ascii="Book Antiqua" w:hAnsi="Book Antiqua"/>
          <w:i/>
          <w:iCs/>
          <w:color w:val="000000" w:themeColor="text1"/>
        </w:rPr>
        <w:t>Negocio Exento</w:t>
      </w:r>
      <w:r w:rsidRPr="00B15515">
        <w:rPr>
          <w:rFonts w:ascii="Book Antiqua" w:hAnsi="Book Antiqua"/>
          <w:color w:val="000000" w:themeColor="text1"/>
        </w:rPr>
        <w:t xml:space="preserve"> radicará anualmente en la Oficina de Exención, con copia al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no más tarde de treinta (30) días después de la fecha prescrita por ley para la radicación de la correspondiente planilla de contribución sobre ingresos, incluyendo las prórrogas concedidas para este propósito, un informe autenticado con la firma del </w:t>
      </w:r>
      <w:proofErr w:type="gramStart"/>
      <w:r w:rsidRPr="00B15515">
        <w:rPr>
          <w:rFonts w:ascii="Book Antiqua" w:hAnsi="Book Antiqua"/>
          <w:color w:val="000000" w:themeColor="text1"/>
        </w:rPr>
        <w:t>Presidente</w:t>
      </w:r>
      <w:proofErr w:type="gramEnd"/>
      <w:r w:rsidRPr="00B15515">
        <w:rPr>
          <w:rFonts w:ascii="Book Antiqua" w:hAnsi="Book Antiqua"/>
          <w:color w:val="000000" w:themeColor="text1"/>
        </w:rPr>
        <w:t xml:space="preserve">, socio administrador, o su representante autorizado. Dicho informe deberá contener una relación de datos que reflejen el cumplimiento de las condiciones establecidas en el </w:t>
      </w:r>
      <w:r w:rsidRPr="00B15515">
        <w:rPr>
          <w:rFonts w:ascii="Book Antiqua" w:hAnsi="Book Antiqua"/>
          <w:b/>
          <w:bCs/>
          <w:color w:val="000000" w:themeColor="text1"/>
        </w:rPr>
        <w:t xml:space="preserve">[decreto] </w:t>
      </w:r>
      <w:r w:rsidRPr="00B15515">
        <w:rPr>
          <w:rFonts w:ascii="Book Antiqua" w:hAnsi="Book Antiqua"/>
          <w:i/>
          <w:iCs/>
          <w:color w:val="000000" w:themeColor="text1"/>
        </w:rPr>
        <w:t>Decreto</w:t>
      </w:r>
      <w:r w:rsidRPr="00B15515">
        <w:rPr>
          <w:rFonts w:ascii="Book Antiqua" w:hAnsi="Book Antiqua"/>
          <w:color w:val="000000" w:themeColor="text1"/>
        </w:rPr>
        <w:t xml:space="preserve">, incluyendo, sin que se entienda como una limitación, lo </w:t>
      </w:r>
      <w:r w:rsidRPr="00B15515">
        <w:rPr>
          <w:rFonts w:ascii="Book Antiqua" w:hAnsi="Book Antiqua"/>
          <w:color w:val="000000" w:themeColor="text1"/>
        </w:rPr>
        <w:lastRenderedPageBreak/>
        <w:t xml:space="preserve">siguiente: empleo promedio, productos manufacturados o servicios rendidos, materia prima o productos manufacturados adquiridos en Puerto Rico, servicios profesionales, de consultoría, de seguridad y/o mantenimiento contratados con profesionales o empresas con presencia en Puerto Rico, la actividad bancaria a través de instituciones con presencia en Puerto Rico, lo que representa en actividad económica todo lo anterior, con la información que se pueda requerir en el formulario que se promulgue para estos propósitos o que se requiera por Reglamento. Este informe deberá venir acompañado por los derechos que se dispongan por </w:t>
      </w:r>
      <w:r w:rsidRPr="00B15515">
        <w:rPr>
          <w:rFonts w:ascii="Book Antiqua" w:hAnsi="Book Antiqua"/>
          <w:b/>
          <w:bCs/>
          <w:color w:val="000000" w:themeColor="text1"/>
        </w:rPr>
        <w:t>[Reglamento]</w:t>
      </w:r>
      <w:r w:rsidRPr="00B15515">
        <w:rPr>
          <w:rFonts w:ascii="Book Antiqua" w:hAnsi="Book Antiqua"/>
          <w:color w:val="000000" w:themeColor="text1"/>
        </w:rPr>
        <w:t xml:space="preserve"> </w:t>
      </w:r>
      <w:r w:rsidRPr="00B15515">
        <w:rPr>
          <w:rFonts w:ascii="Book Antiqua" w:hAnsi="Book Antiqua"/>
          <w:i/>
          <w:iCs/>
          <w:color w:val="000000" w:themeColor="text1"/>
        </w:rPr>
        <w:t>reglamento</w:t>
      </w:r>
      <w:r w:rsidRPr="00B15515">
        <w:rPr>
          <w:rFonts w:ascii="Book Antiqua" w:hAnsi="Book Antiqua"/>
          <w:color w:val="000000" w:themeColor="text1"/>
        </w:rPr>
        <w:t xml:space="preserve"> y los mismos serán pagados con un giro postal o bancario o cheque certificado o por medios electrónicos a nombre del </w:t>
      </w:r>
      <w:proofErr w:type="gramStart"/>
      <w:r w:rsidRPr="00B15515">
        <w:rPr>
          <w:rFonts w:ascii="Book Antiqua" w:hAnsi="Book Antiqua"/>
          <w:color w:val="000000" w:themeColor="text1"/>
        </w:rPr>
        <w:t>Secretario</w:t>
      </w:r>
      <w:proofErr w:type="gramEnd"/>
      <w:r w:rsidRPr="00B15515">
        <w:rPr>
          <w:rFonts w:ascii="Book Antiqua" w:hAnsi="Book Antiqua"/>
          <w:color w:val="000000" w:themeColor="text1"/>
        </w:rPr>
        <w:t xml:space="preserve"> de Hacienda. La información ofrecida en este informe anual será utilizada para propósitos de estadísticas y estudios económicos, así como para la evaluación que deberá realizar el Profesional de Cumplimiento cada dos (2) años para conceder o denegar el Certificado de Cumplimiento relacionado. </w:t>
      </w:r>
      <w:r w:rsidRPr="00B15515">
        <w:rPr>
          <w:rFonts w:ascii="Book Antiqua" w:hAnsi="Book Antiqua"/>
          <w:i/>
          <w:iCs/>
          <w:color w:val="000000" w:themeColor="text1"/>
        </w:rPr>
        <w:t xml:space="preserve">Informes de años contributivos comenzados luego del 31 de diciembre de 2023 y subsiguientes, deberán ser radicados electrónicamente ante el </w:t>
      </w:r>
      <w:proofErr w:type="gramStart"/>
      <w:r w:rsidRPr="00B15515">
        <w:rPr>
          <w:rFonts w:ascii="Book Antiqua" w:hAnsi="Book Antiqua"/>
          <w:i/>
          <w:iCs/>
          <w:color w:val="000000" w:themeColor="text1"/>
        </w:rPr>
        <w:t>Secretario</w:t>
      </w:r>
      <w:proofErr w:type="gramEnd"/>
      <w:r w:rsidRPr="00B15515">
        <w:rPr>
          <w:rFonts w:ascii="Book Antiqua" w:hAnsi="Book Antiqua"/>
          <w:i/>
          <w:iCs/>
          <w:color w:val="000000" w:themeColor="text1"/>
        </w:rPr>
        <w:t xml:space="preserve"> de Hacienda como parte de la planilla de contribución sobre ingresos del Negocio Exento, junto al pago de derechos correspondiente. El </w:t>
      </w:r>
      <w:proofErr w:type="gramStart"/>
      <w:r w:rsidRPr="00B15515">
        <w:rPr>
          <w:rFonts w:ascii="Book Antiqua" w:hAnsi="Book Antiqua"/>
          <w:i/>
          <w:iCs/>
          <w:color w:val="000000" w:themeColor="text1"/>
        </w:rPr>
        <w:t>Secretario</w:t>
      </w:r>
      <w:proofErr w:type="gramEnd"/>
      <w:r w:rsidRPr="00B15515">
        <w:rPr>
          <w:rFonts w:ascii="Book Antiqua" w:hAnsi="Book Antiqua"/>
          <w:i/>
          <w:iCs/>
          <w:color w:val="000000" w:themeColor="text1"/>
        </w:rPr>
        <w:t xml:space="preserve"> de Hacienda podrá posponer la entrada en vigor de las disposiciones de este apartado para todos o algunos concesionarios mediante publicación de carácter general.</w:t>
      </w:r>
    </w:p>
    <w:p w14:paraId="491F1F7C" w14:textId="77777777" w:rsidR="00822714" w:rsidRPr="00B15515" w:rsidRDefault="00822714" w:rsidP="00822714">
      <w:pPr>
        <w:spacing w:line="480" w:lineRule="auto"/>
        <w:ind w:left="720"/>
        <w:jc w:val="both"/>
        <w:rPr>
          <w:rFonts w:ascii="Book Antiqua" w:hAnsi="Book Antiqua"/>
          <w:color w:val="000000" w:themeColor="text1"/>
        </w:rPr>
      </w:pPr>
      <w:r w:rsidRPr="00B15515">
        <w:rPr>
          <w:rFonts w:ascii="Book Antiqua" w:hAnsi="Book Antiqua"/>
          <w:color w:val="000000" w:themeColor="text1"/>
        </w:rPr>
        <w:t>(e) …”</w:t>
      </w:r>
    </w:p>
    <w:p w14:paraId="4A07C0CC" w14:textId="5840AF93" w:rsidR="00822714" w:rsidRPr="00B15515" w:rsidRDefault="00822714" w:rsidP="00822714">
      <w:pPr>
        <w:pStyle w:val="Heading1"/>
        <w:rPr>
          <w:color w:val="000000" w:themeColor="text1"/>
        </w:rPr>
      </w:pPr>
      <w:r w:rsidRPr="00B15515">
        <w:rPr>
          <w:color w:val="000000" w:themeColor="text1"/>
        </w:rPr>
        <w:t xml:space="preserve">Artículo 31. —Acuerdo Colaborativo entre el Departamento de Hacienda y el Departamento del Trabajo y Recursos Humanos con el Propósito de Consolidar la </w:t>
      </w:r>
      <w:r w:rsidRPr="00B15515">
        <w:rPr>
          <w:color w:val="000000" w:themeColor="text1"/>
        </w:rPr>
        <w:lastRenderedPageBreak/>
        <w:t>Presentación de las Planillas Presentadas por los Patronos sobre los Impuestos de Nómina relacionados a los Salarios Pagados a los Empleados.</w:t>
      </w:r>
    </w:p>
    <w:p w14:paraId="267C2967" w14:textId="77777777" w:rsidR="00822714" w:rsidRPr="00B15515" w:rsidRDefault="00822714" w:rsidP="00822714">
      <w:pPr>
        <w:pStyle w:val="ListParagraph"/>
        <w:numPr>
          <w:ilvl w:val="1"/>
          <w:numId w:val="27"/>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 xml:space="preserve">Con el propósito de consolidar las planillas trimestrales y anuales presentadas por los patronos sobre los impuestos de nómina relacionados a los salarios pagados a los empleados en un solo formulario por periodo, se ordena al Secretario del Departamento del Trabajo y Recursos Humanos a suscribir un acuerdo colaborativo con el Secretario del Departamento de Hacienda para que,  a través del Sistema Unificado de Rentas Internas (“SURI”), o cualquier sistema que le sustituya, se presente la declaración de salarios, y la presentación y pago de la planilla de contribuciones que actualmente se realizan a través del Portal de Servicios a Patronos del Departamento del Trabajo y Recursos Humanos. </w:t>
      </w:r>
    </w:p>
    <w:p w14:paraId="044D1F5A" w14:textId="77777777" w:rsidR="00822714" w:rsidRPr="00B15515" w:rsidRDefault="00822714" w:rsidP="00822714">
      <w:pPr>
        <w:pStyle w:val="ListParagraph"/>
        <w:numPr>
          <w:ilvl w:val="1"/>
          <w:numId w:val="27"/>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 xml:space="preserve">Dicho acuerdo deberá contener los cambios en formularios que deberá realizar el Departamento de Hacienda para añadir la información adicional que el Departamento del Trabajo y Recursos Humanos entienda necesaria. </w:t>
      </w:r>
    </w:p>
    <w:p w14:paraId="1DB86563" w14:textId="77777777" w:rsidR="00822714" w:rsidRPr="00B15515" w:rsidRDefault="00822714" w:rsidP="00822714">
      <w:pPr>
        <w:pStyle w:val="ListParagraph"/>
        <w:numPr>
          <w:ilvl w:val="1"/>
          <w:numId w:val="27"/>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El Departamento de Hacienda deberá compartir con el Departamento del Trabajo y Recursos Humanos la información relacionada a los patronos, empleados, los salarios pagados a estos y cualquier otra información descrita en el acuerdo colaborativo para que el Departamento del Trabajo y Recursos Humanos pueda llevar a cabo sus funciones.</w:t>
      </w:r>
    </w:p>
    <w:p w14:paraId="46164874" w14:textId="77777777" w:rsidR="00822714" w:rsidRPr="00B15515" w:rsidRDefault="00822714" w:rsidP="00822714">
      <w:pPr>
        <w:pStyle w:val="ListParagraph"/>
        <w:numPr>
          <w:ilvl w:val="1"/>
          <w:numId w:val="27"/>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El acuerdo colaborativo debe ser efectivo en o antes del 1 de enero de 2024.</w:t>
      </w:r>
    </w:p>
    <w:p w14:paraId="5FE65A89" w14:textId="6C1410AA" w:rsidR="00822714" w:rsidRPr="00B15515" w:rsidRDefault="00822714" w:rsidP="00822714">
      <w:pPr>
        <w:pStyle w:val="Heading1"/>
        <w:rPr>
          <w:color w:val="000000" w:themeColor="text1"/>
        </w:rPr>
      </w:pPr>
      <w:r w:rsidRPr="00B15515">
        <w:rPr>
          <w:color w:val="000000" w:themeColor="text1"/>
        </w:rPr>
        <w:t>Artículo 32. — Transferencia de Información.</w:t>
      </w:r>
    </w:p>
    <w:p w14:paraId="232C3627" w14:textId="77777777" w:rsidR="00822714" w:rsidRPr="00B15515" w:rsidRDefault="00822714" w:rsidP="00822714">
      <w:pPr>
        <w:pStyle w:val="ListParagraph"/>
        <w:numPr>
          <w:ilvl w:val="0"/>
          <w:numId w:val="43"/>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lastRenderedPageBreak/>
        <w:t xml:space="preserve">Las agencias del Gobierno descritas en el apartado (b) a continuación compartirán y transferirán sin costo alguno, por los medios electrónicos disponibles, la información dispuesta en el apartado (c) de este Artículo al Departamento de Hacienda. </w:t>
      </w:r>
    </w:p>
    <w:p w14:paraId="72263DB9" w14:textId="77777777" w:rsidR="00822714" w:rsidRPr="00B15515" w:rsidRDefault="00822714" w:rsidP="00822714">
      <w:pPr>
        <w:pStyle w:val="ListParagraph"/>
        <w:numPr>
          <w:ilvl w:val="0"/>
          <w:numId w:val="43"/>
        </w:numPr>
        <w:spacing w:line="480" w:lineRule="auto"/>
        <w:ind w:left="0" w:firstLine="720"/>
        <w:contextualSpacing w:val="0"/>
        <w:jc w:val="both"/>
        <w:rPr>
          <w:rFonts w:ascii="Book Antiqua" w:hAnsi="Book Antiqua"/>
          <w:color w:val="000000" w:themeColor="text1"/>
        </w:rPr>
      </w:pPr>
      <w:proofErr w:type="gramStart"/>
      <w:r w:rsidRPr="00B15515">
        <w:rPr>
          <w:rFonts w:ascii="Book Antiqua" w:hAnsi="Book Antiqua"/>
          <w:color w:val="000000" w:themeColor="text1"/>
        </w:rPr>
        <w:t>Información a compartir</w:t>
      </w:r>
      <w:proofErr w:type="gramEnd"/>
      <w:r w:rsidRPr="00B15515">
        <w:rPr>
          <w:rFonts w:ascii="Book Antiqua" w:hAnsi="Book Antiqua"/>
          <w:color w:val="000000" w:themeColor="text1"/>
        </w:rPr>
        <w:t>. Las siguientes agencias deberán compartir la información aquí dispuesta que mantengan en sus registros:</w:t>
      </w:r>
    </w:p>
    <w:p w14:paraId="401ACDF4" w14:textId="77777777" w:rsidR="00822714" w:rsidRPr="00B15515" w:rsidRDefault="00822714" w:rsidP="00822714">
      <w:pPr>
        <w:pStyle w:val="ListParagraph"/>
        <w:numPr>
          <w:ilvl w:val="1"/>
          <w:numId w:val="26"/>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Departamento de Transportación y Obras Públicas. Información sobre los vehículos de motor registrados ante el departamento.</w:t>
      </w:r>
    </w:p>
    <w:p w14:paraId="5F5BEB45" w14:textId="77777777" w:rsidR="00822714" w:rsidRPr="00B15515" w:rsidRDefault="00822714" w:rsidP="00822714">
      <w:pPr>
        <w:pStyle w:val="ListParagraph"/>
        <w:numPr>
          <w:ilvl w:val="2"/>
          <w:numId w:val="24"/>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Información sobre el propietario, incluyendo nombre, dirección y número de seguro social o número de identificación patronal.</w:t>
      </w:r>
    </w:p>
    <w:p w14:paraId="645DA9E7" w14:textId="77777777" w:rsidR="00822714" w:rsidRPr="00B15515" w:rsidRDefault="00822714" w:rsidP="00822714">
      <w:pPr>
        <w:pStyle w:val="ListParagraph"/>
        <w:numPr>
          <w:ilvl w:val="2"/>
          <w:numId w:val="24"/>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Número de serie.</w:t>
      </w:r>
    </w:p>
    <w:p w14:paraId="784BFC13" w14:textId="77777777" w:rsidR="00822714" w:rsidRPr="00B15515" w:rsidRDefault="00822714" w:rsidP="00822714">
      <w:pPr>
        <w:pStyle w:val="ListParagraph"/>
        <w:numPr>
          <w:ilvl w:val="2"/>
          <w:numId w:val="24"/>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Forma de adquisición (compra, donación, herencia, importación u otros).</w:t>
      </w:r>
    </w:p>
    <w:p w14:paraId="16125A18" w14:textId="77777777" w:rsidR="00822714" w:rsidRPr="00B15515" w:rsidRDefault="00822714" w:rsidP="00822714">
      <w:pPr>
        <w:pStyle w:val="ListParagraph"/>
        <w:numPr>
          <w:ilvl w:val="2"/>
          <w:numId w:val="24"/>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Cualquier otra información que los departamentos acuerden.</w:t>
      </w:r>
    </w:p>
    <w:p w14:paraId="5917017D" w14:textId="77777777" w:rsidR="00822714" w:rsidRPr="00B15515" w:rsidRDefault="00822714" w:rsidP="00822714">
      <w:pPr>
        <w:pStyle w:val="ListParagraph"/>
        <w:numPr>
          <w:ilvl w:val="1"/>
          <w:numId w:val="26"/>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Departamento de Recursos Naturales y Ambientales. Información sobre embarcaciones registradas ante el departamento.</w:t>
      </w:r>
    </w:p>
    <w:p w14:paraId="62A11025" w14:textId="77777777" w:rsidR="00822714" w:rsidRPr="00B15515" w:rsidRDefault="00822714" w:rsidP="00822714">
      <w:pPr>
        <w:pStyle w:val="ListParagraph"/>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(A)</w:t>
      </w:r>
      <w:r w:rsidRPr="00B15515">
        <w:rPr>
          <w:rFonts w:ascii="Book Antiqua" w:hAnsi="Book Antiqua"/>
          <w:color w:val="000000" w:themeColor="text1"/>
        </w:rPr>
        <w:tab/>
        <w:t>Información sobre el propietario, incluyendo nombre, dirección y número de seguro social o número de identificación patronal.</w:t>
      </w:r>
    </w:p>
    <w:p w14:paraId="57F53F52" w14:textId="77777777" w:rsidR="00822714" w:rsidRPr="00B15515" w:rsidRDefault="00822714" w:rsidP="00822714">
      <w:pPr>
        <w:pStyle w:val="ListParagraph"/>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(B)</w:t>
      </w:r>
      <w:r w:rsidRPr="00B15515">
        <w:rPr>
          <w:rFonts w:ascii="Book Antiqua" w:hAnsi="Book Antiqua"/>
          <w:color w:val="000000" w:themeColor="text1"/>
        </w:rPr>
        <w:tab/>
        <w:t>Número de serie.</w:t>
      </w:r>
    </w:p>
    <w:p w14:paraId="768B0B7F" w14:textId="77777777" w:rsidR="00822714" w:rsidRPr="00B15515" w:rsidRDefault="00822714" w:rsidP="00822714">
      <w:pPr>
        <w:pStyle w:val="ListParagraph"/>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(c)</w:t>
      </w:r>
      <w:r w:rsidRPr="00B15515">
        <w:rPr>
          <w:rFonts w:ascii="Book Antiqua" w:hAnsi="Book Antiqua"/>
          <w:color w:val="000000" w:themeColor="text1"/>
        </w:rPr>
        <w:tab/>
        <w:t>Forma de adquisición (compra, donación, herencia, importación u otros).</w:t>
      </w:r>
    </w:p>
    <w:p w14:paraId="4F44F7C1" w14:textId="77777777" w:rsidR="00822714" w:rsidRPr="00B15515" w:rsidRDefault="00822714" w:rsidP="00822714">
      <w:pPr>
        <w:pStyle w:val="ListParagraph"/>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(D)</w:t>
      </w:r>
      <w:r w:rsidRPr="00B15515">
        <w:rPr>
          <w:rFonts w:ascii="Book Antiqua" w:hAnsi="Book Antiqua"/>
          <w:color w:val="000000" w:themeColor="text1"/>
        </w:rPr>
        <w:tab/>
        <w:t>Cualquier otra información que los departamentos acuerden.</w:t>
      </w:r>
    </w:p>
    <w:p w14:paraId="23E18141" w14:textId="77777777" w:rsidR="00822714" w:rsidRPr="00B15515" w:rsidRDefault="00822714" w:rsidP="00822714">
      <w:pPr>
        <w:pStyle w:val="ListParagraph"/>
        <w:numPr>
          <w:ilvl w:val="1"/>
          <w:numId w:val="26"/>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Compañía de Turismo. Información sobre las propiedades residenciales sujetas al Impuesto sobre el Canon de Ocupación de Habitación, conforme a la Ley 272-2003, según enmendada.</w:t>
      </w:r>
    </w:p>
    <w:p w14:paraId="1D2861CC" w14:textId="77777777" w:rsidR="00822714" w:rsidRPr="00B15515" w:rsidRDefault="00822714" w:rsidP="00822714">
      <w:pPr>
        <w:pStyle w:val="ListParagraph"/>
        <w:numPr>
          <w:ilvl w:val="3"/>
          <w:numId w:val="26"/>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lastRenderedPageBreak/>
        <w:t>Información sobre el propietario, incluyendo nombre, dirección y número de seguro social o número de identificación patronal.</w:t>
      </w:r>
    </w:p>
    <w:p w14:paraId="313C9804" w14:textId="77777777" w:rsidR="00822714" w:rsidRPr="00B15515" w:rsidRDefault="00822714" w:rsidP="00822714">
      <w:pPr>
        <w:pStyle w:val="ListParagraph"/>
        <w:numPr>
          <w:ilvl w:val="3"/>
          <w:numId w:val="26"/>
        </w:numPr>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Información sobre la propiedad arrendada.</w:t>
      </w:r>
    </w:p>
    <w:p w14:paraId="7CA0A12C" w14:textId="77777777" w:rsidR="00822714" w:rsidRPr="00B15515" w:rsidRDefault="00822714" w:rsidP="00822714">
      <w:pPr>
        <w:pStyle w:val="ListParagraph"/>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(C)</w:t>
      </w:r>
      <w:r w:rsidRPr="00B15515">
        <w:rPr>
          <w:rFonts w:ascii="Book Antiqua" w:hAnsi="Book Antiqua"/>
          <w:color w:val="000000" w:themeColor="text1"/>
        </w:rPr>
        <w:tab/>
        <w:t>Número de Identificación para Hostelero.</w:t>
      </w:r>
    </w:p>
    <w:p w14:paraId="39541F61" w14:textId="77777777" w:rsidR="00822714" w:rsidRPr="00B15515" w:rsidRDefault="00822714" w:rsidP="00822714">
      <w:pPr>
        <w:pStyle w:val="ListParagraph"/>
        <w:spacing w:line="480" w:lineRule="auto"/>
        <w:ind w:left="0" w:firstLine="720"/>
        <w:contextualSpacing w:val="0"/>
        <w:jc w:val="both"/>
        <w:rPr>
          <w:rFonts w:ascii="Book Antiqua" w:hAnsi="Book Antiqua"/>
          <w:color w:val="000000" w:themeColor="text1"/>
        </w:rPr>
      </w:pPr>
      <w:r w:rsidRPr="00B15515">
        <w:rPr>
          <w:rFonts w:ascii="Book Antiqua" w:hAnsi="Book Antiqua"/>
          <w:color w:val="000000" w:themeColor="text1"/>
        </w:rPr>
        <w:t>(D)</w:t>
      </w:r>
      <w:r w:rsidRPr="00B15515">
        <w:rPr>
          <w:rFonts w:ascii="Book Antiqua" w:hAnsi="Book Antiqua"/>
          <w:color w:val="000000" w:themeColor="text1"/>
        </w:rPr>
        <w:tab/>
        <w:t>Cualquier otra información que los departamentos acuerden.</w:t>
      </w:r>
    </w:p>
    <w:p w14:paraId="6B449298" w14:textId="77777777" w:rsidR="00822714" w:rsidRPr="00B15515" w:rsidRDefault="00822714" w:rsidP="00822714">
      <w:pPr>
        <w:spacing w:line="480" w:lineRule="auto"/>
        <w:ind w:firstLine="720"/>
        <w:jc w:val="both"/>
        <w:rPr>
          <w:rFonts w:ascii="Book Antiqua" w:hAnsi="Book Antiqua"/>
          <w:color w:val="000000" w:themeColor="text1"/>
        </w:rPr>
      </w:pPr>
      <w:r w:rsidRPr="00B15515">
        <w:rPr>
          <w:rFonts w:ascii="Book Antiqua" w:hAnsi="Book Antiqua"/>
          <w:color w:val="000000" w:themeColor="text1"/>
        </w:rPr>
        <w:t xml:space="preserve">(c) La información a compartir entre las agencias mencionados se tratará con la más alta confidencialidad. </w:t>
      </w:r>
    </w:p>
    <w:p w14:paraId="40B8C090" w14:textId="3D34CE53" w:rsidR="00822714" w:rsidRPr="00B15515" w:rsidRDefault="00822714" w:rsidP="00822714">
      <w:pPr>
        <w:pStyle w:val="BodyText"/>
        <w:spacing w:line="480" w:lineRule="auto"/>
        <w:ind w:firstLine="720"/>
        <w:rPr>
          <w:rFonts w:ascii="Book Antiqua" w:hAnsi="Book Antiqua"/>
          <w:color w:val="000000" w:themeColor="text1"/>
        </w:rPr>
      </w:pPr>
      <w:r w:rsidRPr="00B15515">
        <w:rPr>
          <w:rFonts w:ascii="Book Antiqua" w:hAnsi="Book Antiqua"/>
          <w:color w:val="000000" w:themeColor="text1"/>
        </w:rPr>
        <w:t>Artículo 33. — Supremacía.</w:t>
      </w:r>
    </w:p>
    <w:p w14:paraId="0AC02B28" w14:textId="77777777" w:rsidR="00822714" w:rsidRPr="00B15515" w:rsidRDefault="00822714" w:rsidP="00822714">
      <w:pPr>
        <w:pStyle w:val="BodyText"/>
        <w:spacing w:line="480" w:lineRule="auto"/>
        <w:ind w:firstLine="720"/>
        <w:rPr>
          <w:rFonts w:ascii="Book Antiqua" w:hAnsi="Book Antiqua"/>
          <w:color w:val="000000" w:themeColor="text1"/>
        </w:rPr>
      </w:pPr>
      <w:r w:rsidRPr="00B15515">
        <w:rPr>
          <w:rFonts w:ascii="Book Antiqua" w:hAnsi="Book Antiqua"/>
          <w:color w:val="000000" w:themeColor="text1"/>
        </w:rPr>
        <w:t>Las disposiciones de esta Ley prevalecerán sobre cualquier otra disposición de ley o reglamento que no estuviere en armonía con lo aquí establecido.</w:t>
      </w:r>
    </w:p>
    <w:p w14:paraId="09446504" w14:textId="77777777" w:rsidR="00822714" w:rsidRPr="00B15515" w:rsidRDefault="00822714" w:rsidP="00822714">
      <w:pPr>
        <w:pStyle w:val="BodyText"/>
        <w:spacing w:line="480" w:lineRule="auto"/>
        <w:ind w:firstLine="720"/>
        <w:rPr>
          <w:rFonts w:ascii="Book Antiqua" w:hAnsi="Book Antiqua"/>
          <w:color w:val="000000" w:themeColor="text1"/>
        </w:rPr>
      </w:pPr>
      <w:r w:rsidRPr="00B15515">
        <w:rPr>
          <w:rFonts w:ascii="Book Antiqua" w:hAnsi="Book Antiqua"/>
          <w:color w:val="000000" w:themeColor="text1"/>
        </w:rPr>
        <w:t xml:space="preserve">Artículo </w:t>
      </w:r>
      <w:proofErr w:type="gramStart"/>
      <w:r w:rsidRPr="00B15515">
        <w:rPr>
          <w:rFonts w:ascii="Book Antiqua" w:hAnsi="Book Antiqua"/>
          <w:color w:val="000000" w:themeColor="text1"/>
        </w:rPr>
        <w:t>34.—</w:t>
      </w:r>
      <w:proofErr w:type="gramEnd"/>
      <w:r w:rsidRPr="00B15515">
        <w:rPr>
          <w:rFonts w:ascii="Book Antiqua" w:hAnsi="Book Antiqua"/>
          <w:color w:val="000000" w:themeColor="text1"/>
        </w:rPr>
        <w:t xml:space="preserve"> Separabilidad.</w:t>
      </w:r>
    </w:p>
    <w:p w14:paraId="1FE408DF" w14:textId="77777777" w:rsidR="00822714" w:rsidRPr="00B15515" w:rsidRDefault="00822714" w:rsidP="00822714">
      <w:pPr>
        <w:pStyle w:val="BodyText"/>
        <w:spacing w:line="480" w:lineRule="auto"/>
        <w:ind w:firstLine="720"/>
        <w:rPr>
          <w:rFonts w:ascii="Book Antiqua" w:hAnsi="Book Antiqua"/>
          <w:color w:val="000000" w:themeColor="text1"/>
        </w:rPr>
      </w:pPr>
      <w:r w:rsidRPr="00B15515">
        <w:rPr>
          <w:rFonts w:ascii="Book Antiqua" w:hAnsi="Book Antiqua"/>
          <w:color w:val="000000" w:themeColor="text1"/>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w:t>
      </w:r>
      <w:r w:rsidRPr="00B15515">
        <w:rPr>
          <w:rFonts w:ascii="Book Antiqua" w:hAnsi="Book Antiqua"/>
          <w:color w:val="000000" w:themeColor="text1"/>
        </w:rPr>
        <w:lastRenderedPageBreak/>
        <w:t>se deje sin efecto, invalide o declare inconstitucional su aplicación a alguna persona o circunstancia. Esta Asamblea Legislativa hubiera aprobado esta Ley sin importar la determinación de separabilidad que el Tribunal pueda hacer.</w:t>
      </w:r>
    </w:p>
    <w:p w14:paraId="0A351241" w14:textId="518C541E" w:rsidR="00822714" w:rsidRPr="00B15515" w:rsidRDefault="00822714" w:rsidP="00822714">
      <w:pPr>
        <w:pStyle w:val="BodyText"/>
        <w:spacing w:line="480" w:lineRule="auto"/>
        <w:ind w:firstLine="720"/>
        <w:rPr>
          <w:rFonts w:ascii="Book Antiqua" w:hAnsi="Book Antiqua"/>
          <w:color w:val="000000" w:themeColor="text1"/>
        </w:rPr>
      </w:pPr>
      <w:r w:rsidRPr="00B15515">
        <w:rPr>
          <w:rFonts w:ascii="Book Antiqua" w:hAnsi="Book Antiqua"/>
          <w:color w:val="000000" w:themeColor="text1"/>
        </w:rPr>
        <w:t>Artículo 35. — Vigencia.</w:t>
      </w:r>
    </w:p>
    <w:p w14:paraId="3932C625" w14:textId="0D9B5E50" w:rsidR="0074471F" w:rsidRPr="00822714" w:rsidRDefault="00822714" w:rsidP="00822714">
      <w:pPr>
        <w:pStyle w:val="BodyText"/>
        <w:spacing w:line="480" w:lineRule="auto"/>
        <w:rPr>
          <w:rFonts w:ascii="Book Antiqua" w:hAnsi="Book Antiqua"/>
          <w:color w:val="000000" w:themeColor="text1"/>
        </w:rPr>
      </w:pPr>
      <w:r w:rsidRPr="00B15515">
        <w:rPr>
          <w:rFonts w:ascii="Book Antiqua" w:hAnsi="Book Antiqua"/>
          <w:color w:val="000000" w:themeColor="text1"/>
        </w:rPr>
        <w:tab/>
        <w:t>Esta Ley entrará en vigor inmediatamente después de su aprobación.</w:t>
      </w:r>
    </w:p>
    <w:sectPr w:rsidR="0074471F" w:rsidRPr="00822714" w:rsidSect="00822714">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A63D5" w14:textId="77777777" w:rsidR="00803B74" w:rsidRPr="007F2135" w:rsidRDefault="00803B74">
      <w:r w:rsidRPr="007F2135">
        <w:separator/>
      </w:r>
    </w:p>
  </w:endnote>
  <w:endnote w:type="continuationSeparator" w:id="0">
    <w:p w14:paraId="6362B6F3" w14:textId="77777777" w:rsidR="00803B74" w:rsidRPr="007F2135" w:rsidRDefault="00803B74">
      <w:r w:rsidRPr="007F2135">
        <w:continuationSeparator/>
      </w:r>
    </w:p>
  </w:endnote>
  <w:endnote w:type="continuationNotice" w:id="1">
    <w:p w14:paraId="002FDC17" w14:textId="77777777" w:rsidR="00803B74" w:rsidRPr="007F2135" w:rsidRDefault="0080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2298657F-7D39-46EC-9996-54CF0BB8358F}"/>
    <w:embedBold r:id="rId2" w:fontKey="{55DEC44C-7743-44FF-9EFB-C97CBBE15C56}"/>
    <w:embedItalic r:id="rId3" w:fontKey="{7E5D2141-9DFB-4DF9-892A-BC6B3BA0DD0C}"/>
    <w:embedBoldItalic r:id="rId4" w:fontKey="{1DF4C7E8-2F99-4600-8FA4-5E4C65BABAC9}"/>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5" w:fontKey="{B6922AFD-C269-411A-AFD5-BBA88C918F93}"/>
    <w:embedBold r:id="rId6" w:fontKey="{105AA886-D6F2-42F1-9661-0C411A4EC0FD}"/>
    <w:embedItalic r:id="rId7" w:fontKey="{77D2516F-45F9-4844-A1D3-3CDCEFB7DD77}"/>
  </w:font>
  <w:font w:name="Georgia">
    <w:panose1 w:val="02040502050405020303"/>
    <w:charset w:val="00"/>
    <w:family w:val="roman"/>
    <w:pitch w:val="variable"/>
    <w:sig w:usb0="00000287" w:usb1="00000000" w:usb2="00000000" w:usb3="00000000" w:csb0="0000009F" w:csb1="00000000"/>
    <w:embedRegular r:id="rId8" w:fontKey="{64A6DF64-7DBF-41CA-8F07-737663141D70}"/>
    <w:embedItalic r:id="rId9" w:fontKey="{10FAC214-985B-4770-98A9-91A92ADEF626}"/>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10" w:fontKey="{894F8FC6-1E69-41F3-BABA-CC90E6C335F9}"/>
    <w:embedItalic r:id="rId11" w:fontKey="{52567389-C57A-408F-A3D5-C36F8D980048}"/>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12" w:fontKey="{CB1E51F5-1A6C-4183-BEAB-B95D29F7ADCE}"/>
    <w:embedItalic r:id="rId13" w:fontKey="{A0B46168-6648-4E05-BC8A-4618A736800A}"/>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4" w:fontKey="{1F1DC356-9818-4050-86B7-39150674C5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2DEDA" w14:textId="77777777" w:rsidR="00822714" w:rsidRDefault="00822714">
    <w:pPr>
      <w:widowControl w:val="0"/>
      <w:spacing w:line="276" w:lineRule="auto"/>
      <w:rPr>
        <w:color w:val="000000"/>
      </w:rPr>
    </w:pPr>
  </w:p>
  <w:p w14:paraId="311C33E1" w14:textId="77777777" w:rsidR="00822714" w:rsidRDefault="008227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3CB0A" w14:textId="77777777" w:rsidR="00822714" w:rsidRDefault="00822714">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F60131" w14:paraId="1DC81E5A" w14:textId="77777777" w:rsidTr="00F60131">
      <w:trPr>
        <w:trHeight w:val="300"/>
      </w:trPr>
      <w:tc>
        <w:tcPr>
          <w:tcW w:w="3120" w:type="dxa"/>
          <w:shd w:val="clear" w:color="auto" w:fill="auto"/>
          <w:tcMar>
            <w:top w:w="0" w:type="dxa"/>
            <w:left w:w="108" w:type="dxa"/>
            <w:bottom w:w="0" w:type="dxa"/>
            <w:right w:w="108" w:type="dxa"/>
          </w:tcMar>
        </w:tcPr>
        <w:p w14:paraId="36F112B4" w14:textId="77777777" w:rsidR="00822714" w:rsidRPr="00C5444E" w:rsidRDefault="00822714" w:rsidP="00F60131">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59675596" w14:textId="77777777" w:rsidR="00822714" w:rsidRPr="00C5444E" w:rsidRDefault="00822714" w:rsidP="00F60131">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6C4B3F4B" w14:textId="77777777" w:rsidR="00822714" w:rsidRPr="00C5444E" w:rsidRDefault="00822714" w:rsidP="00F60131">
          <w:pPr>
            <w:tabs>
              <w:tab w:val="center" w:pos="4320"/>
              <w:tab w:val="right" w:pos="8640"/>
            </w:tabs>
            <w:ind w:right="-115"/>
            <w:jc w:val="right"/>
            <w:rPr>
              <w:color w:val="000000"/>
            </w:rPr>
          </w:pPr>
        </w:p>
      </w:tc>
    </w:tr>
  </w:tbl>
  <w:p w14:paraId="21413126" w14:textId="77777777" w:rsidR="00822714" w:rsidRDefault="008227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099F" w14:textId="77777777" w:rsidR="00803B74" w:rsidRPr="007F2135" w:rsidRDefault="00803B74">
      <w:r w:rsidRPr="007F2135">
        <w:separator/>
      </w:r>
    </w:p>
  </w:footnote>
  <w:footnote w:type="continuationSeparator" w:id="0">
    <w:p w14:paraId="444628A6" w14:textId="77777777" w:rsidR="00803B74" w:rsidRPr="007F2135" w:rsidRDefault="00803B74">
      <w:r w:rsidRPr="007F2135">
        <w:continuationSeparator/>
      </w:r>
    </w:p>
  </w:footnote>
  <w:footnote w:type="continuationNotice" w:id="1">
    <w:p w14:paraId="52141F30" w14:textId="77777777" w:rsidR="00803B74" w:rsidRPr="007F2135" w:rsidRDefault="00803B74"/>
  </w:footnote>
  <w:footnote w:id="2">
    <w:p w14:paraId="7F1C2167" w14:textId="77777777" w:rsidR="00822714" w:rsidRPr="00C81736" w:rsidRDefault="00822714" w:rsidP="00822714">
      <w:pPr>
        <w:pStyle w:val="FootnoteText"/>
        <w:rPr>
          <w:lang w:val="en-US"/>
        </w:rPr>
      </w:pPr>
      <w:r>
        <w:rPr>
          <w:rStyle w:val="FootnoteReference"/>
        </w:rPr>
        <w:footnoteRef/>
      </w:r>
      <w:r w:rsidRPr="00C81736">
        <w:rPr>
          <w:lang w:val="en-US"/>
        </w:rPr>
        <w:t xml:space="preserve"> </w:t>
      </w:r>
      <w:proofErr w:type="spellStart"/>
      <w:r w:rsidRPr="00C81736">
        <w:rPr>
          <w:rFonts w:ascii="Book Antiqua" w:hAnsi="Book Antiqua"/>
          <w:lang w:val="en-US"/>
        </w:rPr>
        <w:t>Véase</w:t>
      </w:r>
      <w:proofErr w:type="spellEnd"/>
      <w:r w:rsidRPr="00C81736">
        <w:rPr>
          <w:rFonts w:ascii="Book Antiqua" w:hAnsi="Book Antiqua"/>
          <w:lang w:val="en-US"/>
        </w:rPr>
        <w:t xml:space="preserve">, </w:t>
      </w:r>
      <w:r w:rsidRPr="00C81736">
        <w:rPr>
          <w:rFonts w:ascii="Book Antiqua" w:hAnsi="Book Antiqua"/>
          <w:i/>
          <w:iCs/>
          <w:lang w:val="en-US"/>
        </w:rPr>
        <w:t>2024</w:t>
      </w:r>
      <w:r w:rsidRPr="00C81736">
        <w:rPr>
          <w:rFonts w:ascii="Book Antiqua" w:hAnsi="Book Antiqua"/>
          <w:lang w:val="en-US"/>
        </w:rPr>
        <w:t xml:space="preserve"> </w:t>
      </w:r>
      <w:r w:rsidRPr="00C81736">
        <w:rPr>
          <w:rFonts w:ascii="Book Antiqua" w:hAnsi="Book Antiqua"/>
          <w:i/>
          <w:iCs/>
          <w:lang w:val="en-US"/>
        </w:rPr>
        <w:t>Fiscal Plan for Puerto Rico 2021-2022, as certified to the Financial Oversight and Management Board for Puerto Rico</w:t>
      </w:r>
      <w:r w:rsidRPr="00C81736">
        <w:rPr>
          <w:rFonts w:ascii="Book Antiqua" w:hAnsi="Book Antiqua"/>
          <w:lang w:val="en-US"/>
        </w:rPr>
        <w:t xml:space="preserve">, </w:t>
      </w:r>
      <w:r w:rsidRPr="00C81736">
        <w:rPr>
          <w:rFonts w:ascii="Book Antiqua" w:hAnsi="Book Antiqua"/>
          <w:i/>
          <w:iCs/>
          <w:lang w:val="en-US"/>
        </w:rPr>
        <w:t>January 5, 2024</w:t>
      </w:r>
      <w:r w:rsidRPr="00C81736">
        <w:rPr>
          <w:rFonts w:ascii="Book Antiqua" w:hAnsi="Book Antiqua"/>
          <w:lang w:val="en-US"/>
        </w:rPr>
        <w:t>.P.</w:t>
      </w:r>
      <w:r>
        <w:rPr>
          <w:rFonts w:ascii="Book Antiqua" w:hAnsi="Book Antiqua"/>
          <w:lang w:val="en-US"/>
        </w:rPr>
        <w:t>132.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99B959C" w:rsidR="00FF2214" w:rsidRPr="007F2135" w:rsidRDefault="00850770">
    <w:pPr>
      <w:tabs>
        <w:tab w:val="center" w:pos="4320"/>
        <w:tab w:val="right" w:pos="8640"/>
      </w:tabs>
      <w:jc w:val="right"/>
      <w:rPr>
        <w:color w:val="000000"/>
      </w:rPr>
    </w:pPr>
    <w:r w:rsidRPr="007F2135">
      <w:rPr>
        <w:color w:val="000000"/>
      </w:rPr>
      <w:t>A-0</w:t>
    </w:r>
    <w:r w:rsidR="00822714">
      <w:rPr>
        <w:color w:val="000000"/>
      </w:rPr>
      <w:t>50</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8A7"/>
    <w:multiLevelType w:val="multilevel"/>
    <w:tmpl w:val="D6F89D60"/>
    <w:lvl w:ilvl="0">
      <w:start w:val="1"/>
      <w:numFmt w:val="lowerLetter"/>
      <w:lvlText w:val="(%1)"/>
      <w:lvlJc w:val="left"/>
      <w:pPr>
        <w:tabs>
          <w:tab w:val="num" w:pos="900"/>
        </w:tabs>
        <w:ind w:left="900" w:hanging="360"/>
      </w:pPr>
      <w:rPr>
        <w:rFonts w:cs="Times New Roman"/>
      </w:rPr>
    </w:lvl>
    <w:lvl w:ilvl="1">
      <w:start w:val="1"/>
      <w:numFmt w:val="decimal"/>
      <w:lvlText w:val="(%2)"/>
      <w:lvlJc w:val="left"/>
      <w:pPr>
        <w:ind w:left="1440" w:hanging="360"/>
      </w:pPr>
      <w:rPr>
        <w:rFonts w:hint="default"/>
      </w:rPr>
    </w:lvl>
    <w:lvl w:ilvl="2">
      <w:start w:val="1"/>
      <w:numFmt w:val="lowerLetter"/>
      <w:lvlText w:val="%3."/>
      <w:lvlJc w:val="left"/>
      <w:pPr>
        <w:tabs>
          <w:tab w:val="num" w:pos="2160"/>
        </w:tabs>
        <w:ind w:left="2160" w:hanging="360"/>
      </w:pPr>
    </w:lvl>
    <w:lvl w:ilvl="3">
      <w:start w:val="1"/>
      <w:numFmt w:val="upperLetter"/>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48F001F"/>
    <w:multiLevelType w:val="hybridMultilevel"/>
    <w:tmpl w:val="23B8C2C8"/>
    <w:lvl w:ilvl="0" w:tplc="DA4E70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E65FDF"/>
    <w:multiLevelType w:val="multilevel"/>
    <w:tmpl w:val="3BA81864"/>
    <w:lvl w:ilvl="0">
      <w:start w:val="1"/>
      <w:numFmt w:val="lowerLetter"/>
      <w:lvlText w:val="(%1)"/>
      <w:lvlJc w:val="left"/>
      <w:pPr>
        <w:tabs>
          <w:tab w:val="num" w:pos="720"/>
        </w:tabs>
        <w:ind w:left="720" w:hanging="360"/>
      </w:pPr>
      <w:rPr>
        <w:rFonts w:ascii="Book Antiqua" w:hAnsi="Book Antiqua" w:hint="default"/>
      </w:rPr>
    </w:lvl>
    <w:lvl w:ilvl="1">
      <w:start w:val="1"/>
      <w:numFmt w:val="decimal"/>
      <w:lvlText w:val="(%2)"/>
      <w:lvlJc w:val="left"/>
      <w:pPr>
        <w:ind w:left="1440" w:hanging="360"/>
      </w:pPr>
      <w:rPr>
        <w:rFonts w:hint="default"/>
      </w:rPr>
    </w:lvl>
    <w:lvl w:ilvl="2">
      <w:start w:val="1"/>
      <w:numFmt w:val="upperLetter"/>
      <w:lvlText w:val="(%3)"/>
      <w:lvlJc w:val="left"/>
      <w:pPr>
        <w:ind w:left="2265" w:hanging="465"/>
      </w:pPr>
      <w:rPr>
        <w:rFonts w:cs="Times New Roman"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8D86CC4"/>
    <w:multiLevelType w:val="hybridMultilevel"/>
    <w:tmpl w:val="49D26CBA"/>
    <w:lvl w:ilvl="0" w:tplc="9CEEFCF6">
      <w:start w:val="1"/>
      <w:numFmt w:val="lowerLetter"/>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D607A2"/>
    <w:multiLevelType w:val="hybridMultilevel"/>
    <w:tmpl w:val="7BA4A08A"/>
    <w:lvl w:ilvl="0" w:tplc="F1922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A53E80"/>
    <w:multiLevelType w:val="hybridMultilevel"/>
    <w:tmpl w:val="29D404DC"/>
    <w:lvl w:ilvl="0" w:tplc="B3766A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1939673A"/>
    <w:multiLevelType w:val="multilevel"/>
    <w:tmpl w:val="28046440"/>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5726BF"/>
    <w:multiLevelType w:val="hybridMultilevel"/>
    <w:tmpl w:val="F59E719C"/>
    <w:lvl w:ilvl="0" w:tplc="FF52B2D4">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FC42DF5"/>
    <w:multiLevelType w:val="hybridMultilevel"/>
    <w:tmpl w:val="9B9676C6"/>
    <w:lvl w:ilvl="0" w:tplc="48BA9C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6A1256"/>
    <w:multiLevelType w:val="hybridMultilevel"/>
    <w:tmpl w:val="5130163A"/>
    <w:lvl w:ilvl="0" w:tplc="B948AC74">
      <w:start w:val="1"/>
      <w:numFmt w:val="lowerLetter"/>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257C33"/>
    <w:multiLevelType w:val="hybridMultilevel"/>
    <w:tmpl w:val="C55AC138"/>
    <w:lvl w:ilvl="0" w:tplc="C8D050B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780B61"/>
    <w:multiLevelType w:val="hybridMultilevel"/>
    <w:tmpl w:val="FB4645B4"/>
    <w:lvl w:ilvl="0" w:tplc="18DE5A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123842"/>
    <w:multiLevelType w:val="hybridMultilevel"/>
    <w:tmpl w:val="4552F1BA"/>
    <w:lvl w:ilvl="0" w:tplc="2C88C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A360BF"/>
    <w:multiLevelType w:val="hybridMultilevel"/>
    <w:tmpl w:val="078851C4"/>
    <w:lvl w:ilvl="0" w:tplc="BB706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1DC5136"/>
    <w:multiLevelType w:val="hybridMultilevel"/>
    <w:tmpl w:val="B7B8A0E4"/>
    <w:lvl w:ilvl="0" w:tplc="8B76C6D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4917EF"/>
    <w:multiLevelType w:val="hybridMultilevel"/>
    <w:tmpl w:val="ABD0C51E"/>
    <w:lvl w:ilvl="0" w:tplc="BABE8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821D60"/>
    <w:multiLevelType w:val="hybridMultilevel"/>
    <w:tmpl w:val="3754EE6E"/>
    <w:lvl w:ilvl="0" w:tplc="1F94D9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823283E"/>
    <w:multiLevelType w:val="multilevel"/>
    <w:tmpl w:val="3BA81864"/>
    <w:lvl w:ilvl="0">
      <w:start w:val="1"/>
      <w:numFmt w:val="lowerLetter"/>
      <w:lvlText w:val="(%1)"/>
      <w:lvlJc w:val="left"/>
      <w:pPr>
        <w:tabs>
          <w:tab w:val="num" w:pos="720"/>
        </w:tabs>
        <w:ind w:left="720" w:hanging="360"/>
      </w:pPr>
      <w:rPr>
        <w:rFonts w:ascii="Book Antiqua" w:hAnsi="Book Antiqua" w:hint="default"/>
      </w:rPr>
    </w:lvl>
    <w:lvl w:ilvl="1">
      <w:start w:val="1"/>
      <w:numFmt w:val="decimal"/>
      <w:lvlText w:val="(%2)"/>
      <w:lvlJc w:val="left"/>
      <w:pPr>
        <w:ind w:left="1440" w:hanging="360"/>
      </w:pPr>
      <w:rPr>
        <w:rFonts w:hint="default"/>
      </w:rPr>
    </w:lvl>
    <w:lvl w:ilvl="2">
      <w:start w:val="1"/>
      <w:numFmt w:val="upperLetter"/>
      <w:lvlText w:val="(%3)"/>
      <w:lvlJc w:val="left"/>
      <w:pPr>
        <w:ind w:left="2265" w:hanging="465"/>
      </w:pPr>
      <w:rPr>
        <w:rFonts w:cs="Times New Roman"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C924459"/>
    <w:multiLevelType w:val="hybridMultilevel"/>
    <w:tmpl w:val="EE9A07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4B118C"/>
    <w:multiLevelType w:val="hybridMultilevel"/>
    <w:tmpl w:val="CBD4FEC2"/>
    <w:lvl w:ilvl="0" w:tplc="2A1E1F8C">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F766D38"/>
    <w:multiLevelType w:val="hybridMultilevel"/>
    <w:tmpl w:val="6CD46796"/>
    <w:lvl w:ilvl="0" w:tplc="28C0C52A">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782CAF"/>
    <w:multiLevelType w:val="hybridMultilevel"/>
    <w:tmpl w:val="926EFB56"/>
    <w:lvl w:ilvl="0" w:tplc="C5E8EFD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0C6F38"/>
    <w:multiLevelType w:val="multilevel"/>
    <w:tmpl w:val="035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BE2CEA"/>
    <w:multiLevelType w:val="hybridMultilevel"/>
    <w:tmpl w:val="3612A66C"/>
    <w:lvl w:ilvl="0" w:tplc="809660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0622677"/>
    <w:multiLevelType w:val="hybridMultilevel"/>
    <w:tmpl w:val="85E6530A"/>
    <w:lvl w:ilvl="0" w:tplc="3E2A5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255F5E"/>
    <w:multiLevelType w:val="hybridMultilevel"/>
    <w:tmpl w:val="74CC444E"/>
    <w:lvl w:ilvl="0" w:tplc="563CB2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641730D"/>
    <w:multiLevelType w:val="hybridMultilevel"/>
    <w:tmpl w:val="1BF4C6E0"/>
    <w:lvl w:ilvl="0" w:tplc="E71E1C24">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514543333">
    <w:abstractNumId w:val="23"/>
  </w:num>
  <w:num w:numId="2" w16cid:durableId="1844394367">
    <w:abstractNumId w:val="10"/>
  </w:num>
  <w:num w:numId="3" w16cid:durableId="48185947">
    <w:abstractNumId w:val="45"/>
  </w:num>
  <w:num w:numId="4" w16cid:durableId="1783574521">
    <w:abstractNumId w:val="35"/>
  </w:num>
  <w:num w:numId="5" w16cid:durableId="443111931">
    <w:abstractNumId w:val="31"/>
  </w:num>
  <w:num w:numId="6" w16cid:durableId="1153910825">
    <w:abstractNumId w:val="3"/>
  </w:num>
  <w:num w:numId="7" w16cid:durableId="281156772">
    <w:abstractNumId w:val="36"/>
  </w:num>
  <w:num w:numId="8" w16cid:durableId="2092505804">
    <w:abstractNumId w:val="1"/>
  </w:num>
  <w:num w:numId="9" w16cid:durableId="1241595162">
    <w:abstractNumId w:val="9"/>
  </w:num>
  <w:num w:numId="10" w16cid:durableId="1333600705">
    <w:abstractNumId w:val="14"/>
  </w:num>
  <w:num w:numId="11" w16cid:durableId="384835755">
    <w:abstractNumId w:val="15"/>
  </w:num>
  <w:num w:numId="12" w16cid:durableId="1844976573">
    <w:abstractNumId w:val="28"/>
  </w:num>
  <w:num w:numId="13" w16cid:durableId="1566984903">
    <w:abstractNumId w:val="18"/>
  </w:num>
  <w:num w:numId="14" w16cid:durableId="2070571449">
    <w:abstractNumId w:val="37"/>
  </w:num>
  <w:num w:numId="15" w16cid:durableId="486555809">
    <w:abstractNumId w:val="16"/>
  </w:num>
  <w:num w:numId="16" w16cid:durableId="549342782">
    <w:abstractNumId w:val="44"/>
  </w:num>
  <w:num w:numId="17" w16cid:durableId="1839929571">
    <w:abstractNumId w:val="8"/>
  </w:num>
  <w:num w:numId="18" w16cid:durableId="1698197307">
    <w:abstractNumId w:val="12"/>
  </w:num>
  <w:num w:numId="19" w16cid:durableId="2127237579">
    <w:abstractNumId w:val="30"/>
  </w:num>
  <w:num w:numId="20" w16cid:durableId="1307661653">
    <w:abstractNumId w:val="34"/>
  </w:num>
  <w:num w:numId="21" w16cid:durableId="1707103882">
    <w:abstractNumId w:val="40"/>
  </w:num>
  <w:num w:numId="22" w16cid:durableId="365444660">
    <w:abstractNumId w:val="47"/>
  </w:num>
  <w:num w:numId="23" w16cid:durableId="1294871560">
    <w:abstractNumId w:val="32"/>
  </w:num>
  <w:num w:numId="24" w16cid:durableId="476997287">
    <w:abstractNumId w:val="6"/>
  </w:num>
  <w:num w:numId="25" w16cid:durableId="908466369">
    <w:abstractNumId w:val="4"/>
  </w:num>
  <w:num w:numId="26" w16cid:durableId="1887637969">
    <w:abstractNumId w:val="0"/>
  </w:num>
  <w:num w:numId="27" w16cid:durableId="147551603">
    <w:abstractNumId w:val="11"/>
  </w:num>
  <w:num w:numId="28" w16cid:durableId="1539784015">
    <w:abstractNumId w:val="19"/>
  </w:num>
  <w:num w:numId="29" w16cid:durableId="975573155">
    <w:abstractNumId w:val="22"/>
  </w:num>
  <w:num w:numId="30" w16cid:durableId="440958751">
    <w:abstractNumId w:val="17"/>
  </w:num>
  <w:num w:numId="31" w16cid:durableId="646395885">
    <w:abstractNumId w:val="27"/>
  </w:num>
  <w:num w:numId="32" w16cid:durableId="916553514">
    <w:abstractNumId w:val="25"/>
  </w:num>
  <w:num w:numId="33" w16cid:durableId="2098093269">
    <w:abstractNumId w:val="26"/>
  </w:num>
  <w:num w:numId="34" w16cid:durableId="114108358">
    <w:abstractNumId w:val="42"/>
  </w:num>
  <w:num w:numId="35" w16cid:durableId="1621718257">
    <w:abstractNumId w:val="41"/>
  </w:num>
  <w:num w:numId="36" w16cid:durableId="1667243459">
    <w:abstractNumId w:val="46"/>
  </w:num>
  <w:num w:numId="37" w16cid:durableId="926040022">
    <w:abstractNumId w:val="29"/>
  </w:num>
  <w:num w:numId="38" w16cid:durableId="197015000">
    <w:abstractNumId w:val="33"/>
  </w:num>
  <w:num w:numId="39" w16cid:durableId="1982151959">
    <w:abstractNumId w:val="21"/>
  </w:num>
  <w:num w:numId="40" w16cid:durableId="359358554">
    <w:abstractNumId w:val="39"/>
  </w:num>
  <w:num w:numId="41" w16cid:durableId="708070542">
    <w:abstractNumId w:val="2"/>
  </w:num>
  <w:num w:numId="42" w16cid:durableId="1731688341">
    <w:abstractNumId w:val="20"/>
  </w:num>
  <w:num w:numId="43" w16cid:durableId="1472214158">
    <w:abstractNumId w:val="7"/>
  </w:num>
  <w:num w:numId="44" w16cid:durableId="555701792">
    <w:abstractNumId w:val="24"/>
  </w:num>
  <w:num w:numId="45" w16cid:durableId="1095201476">
    <w:abstractNumId w:val="5"/>
  </w:num>
  <w:num w:numId="46" w16cid:durableId="209464032">
    <w:abstractNumId w:val="38"/>
  </w:num>
  <w:num w:numId="47" w16cid:durableId="1955624902">
    <w:abstractNumId w:val="13"/>
  </w:num>
  <w:num w:numId="48" w16cid:durableId="1732188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2113"/>
    <w:rsid w:val="00056D71"/>
    <w:rsid w:val="00057EF4"/>
    <w:rsid w:val="00066DD3"/>
    <w:rsid w:val="0007036F"/>
    <w:rsid w:val="000741B3"/>
    <w:rsid w:val="0008657D"/>
    <w:rsid w:val="00091F49"/>
    <w:rsid w:val="00093558"/>
    <w:rsid w:val="00094484"/>
    <w:rsid w:val="0009603C"/>
    <w:rsid w:val="000A1DC3"/>
    <w:rsid w:val="000A33B9"/>
    <w:rsid w:val="000B33EC"/>
    <w:rsid w:val="000B7038"/>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437B2"/>
    <w:rsid w:val="00150C87"/>
    <w:rsid w:val="00152B9A"/>
    <w:rsid w:val="00157BB5"/>
    <w:rsid w:val="001613A5"/>
    <w:rsid w:val="00164E97"/>
    <w:rsid w:val="001677A8"/>
    <w:rsid w:val="0017795B"/>
    <w:rsid w:val="00181B2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131"/>
    <w:rsid w:val="002A4F4F"/>
    <w:rsid w:val="002B2FBB"/>
    <w:rsid w:val="002B5618"/>
    <w:rsid w:val="002B62EE"/>
    <w:rsid w:val="002B7906"/>
    <w:rsid w:val="002C1726"/>
    <w:rsid w:val="002C5A5A"/>
    <w:rsid w:val="002D6159"/>
    <w:rsid w:val="002E5746"/>
    <w:rsid w:val="002F21CF"/>
    <w:rsid w:val="002F48BA"/>
    <w:rsid w:val="002F5B16"/>
    <w:rsid w:val="00302E03"/>
    <w:rsid w:val="00302F90"/>
    <w:rsid w:val="0030308D"/>
    <w:rsid w:val="00310FDD"/>
    <w:rsid w:val="0031323F"/>
    <w:rsid w:val="00313C97"/>
    <w:rsid w:val="00314E6B"/>
    <w:rsid w:val="00321AB7"/>
    <w:rsid w:val="0032794E"/>
    <w:rsid w:val="00332E7A"/>
    <w:rsid w:val="00333524"/>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1132"/>
    <w:rsid w:val="003D3B08"/>
    <w:rsid w:val="003D42BF"/>
    <w:rsid w:val="003D4499"/>
    <w:rsid w:val="003E0CF2"/>
    <w:rsid w:val="003E2D11"/>
    <w:rsid w:val="003E30F3"/>
    <w:rsid w:val="003F18AA"/>
    <w:rsid w:val="003F352A"/>
    <w:rsid w:val="00411B21"/>
    <w:rsid w:val="00411D69"/>
    <w:rsid w:val="004143E0"/>
    <w:rsid w:val="00415E5D"/>
    <w:rsid w:val="00416F13"/>
    <w:rsid w:val="0041790E"/>
    <w:rsid w:val="004221C5"/>
    <w:rsid w:val="004246A8"/>
    <w:rsid w:val="00425710"/>
    <w:rsid w:val="0042619D"/>
    <w:rsid w:val="00432896"/>
    <w:rsid w:val="00437135"/>
    <w:rsid w:val="00437DC4"/>
    <w:rsid w:val="004403A8"/>
    <w:rsid w:val="00444257"/>
    <w:rsid w:val="00447F1B"/>
    <w:rsid w:val="00452649"/>
    <w:rsid w:val="00461FBD"/>
    <w:rsid w:val="00462353"/>
    <w:rsid w:val="00462BEA"/>
    <w:rsid w:val="00465256"/>
    <w:rsid w:val="004674AD"/>
    <w:rsid w:val="0048210C"/>
    <w:rsid w:val="0049425A"/>
    <w:rsid w:val="004A0EAF"/>
    <w:rsid w:val="004A5974"/>
    <w:rsid w:val="004A63FB"/>
    <w:rsid w:val="004A763E"/>
    <w:rsid w:val="004A7CA2"/>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57579"/>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F54"/>
    <w:rsid w:val="005E3602"/>
    <w:rsid w:val="005E3680"/>
    <w:rsid w:val="005E4152"/>
    <w:rsid w:val="005E63C3"/>
    <w:rsid w:val="005E7EC5"/>
    <w:rsid w:val="005F0A2C"/>
    <w:rsid w:val="005F0E8D"/>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471F"/>
    <w:rsid w:val="00753E10"/>
    <w:rsid w:val="00755AEC"/>
    <w:rsid w:val="00755DDC"/>
    <w:rsid w:val="00760792"/>
    <w:rsid w:val="00764D63"/>
    <w:rsid w:val="0077017C"/>
    <w:rsid w:val="00773ABA"/>
    <w:rsid w:val="0078017D"/>
    <w:rsid w:val="00781480"/>
    <w:rsid w:val="00790693"/>
    <w:rsid w:val="00791FA9"/>
    <w:rsid w:val="00795BD6"/>
    <w:rsid w:val="007A346E"/>
    <w:rsid w:val="007A4745"/>
    <w:rsid w:val="007A5875"/>
    <w:rsid w:val="007B090C"/>
    <w:rsid w:val="007B5C75"/>
    <w:rsid w:val="007C7157"/>
    <w:rsid w:val="007D76E0"/>
    <w:rsid w:val="007E368D"/>
    <w:rsid w:val="007F2135"/>
    <w:rsid w:val="00803B74"/>
    <w:rsid w:val="00804D98"/>
    <w:rsid w:val="00805B64"/>
    <w:rsid w:val="00805D96"/>
    <w:rsid w:val="00807CED"/>
    <w:rsid w:val="00812840"/>
    <w:rsid w:val="00822714"/>
    <w:rsid w:val="008316F2"/>
    <w:rsid w:val="00831773"/>
    <w:rsid w:val="008337A4"/>
    <w:rsid w:val="00834801"/>
    <w:rsid w:val="00836115"/>
    <w:rsid w:val="00836710"/>
    <w:rsid w:val="008402C1"/>
    <w:rsid w:val="008450D8"/>
    <w:rsid w:val="00850770"/>
    <w:rsid w:val="008574AE"/>
    <w:rsid w:val="00864305"/>
    <w:rsid w:val="008670BC"/>
    <w:rsid w:val="008720A6"/>
    <w:rsid w:val="00881D48"/>
    <w:rsid w:val="00885032"/>
    <w:rsid w:val="008863D7"/>
    <w:rsid w:val="0089008A"/>
    <w:rsid w:val="00890C4D"/>
    <w:rsid w:val="00891773"/>
    <w:rsid w:val="008925BB"/>
    <w:rsid w:val="008A1F5E"/>
    <w:rsid w:val="008A5641"/>
    <w:rsid w:val="008B1AF6"/>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4C44"/>
    <w:rsid w:val="0093744C"/>
    <w:rsid w:val="009416EA"/>
    <w:rsid w:val="00942E06"/>
    <w:rsid w:val="00950505"/>
    <w:rsid w:val="00950A46"/>
    <w:rsid w:val="00952875"/>
    <w:rsid w:val="00954675"/>
    <w:rsid w:val="00962C3E"/>
    <w:rsid w:val="00963E17"/>
    <w:rsid w:val="00965195"/>
    <w:rsid w:val="00970540"/>
    <w:rsid w:val="00971D18"/>
    <w:rsid w:val="00975B0E"/>
    <w:rsid w:val="009807A4"/>
    <w:rsid w:val="009833D3"/>
    <w:rsid w:val="009927E5"/>
    <w:rsid w:val="009A0ED5"/>
    <w:rsid w:val="009A608A"/>
    <w:rsid w:val="009B47BF"/>
    <w:rsid w:val="009D1C75"/>
    <w:rsid w:val="009D5726"/>
    <w:rsid w:val="009D61E3"/>
    <w:rsid w:val="009D7450"/>
    <w:rsid w:val="009D79EC"/>
    <w:rsid w:val="009E36AA"/>
    <w:rsid w:val="009F15AE"/>
    <w:rsid w:val="00A02203"/>
    <w:rsid w:val="00A04577"/>
    <w:rsid w:val="00A11BAB"/>
    <w:rsid w:val="00A1307C"/>
    <w:rsid w:val="00A1720E"/>
    <w:rsid w:val="00A22039"/>
    <w:rsid w:val="00A23051"/>
    <w:rsid w:val="00A23581"/>
    <w:rsid w:val="00A23CBE"/>
    <w:rsid w:val="00A26252"/>
    <w:rsid w:val="00A26489"/>
    <w:rsid w:val="00A30925"/>
    <w:rsid w:val="00A3392B"/>
    <w:rsid w:val="00A41F69"/>
    <w:rsid w:val="00A44362"/>
    <w:rsid w:val="00A47378"/>
    <w:rsid w:val="00A47BDC"/>
    <w:rsid w:val="00A52322"/>
    <w:rsid w:val="00A52F9B"/>
    <w:rsid w:val="00A5416B"/>
    <w:rsid w:val="00A55370"/>
    <w:rsid w:val="00A6239A"/>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9F1"/>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44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1EF6"/>
    <w:rsid w:val="00BD4F99"/>
    <w:rsid w:val="00BE14D9"/>
    <w:rsid w:val="00BE2036"/>
    <w:rsid w:val="00BE4BBF"/>
    <w:rsid w:val="00BE518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72FDE"/>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468EE"/>
    <w:rsid w:val="00D50765"/>
    <w:rsid w:val="00D50CD3"/>
    <w:rsid w:val="00D70D0B"/>
    <w:rsid w:val="00D84992"/>
    <w:rsid w:val="00D937E3"/>
    <w:rsid w:val="00D938F9"/>
    <w:rsid w:val="00D95879"/>
    <w:rsid w:val="00D962FB"/>
    <w:rsid w:val="00DA5EB9"/>
    <w:rsid w:val="00DD225A"/>
    <w:rsid w:val="00DD27A7"/>
    <w:rsid w:val="00DD392D"/>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1C10"/>
    <w:rsid w:val="00EC2169"/>
    <w:rsid w:val="00EC31D3"/>
    <w:rsid w:val="00EC69F6"/>
    <w:rsid w:val="00ED3996"/>
    <w:rsid w:val="00ED3D87"/>
    <w:rsid w:val="00ED5A58"/>
    <w:rsid w:val="00EE009B"/>
    <w:rsid w:val="00EE1D75"/>
    <w:rsid w:val="00EF0A9E"/>
    <w:rsid w:val="00EF2711"/>
    <w:rsid w:val="00EF2D8D"/>
    <w:rsid w:val="00F026C9"/>
    <w:rsid w:val="00F16B71"/>
    <w:rsid w:val="00F16C58"/>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D59D9"/>
    <w:rsid w:val="00FE2D53"/>
    <w:rsid w:val="00FF2214"/>
    <w:rsid w:val="00FF7C2C"/>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550656"/>
  <w15:docId w15:val="{31EE50A7-F005-43BD-9F6D-5D63C61CA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uiPriority w:val="1"/>
    <w:qFormat/>
    <w:rsid w:val="009061B2"/>
    <w:pPr>
      <w:jc w:val="both"/>
    </w:pPr>
  </w:style>
  <w:style w:type="character" w:customStyle="1" w:styleId="BodyTextChar">
    <w:name w:val="Body Text Char"/>
    <w:basedOn w:val="DefaultParagraphFont"/>
    <w:link w:val="BodyText"/>
    <w:uiPriority w:val="1"/>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985890094">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784016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90">
          <w:marLeft w:val="0"/>
          <w:marRight w:val="0"/>
          <w:marTop w:val="0"/>
          <w:marBottom w:val="0"/>
          <w:divBdr>
            <w:top w:val="none" w:sz="0" w:space="0" w:color="auto"/>
            <w:left w:val="none" w:sz="0" w:space="0" w:color="auto"/>
            <w:bottom w:val="none" w:sz="0" w:space="0" w:color="auto"/>
            <w:right w:val="none" w:sz="0" w:space="0" w:color="auto"/>
          </w:divBdr>
          <w:divsChild>
            <w:div w:id="82334990">
              <w:marLeft w:val="0"/>
              <w:marRight w:val="0"/>
              <w:marTop w:val="0"/>
              <w:marBottom w:val="0"/>
              <w:divBdr>
                <w:top w:val="none" w:sz="0" w:space="0" w:color="auto"/>
                <w:left w:val="none" w:sz="0" w:space="0" w:color="auto"/>
                <w:bottom w:val="none" w:sz="0" w:space="0" w:color="auto"/>
                <w:right w:val="none" w:sz="0" w:space="0" w:color="auto"/>
              </w:divBdr>
            </w:div>
          </w:divsChild>
        </w:div>
        <w:div w:id="705981687">
          <w:marLeft w:val="0"/>
          <w:marRight w:val="0"/>
          <w:marTop w:val="0"/>
          <w:marBottom w:val="0"/>
          <w:divBdr>
            <w:top w:val="none" w:sz="0" w:space="0" w:color="auto"/>
            <w:left w:val="none" w:sz="0" w:space="0" w:color="auto"/>
            <w:bottom w:val="none" w:sz="0" w:space="0" w:color="auto"/>
            <w:right w:val="none" w:sz="0" w:space="0" w:color="auto"/>
          </w:divBdr>
          <w:divsChild>
            <w:div w:id="1468159046">
              <w:marLeft w:val="0"/>
              <w:marRight w:val="0"/>
              <w:marTop w:val="0"/>
              <w:marBottom w:val="0"/>
              <w:divBdr>
                <w:top w:val="none" w:sz="0" w:space="0" w:color="auto"/>
                <w:left w:val="none" w:sz="0" w:space="0" w:color="auto"/>
                <w:bottom w:val="none" w:sz="0" w:space="0" w:color="auto"/>
                <w:right w:val="none" w:sz="0" w:space="0" w:color="auto"/>
              </w:divBdr>
              <w:divsChild>
                <w:div w:id="3016631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2914033">
          <w:marLeft w:val="0"/>
          <w:marRight w:val="0"/>
          <w:marTop w:val="0"/>
          <w:marBottom w:val="0"/>
          <w:divBdr>
            <w:top w:val="none" w:sz="0" w:space="0" w:color="auto"/>
            <w:left w:val="none" w:sz="0" w:space="0" w:color="auto"/>
            <w:bottom w:val="none" w:sz="0" w:space="0" w:color="auto"/>
            <w:right w:val="none" w:sz="0" w:space="0" w:color="auto"/>
          </w:divBdr>
          <w:divsChild>
            <w:div w:id="1295792478">
              <w:marLeft w:val="0"/>
              <w:marRight w:val="0"/>
              <w:marTop w:val="0"/>
              <w:marBottom w:val="0"/>
              <w:divBdr>
                <w:top w:val="none" w:sz="0" w:space="0" w:color="auto"/>
                <w:left w:val="none" w:sz="0" w:space="0" w:color="auto"/>
                <w:bottom w:val="none" w:sz="0" w:space="0" w:color="auto"/>
                <w:right w:val="none" w:sz="0" w:space="0" w:color="auto"/>
              </w:divBdr>
              <w:divsChild>
                <w:div w:id="4403392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2892863">
      <w:bodyDiv w:val="1"/>
      <w:marLeft w:val="0"/>
      <w:marRight w:val="0"/>
      <w:marTop w:val="0"/>
      <w:marBottom w:val="0"/>
      <w:divBdr>
        <w:top w:val="none" w:sz="0" w:space="0" w:color="auto"/>
        <w:left w:val="none" w:sz="0" w:space="0" w:color="auto"/>
        <w:bottom w:val="none" w:sz="0" w:space="0" w:color="auto"/>
        <w:right w:val="none" w:sz="0" w:space="0" w:color="auto"/>
      </w:divBdr>
      <w:divsChild>
        <w:div w:id="289943278">
          <w:marLeft w:val="0"/>
          <w:marRight w:val="0"/>
          <w:marTop w:val="0"/>
          <w:marBottom w:val="0"/>
          <w:divBdr>
            <w:top w:val="none" w:sz="0" w:space="0" w:color="auto"/>
            <w:left w:val="none" w:sz="0" w:space="0" w:color="auto"/>
            <w:bottom w:val="none" w:sz="0" w:space="0" w:color="auto"/>
            <w:right w:val="none" w:sz="0" w:space="0" w:color="auto"/>
          </w:divBdr>
          <w:divsChild>
            <w:div w:id="1949577013">
              <w:marLeft w:val="0"/>
              <w:marRight w:val="0"/>
              <w:marTop w:val="0"/>
              <w:marBottom w:val="0"/>
              <w:divBdr>
                <w:top w:val="none" w:sz="0" w:space="0" w:color="auto"/>
                <w:left w:val="none" w:sz="0" w:space="0" w:color="auto"/>
                <w:bottom w:val="none" w:sz="0" w:space="0" w:color="auto"/>
                <w:right w:val="none" w:sz="0" w:space="0" w:color="auto"/>
              </w:divBdr>
            </w:div>
          </w:divsChild>
        </w:div>
        <w:div w:id="1063452766">
          <w:marLeft w:val="0"/>
          <w:marRight w:val="0"/>
          <w:marTop w:val="0"/>
          <w:marBottom w:val="0"/>
          <w:divBdr>
            <w:top w:val="none" w:sz="0" w:space="0" w:color="auto"/>
            <w:left w:val="none" w:sz="0" w:space="0" w:color="auto"/>
            <w:bottom w:val="none" w:sz="0" w:space="0" w:color="auto"/>
            <w:right w:val="none" w:sz="0" w:space="0" w:color="auto"/>
          </w:divBdr>
          <w:divsChild>
            <w:div w:id="1370497011">
              <w:marLeft w:val="0"/>
              <w:marRight w:val="0"/>
              <w:marTop w:val="0"/>
              <w:marBottom w:val="0"/>
              <w:divBdr>
                <w:top w:val="none" w:sz="0" w:space="0" w:color="auto"/>
                <w:left w:val="none" w:sz="0" w:space="0" w:color="auto"/>
                <w:bottom w:val="none" w:sz="0" w:space="0" w:color="auto"/>
                <w:right w:val="none" w:sz="0" w:space="0" w:color="auto"/>
              </w:divBdr>
              <w:divsChild>
                <w:div w:id="11464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4718089">
          <w:marLeft w:val="0"/>
          <w:marRight w:val="0"/>
          <w:marTop w:val="0"/>
          <w:marBottom w:val="0"/>
          <w:divBdr>
            <w:top w:val="none" w:sz="0" w:space="0" w:color="auto"/>
            <w:left w:val="none" w:sz="0" w:space="0" w:color="auto"/>
            <w:bottom w:val="none" w:sz="0" w:space="0" w:color="auto"/>
            <w:right w:val="none" w:sz="0" w:space="0" w:color="auto"/>
          </w:divBdr>
          <w:divsChild>
            <w:div w:id="148250925">
              <w:marLeft w:val="0"/>
              <w:marRight w:val="0"/>
              <w:marTop w:val="0"/>
              <w:marBottom w:val="0"/>
              <w:divBdr>
                <w:top w:val="none" w:sz="0" w:space="0" w:color="auto"/>
                <w:left w:val="none" w:sz="0" w:space="0" w:color="auto"/>
                <w:bottom w:val="none" w:sz="0" w:space="0" w:color="auto"/>
                <w:right w:val="none" w:sz="0" w:space="0" w:color="auto"/>
              </w:divBdr>
              <w:divsChild>
                <w:div w:id="6206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6599753">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11005</Words>
  <Characters>62733</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5</cp:revision>
  <cp:lastPrinted>2025-01-23T03:05:00Z</cp:lastPrinted>
  <dcterms:created xsi:type="dcterms:W3CDTF">2025-04-04T21:30:00Z</dcterms:created>
  <dcterms:modified xsi:type="dcterms:W3CDTF">2025-04-07T14:14:00Z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