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0C19C" w14:textId="77777777" w:rsidR="00FC3975" w:rsidRDefault="00351C6E" w:rsidP="00FC3975">
      <w:pPr>
        <w:jc w:val="center"/>
        <w:rPr>
          <w:rFonts w:ascii="Book Antiqua" w:hAnsi="Book Antiqua"/>
          <w:color w:val="000000"/>
        </w:rPr>
      </w:pPr>
      <w:r>
        <w:rPr>
          <w:rFonts w:ascii="Book Antiqua" w:hAnsi="Book Antiqua"/>
          <w:sz w:val="28"/>
          <w:szCs w:val="28"/>
          <w:lang w:val="es-US"/>
        </w:rPr>
        <w:tab/>
      </w:r>
      <w:r w:rsidR="00FC3975">
        <w:rPr>
          <w:rFonts w:ascii="Book Antiqua" w:hAnsi="Book Antiqua"/>
          <w:b/>
          <w:color w:val="000000"/>
          <w:sz w:val="28"/>
          <w:szCs w:val="28"/>
        </w:rPr>
        <w:t>GOBIERNO DE PUERTO RICO</w:t>
      </w:r>
    </w:p>
    <w:p w14:paraId="4DC03AAA" w14:textId="77777777" w:rsidR="00FC3975" w:rsidRDefault="00FC3975" w:rsidP="00FC3975">
      <w:pPr>
        <w:pStyle w:val="Title2"/>
        <w:rPr>
          <w:rFonts w:ascii="Book Antiqua" w:hAnsi="Book Antiqua"/>
          <w:color w:val="000000"/>
          <w:lang w:val="es-ES"/>
        </w:rPr>
      </w:pPr>
    </w:p>
    <w:p w14:paraId="6297600D" w14:textId="23CA982F" w:rsidR="00FC3975" w:rsidRDefault="00FC3975" w:rsidP="00FC3975">
      <w:pPr>
        <w:pStyle w:val="Title2"/>
        <w:rPr>
          <w:rFonts w:ascii="Book Antiqua" w:hAnsi="Book Antiqua"/>
          <w:color w:val="000000"/>
          <w:lang w:val="es-ES"/>
        </w:rPr>
      </w:pPr>
      <w:r>
        <w:rPr>
          <w:rFonts w:ascii="Book Antiqua" w:hAnsi="Book Antiqua"/>
          <w:color w:val="000000"/>
          <w:lang w:val="es-ES"/>
        </w:rPr>
        <w:t>20ma.</w:t>
      </w:r>
      <w:r>
        <w:rPr>
          <w:rFonts w:ascii="Book Antiqua" w:hAnsi="Book Antiqua"/>
          <w:color w:val="000000"/>
          <w:position w:val="10"/>
          <w:vertAlign w:val="superscript"/>
          <w:lang w:val="es-ES"/>
        </w:rPr>
        <w:t xml:space="preserve"> </w:t>
      </w:r>
      <w:r>
        <w:rPr>
          <w:rFonts w:ascii="Book Antiqua" w:hAnsi="Book Antiqua"/>
          <w:color w:val="000000"/>
          <w:lang w:val="es-ES"/>
        </w:rPr>
        <w:t>Asamblea</w:t>
      </w:r>
      <w:r>
        <w:rPr>
          <w:rFonts w:ascii="Book Antiqua" w:hAnsi="Book Antiqua"/>
          <w:color w:val="000000"/>
          <w:lang w:val="es-ES"/>
        </w:rPr>
        <w:tab/>
      </w:r>
      <w:r>
        <w:rPr>
          <w:rFonts w:ascii="Book Antiqua" w:hAnsi="Book Antiqua"/>
          <w:color w:val="000000"/>
          <w:lang w:val="es-ES"/>
        </w:rPr>
        <w:tab/>
      </w:r>
      <w:r>
        <w:rPr>
          <w:rFonts w:ascii="Book Antiqua" w:hAnsi="Book Antiqua"/>
          <w:color w:val="000000"/>
          <w:lang w:val="es-ES"/>
        </w:rPr>
        <w:tab/>
        <w:t>1ra.</w:t>
      </w:r>
      <w:r>
        <w:rPr>
          <w:rFonts w:ascii="Book Antiqua" w:hAnsi="Book Antiqua"/>
          <w:color w:val="000000"/>
          <w:position w:val="10"/>
          <w:vertAlign w:val="superscript"/>
          <w:lang w:val="es-ES"/>
        </w:rPr>
        <w:t xml:space="preserve"> </w:t>
      </w:r>
      <w:r>
        <w:rPr>
          <w:rFonts w:ascii="Book Antiqua" w:hAnsi="Book Antiqua"/>
          <w:color w:val="000000"/>
          <w:lang w:val="es-ES"/>
        </w:rPr>
        <w:t xml:space="preserve">Sesión </w:t>
      </w:r>
    </w:p>
    <w:p w14:paraId="644CB9D2" w14:textId="058A4862" w:rsidR="00FC3975" w:rsidRPr="00F54317" w:rsidRDefault="00FC3975" w:rsidP="00FC3975">
      <w:pPr>
        <w:pStyle w:val="Title2"/>
        <w:rPr>
          <w:rFonts w:ascii="Book Antiqua" w:hAnsi="Book Antiqua"/>
          <w:color w:val="000000"/>
          <w:lang w:val="es-ES"/>
        </w:rPr>
      </w:pPr>
      <w:r>
        <w:rPr>
          <w:rFonts w:ascii="Book Antiqua" w:hAnsi="Book Antiqua"/>
          <w:color w:val="000000"/>
          <w:lang w:val="es-ES"/>
        </w:rPr>
        <w:t xml:space="preserve">        Legislativa</w:t>
      </w:r>
      <w:r>
        <w:rPr>
          <w:rFonts w:ascii="Book Antiqua" w:hAnsi="Book Antiqua"/>
          <w:color w:val="000000"/>
          <w:lang w:val="es-ES"/>
        </w:rPr>
        <w:tab/>
      </w:r>
      <w:r>
        <w:rPr>
          <w:rFonts w:ascii="Book Antiqua" w:hAnsi="Book Antiqua"/>
          <w:color w:val="000000"/>
          <w:lang w:val="es-ES"/>
        </w:rPr>
        <w:tab/>
      </w:r>
      <w:r>
        <w:rPr>
          <w:rFonts w:ascii="Book Antiqua" w:hAnsi="Book Antiqua"/>
          <w:color w:val="000000"/>
          <w:lang w:val="es-ES"/>
        </w:rPr>
        <w:tab/>
        <w:t xml:space="preserve">Ordinaria </w:t>
      </w:r>
    </w:p>
    <w:p w14:paraId="6E81AB17" w14:textId="77777777" w:rsidR="00FC3975" w:rsidRDefault="00FC3975" w:rsidP="00FC3975">
      <w:pPr>
        <w:jc w:val="center"/>
        <w:rPr>
          <w:rFonts w:ascii="Book Antiqua" w:hAnsi="Book Antiqua"/>
          <w:b/>
          <w:bCs/>
          <w:color w:val="000000"/>
          <w:sz w:val="28"/>
          <w:szCs w:val="28"/>
        </w:rPr>
      </w:pPr>
    </w:p>
    <w:p w14:paraId="32D96CAC" w14:textId="77777777" w:rsidR="00351C6E" w:rsidRPr="00A87AFD" w:rsidRDefault="003B6FFF" w:rsidP="00351C6E">
      <w:pPr>
        <w:spacing w:line="360" w:lineRule="auto"/>
        <w:jc w:val="center"/>
        <w:rPr>
          <w:rFonts w:ascii="Book Antiqua" w:hAnsi="Book Antiqua"/>
          <w:b/>
          <w:sz w:val="36"/>
          <w:szCs w:val="36"/>
          <w:lang w:val="es-ES_tradnl"/>
        </w:rPr>
      </w:pPr>
      <w:r w:rsidRPr="00A87AFD">
        <w:rPr>
          <w:rFonts w:ascii="Book Antiqua" w:hAnsi="Book Antiqua"/>
          <w:b/>
          <w:sz w:val="36"/>
          <w:szCs w:val="36"/>
          <w:lang w:val="es-ES_tradnl"/>
        </w:rPr>
        <w:t>CÁMARA DE REPRESENTANTES</w:t>
      </w:r>
    </w:p>
    <w:p w14:paraId="5A2ADEDF" w14:textId="1C69736A" w:rsidR="00351C6E" w:rsidRPr="00A87AFD" w:rsidRDefault="00307DF5" w:rsidP="00351C6E">
      <w:pPr>
        <w:spacing w:line="360" w:lineRule="auto"/>
        <w:jc w:val="center"/>
        <w:rPr>
          <w:rFonts w:ascii="Book Antiqua" w:hAnsi="Book Antiqua"/>
          <w:b/>
          <w:sz w:val="52"/>
          <w:szCs w:val="52"/>
          <w:lang w:val="es-ES_tradnl"/>
        </w:rPr>
      </w:pPr>
      <w:r>
        <w:rPr>
          <w:rFonts w:ascii="Book Antiqua" w:hAnsi="Book Antiqua"/>
          <w:b/>
          <w:sz w:val="52"/>
          <w:szCs w:val="52"/>
          <w:lang w:val="es-ES_tradnl"/>
        </w:rPr>
        <w:t>P. de la C.</w:t>
      </w:r>
      <w:r w:rsidR="001A43D1">
        <w:rPr>
          <w:rFonts w:ascii="Book Antiqua" w:hAnsi="Book Antiqua"/>
          <w:b/>
          <w:sz w:val="52"/>
          <w:szCs w:val="52"/>
          <w:lang w:val="es-ES_tradnl"/>
        </w:rPr>
        <w:t xml:space="preserve"> </w:t>
      </w:r>
      <w:r w:rsidR="00AF730D">
        <w:rPr>
          <w:rFonts w:ascii="Book Antiqua" w:hAnsi="Book Antiqua"/>
          <w:b/>
          <w:sz w:val="52"/>
          <w:szCs w:val="52"/>
          <w:lang w:val="es-ES_tradnl"/>
        </w:rPr>
        <w:t>50</w:t>
      </w:r>
      <w:r w:rsidR="00205FE6">
        <w:rPr>
          <w:rFonts w:ascii="Book Antiqua" w:hAnsi="Book Antiqua"/>
          <w:b/>
          <w:sz w:val="52"/>
          <w:szCs w:val="52"/>
          <w:lang w:val="es-ES_tradnl"/>
        </w:rPr>
        <w:t>5</w:t>
      </w:r>
    </w:p>
    <w:p w14:paraId="39B4E96E" w14:textId="77777777" w:rsidR="00351C6E" w:rsidRPr="00A87AFD" w:rsidRDefault="00351C6E" w:rsidP="00351C6E">
      <w:pPr>
        <w:spacing w:line="360" w:lineRule="auto"/>
        <w:jc w:val="center"/>
        <w:rPr>
          <w:rFonts w:ascii="Book Antiqua" w:hAnsi="Book Antiqua"/>
          <w:b/>
          <w:sz w:val="28"/>
          <w:szCs w:val="28"/>
          <w:lang w:val="es-ES_tradnl"/>
        </w:rPr>
      </w:pPr>
      <w:r w:rsidRPr="00A87AFD">
        <w:rPr>
          <w:rFonts w:ascii="Book Antiqua" w:hAnsi="Book Antiqua"/>
          <w:b/>
          <w:sz w:val="28"/>
          <w:szCs w:val="28"/>
          <w:lang w:val="es-ES_tradnl"/>
        </w:rPr>
        <w:t>INFORME POSITIVO</w:t>
      </w:r>
      <w:r w:rsidR="006A3BE8">
        <w:rPr>
          <w:rFonts w:ascii="Book Antiqua" w:hAnsi="Book Antiqua"/>
          <w:b/>
          <w:sz w:val="28"/>
          <w:szCs w:val="28"/>
          <w:lang w:val="es-ES_tradnl"/>
        </w:rPr>
        <w:t xml:space="preserve"> </w:t>
      </w:r>
    </w:p>
    <w:p w14:paraId="6C6BE152" w14:textId="1AF453E2" w:rsidR="00351C6E" w:rsidRPr="00A87AFD" w:rsidRDefault="009E1A4E" w:rsidP="009E1A4E">
      <w:pPr>
        <w:tabs>
          <w:tab w:val="left" w:pos="3615"/>
          <w:tab w:val="center" w:pos="4680"/>
        </w:tabs>
        <w:spacing w:line="360" w:lineRule="auto"/>
        <w:rPr>
          <w:rFonts w:ascii="Book Antiqua" w:hAnsi="Book Antiqua"/>
          <w:b/>
          <w:szCs w:val="24"/>
          <w:lang w:val="es-ES_tradnl"/>
        </w:rPr>
      </w:pPr>
      <w:r>
        <w:rPr>
          <w:rFonts w:ascii="Book Antiqua" w:hAnsi="Book Antiqua"/>
          <w:szCs w:val="24"/>
          <w:lang w:val="es-ES_tradnl"/>
        </w:rPr>
        <w:tab/>
      </w:r>
      <w:r w:rsidR="00723AF6">
        <w:rPr>
          <w:rFonts w:ascii="Book Antiqua" w:hAnsi="Book Antiqua"/>
          <w:szCs w:val="24"/>
          <w:lang w:val="es-ES_tradnl"/>
        </w:rPr>
        <w:t>28</w:t>
      </w:r>
      <w:r w:rsidR="00BB5435">
        <w:rPr>
          <w:rFonts w:ascii="Book Antiqua" w:hAnsi="Book Antiqua"/>
          <w:szCs w:val="24"/>
          <w:lang w:val="es-ES_tradnl"/>
        </w:rPr>
        <w:t xml:space="preserve"> </w:t>
      </w:r>
      <w:r w:rsidR="00723AF6">
        <w:rPr>
          <w:rFonts w:ascii="Book Antiqua" w:hAnsi="Book Antiqua"/>
          <w:szCs w:val="24"/>
          <w:lang w:val="es-ES_tradnl"/>
        </w:rPr>
        <w:t>d</w:t>
      </w:r>
      <w:r w:rsidR="000001AB" w:rsidRPr="00A87AFD">
        <w:rPr>
          <w:rFonts w:ascii="Book Antiqua" w:hAnsi="Book Antiqua"/>
          <w:szCs w:val="24"/>
          <w:lang w:val="es-ES_tradnl"/>
        </w:rPr>
        <w:t>e</w:t>
      </w:r>
      <w:r w:rsidR="00723AF6">
        <w:rPr>
          <w:rFonts w:ascii="Book Antiqua" w:hAnsi="Book Antiqua"/>
          <w:szCs w:val="24"/>
          <w:lang w:val="es-ES_tradnl"/>
        </w:rPr>
        <w:t xml:space="preserve"> abril</w:t>
      </w:r>
      <w:r w:rsidR="00BB5435">
        <w:rPr>
          <w:rFonts w:ascii="Book Antiqua" w:hAnsi="Book Antiqua"/>
          <w:szCs w:val="24"/>
          <w:lang w:val="es-ES_tradnl"/>
        </w:rPr>
        <w:t xml:space="preserve"> </w:t>
      </w:r>
      <w:r w:rsidR="00351C6E" w:rsidRPr="00A87AFD">
        <w:rPr>
          <w:rFonts w:ascii="Book Antiqua" w:hAnsi="Book Antiqua"/>
          <w:szCs w:val="24"/>
          <w:lang w:val="es-ES_tradnl"/>
        </w:rPr>
        <w:t>de 20</w:t>
      </w:r>
      <w:r w:rsidR="00392F03">
        <w:rPr>
          <w:rFonts w:ascii="Book Antiqua" w:hAnsi="Book Antiqua"/>
          <w:szCs w:val="24"/>
          <w:lang w:val="es-ES_tradnl"/>
        </w:rPr>
        <w:t>25</w:t>
      </w:r>
    </w:p>
    <w:p w14:paraId="01B0081F" w14:textId="77777777" w:rsidR="00F945A3" w:rsidRPr="00A87AFD" w:rsidRDefault="00F945A3" w:rsidP="00F945A3">
      <w:pPr>
        <w:jc w:val="both"/>
        <w:rPr>
          <w:rFonts w:ascii="Book Antiqua" w:hAnsi="Book Antiqua"/>
          <w:b/>
          <w:szCs w:val="24"/>
          <w:lang w:val="es-ES_tradnl"/>
        </w:rPr>
      </w:pPr>
    </w:p>
    <w:p w14:paraId="286C8717" w14:textId="66875159" w:rsidR="00FC3975" w:rsidRPr="00A87AFD" w:rsidRDefault="00E40CF6" w:rsidP="007D6F3D">
      <w:pPr>
        <w:spacing w:after="120" w:line="276" w:lineRule="auto"/>
        <w:jc w:val="both"/>
        <w:rPr>
          <w:rFonts w:ascii="Book Antiqua" w:hAnsi="Book Antiqua"/>
          <w:b/>
          <w:szCs w:val="24"/>
          <w:lang w:val="es-ES_tradnl"/>
        </w:rPr>
      </w:pPr>
      <w:r w:rsidRPr="00A87AFD">
        <w:rPr>
          <w:rFonts w:ascii="Book Antiqua" w:hAnsi="Book Antiqua"/>
          <w:b/>
          <w:szCs w:val="24"/>
          <w:lang w:val="es-ES_tradnl"/>
        </w:rPr>
        <w:t>A LA CÁMARA DE REPRESENTANTES DE PUERTO RICO</w:t>
      </w:r>
      <w:r w:rsidR="00FC3975">
        <w:rPr>
          <w:rFonts w:ascii="Book Antiqua" w:hAnsi="Book Antiqua"/>
          <w:b/>
          <w:szCs w:val="24"/>
          <w:lang w:val="es-ES_tradnl"/>
        </w:rPr>
        <w:t>:</w:t>
      </w:r>
    </w:p>
    <w:p w14:paraId="41DB8468" w14:textId="11117381" w:rsidR="00E40CF6" w:rsidRPr="00A87AFD" w:rsidRDefault="009E1F6B" w:rsidP="00FC3975">
      <w:pPr>
        <w:pStyle w:val="BodyA"/>
        <w:jc w:val="both"/>
        <w:rPr>
          <w:rFonts w:ascii="Book Antiqua" w:hAnsi="Book Antiqua"/>
          <w:lang w:val="es-ES_tradnl"/>
        </w:rPr>
      </w:pPr>
      <w:r w:rsidRPr="00A87AFD">
        <w:rPr>
          <w:rFonts w:ascii="Book Antiqua" w:hAnsi="Book Antiqua"/>
          <w:lang w:val="es-ES_tradnl"/>
        </w:rPr>
        <w:t xml:space="preserve">La Comisión </w:t>
      </w:r>
      <w:r w:rsidR="00105072" w:rsidRPr="00A87AFD">
        <w:rPr>
          <w:rFonts w:ascii="Book Antiqua" w:hAnsi="Book Antiqua"/>
          <w:lang w:val="es-ES_tradnl"/>
        </w:rPr>
        <w:t xml:space="preserve">de </w:t>
      </w:r>
      <w:r w:rsidR="00392F03">
        <w:rPr>
          <w:rFonts w:ascii="Book Antiqua" w:hAnsi="Book Antiqua"/>
          <w:lang w:val="es-ES_tradnl"/>
        </w:rPr>
        <w:t>Hacienda</w:t>
      </w:r>
      <w:r w:rsidR="00105072" w:rsidRPr="00A87AFD">
        <w:rPr>
          <w:rFonts w:ascii="Book Antiqua" w:hAnsi="Book Antiqua"/>
          <w:lang w:val="es-ES_tradnl"/>
        </w:rPr>
        <w:t xml:space="preserve"> </w:t>
      </w:r>
      <w:r w:rsidR="0029408C" w:rsidRPr="00A87AFD">
        <w:rPr>
          <w:rFonts w:ascii="Book Antiqua" w:hAnsi="Book Antiqua"/>
          <w:lang w:val="es-ES_tradnl"/>
        </w:rPr>
        <w:t>de la Cámara de Representantes</w:t>
      </w:r>
      <w:r w:rsidR="00E40CF6" w:rsidRPr="00A87AFD">
        <w:rPr>
          <w:rFonts w:ascii="Book Antiqua" w:hAnsi="Book Antiqua"/>
          <w:lang w:val="es-ES_tradnl"/>
        </w:rPr>
        <w:t>, previo estudio</w:t>
      </w:r>
      <w:r w:rsidR="00392F03">
        <w:rPr>
          <w:rFonts w:ascii="Book Antiqua" w:hAnsi="Book Antiqua"/>
          <w:lang w:val="es-ES_tradnl"/>
        </w:rPr>
        <w:t xml:space="preserve">, </w:t>
      </w:r>
      <w:r w:rsidR="008F4931">
        <w:rPr>
          <w:rFonts w:ascii="Book Antiqua" w:hAnsi="Book Antiqua"/>
          <w:lang w:val="es-ES_tradnl"/>
        </w:rPr>
        <w:t>análisis</w:t>
      </w:r>
      <w:r w:rsidR="00E40CF6" w:rsidRPr="00A87AFD">
        <w:rPr>
          <w:rFonts w:ascii="Book Antiqua" w:hAnsi="Book Antiqua"/>
          <w:lang w:val="es-ES_tradnl"/>
        </w:rPr>
        <w:t xml:space="preserve"> y c</w:t>
      </w:r>
      <w:r w:rsidR="0029408C" w:rsidRPr="00A87AFD">
        <w:rPr>
          <w:rFonts w:ascii="Book Antiqua" w:hAnsi="Book Antiqua"/>
          <w:lang w:val="es-ES_tradnl"/>
        </w:rPr>
        <w:t>onsideración del P</w:t>
      </w:r>
      <w:r w:rsidR="0031731B">
        <w:rPr>
          <w:rFonts w:ascii="Book Antiqua" w:hAnsi="Book Antiqua"/>
          <w:lang w:val="es-ES_tradnl"/>
        </w:rPr>
        <w:t xml:space="preserve">royecto </w:t>
      </w:r>
      <w:r w:rsidR="002233E5">
        <w:rPr>
          <w:rFonts w:ascii="Book Antiqua" w:hAnsi="Book Antiqua"/>
          <w:lang w:val="es-ES_tradnl"/>
        </w:rPr>
        <w:t xml:space="preserve">de la Cámara </w:t>
      </w:r>
      <w:r w:rsidR="00AF730D">
        <w:rPr>
          <w:rFonts w:ascii="Book Antiqua" w:hAnsi="Book Antiqua"/>
          <w:lang w:val="es-ES_tradnl"/>
        </w:rPr>
        <w:t>50</w:t>
      </w:r>
      <w:r w:rsidR="00205FE6">
        <w:rPr>
          <w:rFonts w:ascii="Book Antiqua" w:hAnsi="Book Antiqua"/>
          <w:lang w:val="es-ES_tradnl"/>
        </w:rPr>
        <w:t>5</w:t>
      </w:r>
      <w:r w:rsidR="00E40CF6" w:rsidRPr="00A87AFD">
        <w:rPr>
          <w:rFonts w:ascii="Book Antiqua" w:hAnsi="Book Antiqua"/>
          <w:lang w:val="es-ES_tradnl"/>
        </w:rPr>
        <w:t>,</w:t>
      </w:r>
      <w:r w:rsidR="0031731B">
        <w:rPr>
          <w:rFonts w:ascii="Book Antiqua" w:hAnsi="Book Antiqua"/>
          <w:lang w:val="es-ES_tradnl"/>
        </w:rPr>
        <w:t xml:space="preserve"> y en cumplimiento con las disposiciones del Reglamento de la Cámara de Representantes,</w:t>
      </w:r>
      <w:r w:rsidR="00E40CF6" w:rsidRPr="00A87AFD">
        <w:rPr>
          <w:rFonts w:ascii="Book Antiqua" w:hAnsi="Book Antiqua"/>
          <w:lang w:val="es-ES_tradnl"/>
        </w:rPr>
        <w:t xml:space="preserve"> tiene a bien recomendar a este Alto Cuerpo la aprobación de esta medida</w:t>
      </w:r>
      <w:r w:rsidR="003A7099">
        <w:rPr>
          <w:rFonts w:ascii="Book Antiqua" w:hAnsi="Book Antiqua"/>
          <w:lang w:val="es-ES_tradnl"/>
        </w:rPr>
        <w:t>, sin enmiendas.</w:t>
      </w:r>
    </w:p>
    <w:p w14:paraId="1D736C64" w14:textId="77777777" w:rsidR="00E40CF6" w:rsidRPr="00FC3975" w:rsidRDefault="00E40CF6" w:rsidP="00FC3975">
      <w:pPr>
        <w:pStyle w:val="BodyA"/>
        <w:jc w:val="both"/>
        <w:rPr>
          <w:rFonts w:ascii="Book Antiqua" w:hAnsi="Book Antiqua"/>
          <w:lang w:val="es-ES_tradnl"/>
        </w:rPr>
      </w:pPr>
    </w:p>
    <w:p w14:paraId="7AC98CEB" w14:textId="1083906F" w:rsidR="00362E37" w:rsidRDefault="00E40CF6" w:rsidP="00FC3975">
      <w:pPr>
        <w:spacing w:after="120" w:line="276" w:lineRule="auto"/>
        <w:jc w:val="center"/>
        <w:rPr>
          <w:rFonts w:ascii="Book Antiqua" w:hAnsi="Book Antiqua"/>
          <w:b/>
          <w:szCs w:val="24"/>
          <w:lang w:val="es-ES_tradnl"/>
        </w:rPr>
      </w:pPr>
      <w:r w:rsidRPr="00A87AFD">
        <w:rPr>
          <w:rFonts w:ascii="Book Antiqua" w:hAnsi="Book Antiqua"/>
          <w:b/>
          <w:szCs w:val="24"/>
          <w:lang w:val="es-ES_tradnl"/>
        </w:rPr>
        <w:t>ALCANCE DE LA MEDIDA</w:t>
      </w:r>
    </w:p>
    <w:p w14:paraId="37437C50" w14:textId="596B324A" w:rsidR="008603B1" w:rsidRPr="008603B1" w:rsidRDefault="008A4C32" w:rsidP="00150568">
      <w:pPr>
        <w:pStyle w:val="BodyA"/>
        <w:jc w:val="both"/>
        <w:rPr>
          <w:rFonts w:ascii="Book Antiqua" w:hAnsi="Book Antiqua" w:cs="Book Antiqua"/>
          <w:lang w:val="es-ES"/>
        </w:rPr>
      </w:pPr>
      <w:r w:rsidRPr="00B35F84">
        <w:rPr>
          <w:rFonts w:ascii="Book Antiqua" w:hAnsi="Book Antiqua"/>
          <w:lang w:val="es-ES_tradnl"/>
        </w:rPr>
        <w:t xml:space="preserve">El Proyecto de la </w:t>
      </w:r>
      <w:r w:rsidR="007D3C07" w:rsidRPr="00B35F84">
        <w:rPr>
          <w:rFonts w:ascii="Book Antiqua" w:hAnsi="Book Antiqua"/>
          <w:lang w:val="es-ES_tradnl"/>
        </w:rPr>
        <w:t>Cámara</w:t>
      </w:r>
      <w:r w:rsidR="00083227" w:rsidRPr="00B35F84">
        <w:rPr>
          <w:rFonts w:ascii="Book Antiqua" w:hAnsi="Book Antiqua"/>
          <w:lang w:val="es-ES_tradnl"/>
        </w:rPr>
        <w:t xml:space="preserve"> 50</w:t>
      </w:r>
      <w:r w:rsidR="008603B1">
        <w:rPr>
          <w:rFonts w:ascii="Book Antiqua" w:hAnsi="Book Antiqua"/>
          <w:lang w:val="es-ES_tradnl"/>
        </w:rPr>
        <w:t>5</w:t>
      </w:r>
      <w:r w:rsidR="00083227" w:rsidRPr="00B35F84">
        <w:rPr>
          <w:rFonts w:ascii="Book Antiqua" w:hAnsi="Book Antiqua"/>
          <w:lang w:val="es-ES_tradnl"/>
        </w:rPr>
        <w:t xml:space="preserve"> </w:t>
      </w:r>
      <w:r w:rsidR="002D65B5" w:rsidRPr="00B35F84">
        <w:rPr>
          <w:rFonts w:ascii="Book Antiqua" w:hAnsi="Book Antiqua"/>
          <w:lang w:val="es-ES_tradnl"/>
        </w:rPr>
        <w:t>tiene el objetivo</w:t>
      </w:r>
      <w:r w:rsidR="008603B1">
        <w:rPr>
          <w:rFonts w:ascii="Book Antiqua" w:hAnsi="Book Antiqua"/>
          <w:lang w:val="es-ES_tradnl"/>
        </w:rPr>
        <w:t xml:space="preserve"> de</w:t>
      </w:r>
      <w:r w:rsidR="008603B1" w:rsidRPr="008603B1">
        <w:rPr>
          <w:rFonts w:ascii="Book Antiqua" w:hAnsi="Book Antiqua"/>
          <w:lang w:val="es-ES"/>
        </w:rPr>
        <w:t xml:space="preserve"> </w:t>
      </w:r>
      <w:r w:rsidR="008603B1" w:rsidRPr="008603B1">
        <w:rPr>
          <w:rFonts w:ascii="Book Antiqua" w:hAnsi="Book Antiqua"/>
          <w:lang w:val="es-PR"/>
        </w:rPr>
        <w:t>enmendar las Secciones 1020.02(a)(4), 2022.01, 2022.02 y 6020.03 de la Ley 60-2019, según enmendada, conocida como “Código de Incentivos de Puerto Rico”, a los fines de ajustar la tasa contributiva aplicable a futuros Individuos Residentes Inversionistas, establecer requisitos de residencia previa, y extender la vigencia del programa hasta el año 2055</w:t>
      </w:r>
      <w:r w:rsidR="00936CE7">
        <w:rPr>
          <w:rFonts w:ascii="Book Antiqua" w:hAnsi="Book Antiqua"/>
          <w:lang w:val="es-PR"/>
        </w:rPr>
        <w:t xml:space="preserve"> y para otros fines relacionados. </w:t>
      </w:r>
    </w:p>
    <w:p w14:paraId="77FECF23" w14:textId="77777777" w:rsidR="007D6F3D" w:rsidRPr="00FC3975" w:rsidRDefault="007D6F3D" w:rsidP="007D6F3D">
      <w:pPr>
        <w:spacing w:after="120" w:line="276" w:lineRule="auto"/>
        <w:jc w:val="both"/>
        <w:rPr>
          <w:rFonts w:ascii="Book Antiqua" w:hAnsi="Book Antiqua"/>
          <w:lang w:val="es-ES"/>
        </w:rPr>
      </w:pPr>
    </w:p>
    <w:p w14:paraId="1E1EF1E2" w14:textId="580BD88E" w:rsidR="00EE05AF" w:rsidRPr="00EE05AF" w:rsidRDefault="00EE05AF" w:rsidP="00534636">
      <w:pPr>
        <w:spacing w:before="100" w:beforeAutospacing="1" w:after="120" w:line="276" w:lineRule="auto"/>
        <w:jc w:val="center"/>
        <w:rPr>
          <w:rFonts w:ascii="Book Antiqua" w:hAnsi="Book Antiqua"/>
          <w:b/>
          <w:szCs w:val="24"/>
          <w:lang w:val="es-ES_tradnl"/>
        </w:rPr>
      </w:pPr>
      <w:r w:rsidRPr="00EE05AF">
        <w:rPr>
          <w:rFonts w:ascii="Book Antiqua" w:hAnsi="Book Antiqua"/>
          <w:b/>
          <w:szCs w:val="24"/>
          <w:lang w:val="es-ES_tradnl"/>
        </w:rPr>
        <w:t>ANÁLISIS DE LA MEDIDA</w:t>
      </w:r>
    </w:p>
    <w:p w14:paraId="5954820E" w14:textId="77777777" w:rsidR="00150568" w:rsidRDefault="00150568" w:rsidP="00FC3975">
      <w:pPr>
        <w:pStyle w:val="BodyA"/>
        <w:jc w:val="both"/>
        <w:rPr>
          <w:rFonts w:ascii="Book Antiqua" w:hAnsi="Book Antiqua"/>
          <w:lang w:val="es-ES_tradnl"/>
        </w:rPr>
      </w:pPr>
      <w:r w:rsidRPr="00FC3975">
        <w:rPr>
          <w:rFonts w:ascii="Book Antiqua" w:hAnsi="Book Antiqua"/>
          <w:lang w:val="es-ES_tradnl"/>
        </w:rPr>
        <w:t>El cambio propuesto en la tasa impositiva de 0% a 4% para futuros Individuos Residentes Inversionistas representa una reforma significativa que busca equilibrar la equidad fiscal y la competitividad económica de Puerto Rico. Este ajuste, aunque moderado, tiene el potencial de generar beneficios sustanciales tanto para el fisco como para la comunidad inversionista.</w:t>
      </w:r>
    </w:p>
    <w:p w14:paraId="3B93B52C" w14:textId="77777777" w:rsidR="00FC3975" w:rsidRPr="00FC3975" w:rsidRDefault="00FC3975" w:rsidP="00FC3975">
      <w:pPr>
        <w:pStyle w:val="BodyA"/>
        <w:jc w:val="both"/>
        <w:rPr>
          <w:rFonts w:ascii="Book Antiqua" w:hAnsi="Book Antiqua"/>
          <w:lang w:val="es-ES_tradnl"/>
        </w:rPr>
      </w:pPr>
    </w:p>
    <w:p w14:paraId="3A9D1552" w14:textId="77777777" w:rsidR="001276BE" w:rsidRDefault="001276BE" w:rsidP="00FC3975">
      <w:pPr>
        <w:pStyle w:val="BodyA"/>
        <w:jc w:val="both"/>
        <w:rPr>
          <w:rFonts w:ascii="Book Antiqua" w:hAnsi="Book Antiqua"/>
          <w:lang w:val="es-ES_tradnl"/>
        </w:rPr>
      </w:pPr>
      <w:r w:rsidRPr="00FC3975">
        <w:rPr>
          <w:rFonts w:ascii="Book Antiqua" w:hAnsi="Book Antiqua"/>
          <w:lang w:val="es-ES_tradnl"/>
        </w:rPr>
        <w:t xml:space="preserve">Antes de implementar un cambio en la tasa impositiva, resulta fundamental llevar a cabo un análisis integral que contemple diversos aspectos. Este análisis debe considerar cómo dicho aumento impactará en la atracción de nuevos inversionistas y la retención de los existentes, además de evaluar si el cambio en la tasa logra mantener la competitividad del programa sin comprometer su desempeño económico. También es esencial estimar </w:t>
      </w:r>
      <w:r w:rsidRPr="00FC3975">
        <w:rPr>
          <w:rFonts w:ascii="Book Antiqua" w:hAnsi="Book Antiqua"/>
          <w:lang w:val="es-ES_tradnl"/>
        </w:rPr>
        <w:lastRenderedPageBreak/>
        <w:t>los ingresos adicionales que se generarán para el fisco, y definir cómo estos podrán ser utilizados para fortalecer la economía local. Asimismo, se debe garantizar que los inversionistas actuales no sufran efectos negativos por el cambio, respetando los decretos vigentes.</w:t>
      </w:r>
    </w:p>
    <w:p w14:paraId="74E64523" w14:textId="77777777" w:rsidR="00F23EDF" w:rsidRDefault="00F23EDF" w:rsidP="00FC3975">
      <w:pPr>
        <w:pStyle w:val="BodyA"/>
        <w:jc w:val="both"/>
        <w:rPr>
          <w:rFonts w:ascii="Book Antiqua" w:hAnsi="Book Antiqua"/>
          <w:lang w:val="es-ES_tradnl"/>
        </w:rPr>
      </w:pPr>
    </w:p>
    <w:p w14:paraId="6B96728C" w14:textId="47406267" w:rsidR="00F23EDF" w:rsidRDefault="00F23EDF" w:rsidP="00FC3975">
      <w:pPr>
        <w:pStyle w:val="BodyA"/>
        <w:jc w:val="both"/>
        <w:rPr>
          <w:rFonts w:ascii="Book Antiqua" w:hAnsi="Book Antiqua"/>
          <w:lang w:val="es-ES_tradnl"/>
        </w:rPr>
      </w:pPr>
      <w:r w:rsidRPr="00F23EDF">
        <w:rPr>
          <w:rFonts w:ascii="Book Antiqua" w:hAnsi="Book Antiqua"/>
          <w:lang w:val="es-PR"/>
        </w:rPr>
        <w:t>Según el estudio publicado en el 2024 por el Departamento de Desarrollo Económico y Comercio, en 2022 había 2,660 decretos activos de Individuos Residentes Inversionistas. Estos aportaron al fisco alrededor de $201 millones anuales. Además, crearon sobre 8,266 empleos directos - al menos el 70% de estos son del sector de exportación - con un salario anual promedio de $47,248 en dicho sector (39% mayor al salario promedio anual en PR). Adicionalmente, crearon 19,304 empleos indirectos. En 2022, los residentes inversionistas donaron un promedio anual de $14,034 por individuo a organizaciones sin fines de lucro.</w:t>
      </w:r>
    </w:p>
    <w:p w14:paraId="3085F261" w14:textId="77777777" w:rsidR="00FC3975" w:rsidRPr="00FC3975" w:rsidRDefault="00FC3975" w:rsidP="00FC3975">
      <w:pPr>
        <w:pStyle w:val="BodyA"/>
        <w:jc w:val="both"/>
        <w:rPr>
          <w:rFonts w:ascii="Book Antiqua" w:hAnsi="Book Antiqua"/>
          <w:lang w:val="es-ES_tradnl"/>
        </w:rPr>
      </w:pPr>
    </w:p>
    <w:p w14:paraId="2BAF341A" w14:textId="160900F5" w:rsidR="00BA1E2E" w:rsidRDefault="00F23EDF" w:rsidP="00FC3975">
      <w:pPr>
        <w:pStyle w:val="BodyA"/>
        <w:jc w:val="both"/>
        <w:rPr>
          <w:rFonts w:ascii="Book Antiqua" w:hAnsi="Book Antiqua"/>
          <w:lang w:val="es-ES_tradnl"/>
        </w:rPr>
      </w:pPr>
      <w:r>
        <w:rPr>
          <w:rFonts w:ascii="Book Antiqua" w:hAnsi="Book Antiqua"/>
          <w:lang w:val="es-ES_tradnl"/>
        </w:rPr>
        <w:t>De igual forma e</w:t>
      </w:r>
      <w:r w:rsidR="001276BE" w:rsidRPr="00FC3975">
        <w:rPr>
          <w:rFonts w:ascii="Book Antiqua" w:hAnsi="Book Antiqua"/>
          <w:lang w:val="es-ES_tradnl"/>
        </w:rPr>
        <w:t xml:space="preserve">l aumento de la tasa impositiva </w:t>
      </w:r>
      <w:r w:rsidR="00464BFD" w:rsidRPr="00FC3975">
        <w:rPr>
          <w:rFonts w:ascii="Book Antiqua" w:hAnsi="Book Antiqua"/>
          <w:lang w:val="es-ES_tradnl"/>
        </w:rPr>
        <w:t xml:space="preserve">del 0% </w:t>
      </w:r>
      <w:r w:rsidR="001276BE" w:rsidRPr="00FC3975">
        <w:rPr>
          <w:rFonts w:ascii="Book Antiqua" w:hAnsi="Book Antiqua"/>
          <w:lang w:val="es-ES_tradnl"/>
        </w:rPr>
        <w:t xml:space="preserve">al 4% presenta varios beneficios significativos. Este ajuste tiene el potencial de elevar </w:t>
      </w:r>
      <w:r>
        <w:rPr>
          <w:rFonts w:ascii="Book Antiqua" w:hAnsi="Book Antiqua"/>
          <w:lang w:val="es-ES_tradnl"/>
        </w:rPr>
        <w:t>la cifra de recaudos o impacto fiscal al erario</w:t>
      </w:r>
      <w:r w:rsidR="001276BE" w:rsidRPr="00FC3975">
        <w:rPr>
          <w:rFonts w:ascii="Book Antiqua" w:hAnsi="Book Antiqua"/>
          <w:lang w:val="es-ES_tradnl"/>
        </w:rPr>
        <w:t>, aportando recursos adicionales para proyectos de desarrollo económico y social. Además, la extensión de la vigencia del programa hasta el año 2055 elimina la incertidumbre previa que surgía por su expiración en 2035</w:t>
      </w:r>
      <w:r w:rsidR="00C74615" w:rsidRPr="00FC3975">
        <w:rPr>
          <w:rFonts w:ascii="Book Antiqua" w:hAnsi="Book Antiqua"/>
          <w:lang w:val="es-ES_tradnl"/>
        </w:rPr>
        <w:t>; e</w:t>
      </w:r>
      <w:r w:rsidR="001276BE" w:rsidRPr="00FC3975">
        <w:rPr>
          <w:rFonts w:ascii="Book Antiqua" w:hAnsi="Book Antiqua"/>
          <w:lang w:val="es-ES_tradnl"/>
        </w:rPr>
        <w:t xml:space="preserve">sto genera mayor confianza </w:t>
      </w:r>
      <w:r w:rsidR="00920019" w:rsidRPr="00FC3975">
        <w:rPr>
          <w:rFonts w:ascii="Book Antiqua" w:hAnsi="Book Antiqua"/>
          <w:lang w:val="es-ES_tradnl"/>
        </w:rPr>
        <w:t>propiciando</w:t>
      </w:r>
      <w:r w:rsidR="00A31827" w:rsidRPr="00FC3975">
        <w:rPr>
          <w:rFonts w:ascii="Book Antiqua" w:hAnsi="Book Antiqua"/>
          <w:lang w:val="es-ES_tradnl"/>
        </w:rPr>
        <w:t xml:space="preserve"> una mayor</w:t>
      </w:r>
      <w:r w:rsidR="001276BE" w:rsidRPr="00FC3975">
        <w:rPr>
          <w:rFonts w:ascii="Book Antiqua" w:hAnsi="Book Antiqua"/>
          <w:lang w:val="es-ES_tradnl"/>
        </w:rPr>
        <w:t xml:space="preserve"> </w:t>
      </w:r>
      <w:r w:rsidR="00920019" w:rsidRPr="00FC3975">
        <w:rPr>
          <w:rFonts w:ascii="Book Antiqua" w:hAnsi="Book Antiqua"/>
          <w:lang w:val="es-ES_tradnl"/>
        </w:rPr>
        <w:t>atracción</w:t>
      </w:r>
      <w:r w:rsidR="008E0432" w:rsidRPr="00FC3975">
        <w:rPr>
          <w:rFonts w:ascii="Book Antiqua" w:hAnsi="Book Antiqua"/>
          <w:lang w:val="es-ES_tradnl"/>
        </w:rPr>
        <w:t xml:space="preserve"> de</w:t>
      </w:r>
      <w:r w:rsidR="00BA54F4" w:rsidRPr="00FC3975">
        <w:rPr>
          <w:rFonts w:ascii="Book Antiqua" w:hAnsi="Book Antiqua"/>
          <w:lang w:val="es-ES_tradnl"/>
        </w:rPr>
        <w:t xml:space="preserve"> </w:t>
      </w:r>
      <w:r w:rsidR="001276BE" w:rsidRPr="00FC3975">
        <w:rPr>
          <w:rFonts w:ascii="Book Antiqua" w:hAnsi="Book Antiqua"/>
          <w:lang w:val="es-ES_tradnl"/>
        </w:rPr>
        <w:t xml:space="preserve">inversionistas, permitiéndoles planificar sus estrategias a largo plazo y fomentando una inversión sostenida en la Isla. </w:t>
      </w:r>
    </w:p>
    <w:p w14:paraId="46EABF4F" w14:textId="77777777" w:rsidR="00F23EDF" w:rsidRDefault="00F23EDF" w:rsidP="00FC3975">
      <w:pPr>
        <w:pStyle w:val="BodyA"/>
        <w:jc w:val="both"/>
        <w:rPr>
          <w:rFonts w:ascii="Book Antiqua" w:hAnsi="Book Antiqua"/>
          <w:lang w:val="es-ES_tradnl"/>
        </w:rPr>
      </w:pPr>
    </w:p>
    <w:p w14:paraId="0C12C68F" w14:textId="18925D4B" w:rsidR="00423865" w:rsidRDefault="00F23EDF" w:rsidP="00FC3975">
      <w:pPr>
        <w:pStyle w:val="BodyA"/>
        <w:jc w:val="both"/>
        <w:rPr>
          <w:rFonts w:ascii="Book Antiqua" w:hAnsi="Book Antiqua"/>
          <w:lang w:val="es-PR"/>
        </w:rPr>
      </w:pPr>
      <w:r>
        <w:rPr>
          <w:rFonts w:ascii="Book Antiqua" w:hAnsi="Book Antiqua"/>
          <w:lang w:val="es-PR"/>
        </w:rPr>
        <w:t xml:space="preserve">La </w:t>
      </w:r>
      <w:r w:rsidRPr="00F23EDF">
        <w:rPr>
          <w:rFonts w:ascii="Book Antiqua" w:hAnsi="Book Antiqua"/>
          <w:lang w:val="es-PR"/>
        </w:rPr>
        <w:t>Autoridad de Asesoría Financiera y Agencia Fiscal de Puerto Rico (“AAFAF”)</w:t>
      </w:r>
      <w:r>
        <w:rPr>
          <w:rFonts w:ascii="Book Antiqua" w:hAnsi="Book Antiqua"/>
          <w:lang w:val="es-PR"/>
        </w:rPr>
        <w:t xml:space="preserve"> sometió </w:t>
      </w:r>
      <w:r w:rsidR="00423865">
        <w:rPr>
          <w:rFonts w:ascii="Book Antiqua" w:hAnsi="Book Antiqua"/>
          <w:lang w:val="es-PR"/>
        </w:rPr>
        <w:t xml:space="preserve">memorial </w:t>
      </w:r>
      <w:r>
        <w:rPr>
          <w:rFonts w:ascii="Book Antiqua" w:hAnsi="Book Antiqua"/>
          <w:lang w:val="es-PR"/>
        </w:rPr>
        <w:t xml:space="preserve">en donde expuso </w:t>
      </w:r>
      <w:r w:rsidR="00423865">
        <w:rPr>
          <w:rFonts w:ascii="Book Antiqua" w:hAnsi="Book Antiqua"/>
          <w:lang w:val="es-PR"/>
        </w:rPr>
        <w:t>que, d</w:t>
      </w:r>
      <w:r w:rsidR="00423865" w:rsidRPr="00423865">
        <w:rPr>
          <w:rFonts w:ascii="Book Antiqua" w:hAnsi="Book Antiqua"/>
          <w:lang w:val="es-PR"/>
        </w:rPr>
        <w:t>esde la perspectiva fiscal, la propuesta es consistente con el Plan Fiscal certificado el 5 de junio de 2024, el cual establece la necesidad de revisar y reformar los programas de incentivos para maximizar su retorno económico, asegurar su transparencia, y evitar pérdidas de ingresos que no estén debidamente justificadas.</w:t>
      </w:r>
    </w:p>
    <w:p w14:paraId="45CDB3F0" w14:textId="77777777" w:rsidR="00423865" w:rsidRDefault="00423865" w:rsidP="00FC3975">
      <w:pPr>
        <w:pStyle w:val="BodyA"/>
        <w:jc w:val="both"/>
        <w:rPr>
          <w:rFonts w:ascii="Book Antiqua" w:hAnsi="Book Antiqua"/>
          <w:lang w:val="es-PR"/>
        </w:rPr>
      </w:pPr>
    </w:p>
    <w:p w14:paraId="6DAD4010" w14:textId="77777777" w:rsidR="00423865" w:rsidRDefault="00423865" w:rsidP="00423865">
      <w:pPr>
        <w:pStyle w:val="BodyA"/>
        <w:jc w:val="both"/>
        <w:rPr>
          <w:rFonts w:ascii="Book Antiqua" w:hAnsi="Book Antiqua"/>
          <w:lang w:val="es-PR"/>
        </w:rPr>
      </w:pPr>
      <w:r>
        <w:rPr>
          <w:rFonts w:ascii="Book Antiqua" w:hAnsi="Book Antiqua"/>
          <w:lang w:val="es-PR"/>
        </w:rPr>
        <w:t>También mencionan que l</w:t>
      </w:r>
      <w:r w:rsidRPr="00423865">
        <w:rPr>
          <w:rFonts w:ascii="Book Antiqua" w:hAnsi="Book Antiqua"/>
          <w:lang w:val="es-PR"/>
        </w:rPr>
        <w:t>as medidas propuestas contribuirían a fortalecer la base fiscal del Gobierno de Puerto Rico, sin eliminar los beneficios que han hecho del programa una herramienta efectiva para atraer inversión privada.</w:t>
      </w:r>
      <w:r>
        <w:rPr>
          <w:rFonts w:ascii="Book Antiqua" w:hAnsi="Book Antiqua"/>
          <w:lang w:val="es-PR"/>
        </w:rPr>
        <w:t xml:space="preserve">  </w:t>
      </w:r>
    </w:p>
    <w:p w14:paraId="7D72A03C" w14:textId="77777777" w:rsidR="00423865" w:rsidRDefault="00423865" w:rsidP="00423865">
      <w:pPr>
        <w:pStyle w:val="BodyA"/>
        <w:jc w:val="both"/>
        <w:rPr>
          <w:rFonts w:ascii="Book Antiqua" w:hAnsi="Book Antiqua"/>
          <w:lang w:val="es-PR"/>
        </w:rPr>
      </w:pPr>
    </w:p>
    <w:p w14:paraId="1ADA2ED3" w14:textId="2A7FA1E5" w:rsidR="00F23EDF" w:rsidRPr="00723AF6" w:rsidRDefault="00423865" w:rsidP="00423865">
      <w:pPr>
        <w:pStyle w:val="BodyA"/>
        <w:jc w:val="both"/>
        <w:rPr>
          <w:rFonts w:ascii="Book Antiqua" w:hAnsi="Book Antiqua"/>
          <w:lang w:val="es-ES_tradnl"/>
        </w:rPr>
      </w:pPr>
      <w:r w:rsidRPr="00723AF6">
        <w:rPr>
          <w:rFonts w:ascii="Book Antiqua" w:hAnsi="Book Antiqua"/>
          <w:lang w:val="es-ES_tradnl"/>
        </w:rPr>
        <w:t>El Plan Fiscal certificado también establece como objetivo la evaluación continua de los incentivos económicos y su alineación con los principios de eficiencia, rendición de cuentas y resultados medibles. El PC 505 permite precisamente lo anterior, al mantener el programa con ajustes que lo hacen más sostenible fiscalmente, alineado con la equidad contributiva y la responsabilidad fiscal. Al mismo tiempo, promueve la captación de ingresos adicionales sin imponer cargas fiscales nuevas sobre los contribuyentes locales, por lo que cumple con el principio de neutralidad fiscal del Plan Fiscal certificado.</w:t>
      </w:r>
    </w:p>
    <w:p w14:paraId="34455EAD" w14:textId="77777777" w:rsidR="00423865" w:rsidRPr="00723AF6" w:rsidRDefault="00423865" w:rsidP="00423865">
      <w:pPr>
        <w:pStyle w:val="BodyA"/>
        <w:jc w:val="both"/>
        <w:rPr>
          <w:rFonts w:ascii="Book Antiqua" w:hAnsi="Book Antiqua"/>
          <w:lang w:val="es-ES_tradnl"/>
        </w:rPr>
      </w:pPr>
    </w:p>
    <w:p w14:paraId="1CC00AA3" w14:textId="77777777" w:rsidR="00423865" w:rsidRPr="00423865" w:rsidRDefault="00423865" w:rsidP="00423865">
      <w:pPr>
        <w:pStyle w:val="BodyA"/>
        <w:jc w:val="both"/>
        <w:rPr>
          <w:rFonts w:ascii="Book Antiqua" w:hAnsi="Book Antiqua"/>
          <w:lang w:val="es-PR"/>
        </w:rPr>
      </w:pPr>
    </w:p>
    <w:p w14:paraId="698D59BF" w14:textId="77777777" w:rsidR="00FC3975" w:rsidRPr="00FC3975" w:rsidRDefault="00FC3975" w:rsidP="00FC3975">
      <w:pPr>
        <w:pStyle w:val="BodyA"/>
        <w:jc w:val="both"/>
        <w:rPr>
          <w:rFonts w:ascii="Book Antiqua" w:hAnsi="Book Antiqua"/>
          <w:lang w:val="es-ES_tradnl"/>
        </w:rPr>
      </w:pPr>
    </w:p>
    <w:p w14:paraId="1188AB46" w14:textId="77777777" w:rsidR="00EE05AF" w:rsidRPr="0096316F" w:rsidRDefault="00EE05AF" w:rsidP="00534636">
      <w:pPr>
        <w:spacing w:before="100" w:beforeAutospacing="1" w:after="120" w:line="276" w:lineRule="auto"/>
        <w:jc w:val="center"/>
        <w:rPr>
          <w:rFonts w:ascii="Book Antiqua" w:hAnsi="Book Antiqua"/>
          <w:b/>
          <w:szCs w:val="24"/>
        </w:rPr>
      </w:pPr>
      <w:r w:rsidRPr="0096316F">
        <w:rPr>
          <w:rFonts w:ascii="Book Antiqua" w:hAnsi="Book Antiqua"/>
          <w:b/>
          <w:szCs w:val="24"/>
        </w:rPr>
        <w:lastRenderedPageBreak/>
        <w:t>IMPACTO FISCAL</w:t>
      </w:r>
    </w:p>
    <w:p w14:paraId="7ADC6CB1" w14:textId="4D878FB3" w:rsidR="00BB5435" w:rsidRPr="00723AF6" w:rsidRDefault="00FC3975" w:rsidP="00723AF6">
      <w:pPr>
        <w:pStyle w:val="BodyA"/>
        <w:jc w:val="both"/>
        <w:rPr>
          <w:rFonts w:ascii="Book Antiqua" w:hAnsi="Book Antiqua"/>
          <w:lang w:val="es-ES_tradnl"/>
        </w:rPr>
      </w:pPr>
      <w:r w:rsidRPr="00723AF6">
        <w:rPr>
          <w:rFonts w:ascii="Book Antiqua" w:hAnsi="Book Antiqua"/>
          <w:lang w:val="es-ES_tradnl"/>
        </w:rPr>
        <w:t xml:space="preserve">La Oficina de Presupuesto de la Asamblea Legislativa estima que el Proyecto de la Cámara 505 tendría un efecto fiscal de aumento en recaudos del </w:t>
      </w:r>
      <w:r w:rsidR="00BB5435" w:rsidRPr="00723AF6">
        <w:rPr>
          <w:rFonts w:ascii="Book Antiqua" w:hAnsi="Book Antiqua"/>
          <w:lang w:val="es-ES_tradnl"/>
        </w:rPr>
        <w:t>F</w:t>
      </w:r>
      <w:r w:rsidRPr="00723AF6">
        <w:rPr>
          <w:rFonts w:ascii="Book Antiqua" w:hAnsi="Book Antiqua"/>
          <w:lang w:val="es-ES_tradnl"/>
        </w:rPr>
        <w:t xml:space="preserve">ondo </w:t>
      </w:r>
      <w:r w:rsidR="00BB5435" w:rsidRPr="00723AF6">
        <w:rPr>
          <w:rFonts w:ascii="Book Antiqua" w:hAnsi="Book Antiqua"/>
          <w:lang w:val="es-ES_tradnl"/>
        </w:rPr>
        <w:t>G</w:t>
      </w:r>
      <w:r w:rsidRPr="00723AF6">
        <w:rPr>
          <w:rFonts w:ascii="Book Antiqua" w:hAnsi="Book Antiqua"/>
          <w:lang w:val="es-ES_tradnl"/>
        </w:rPr>
        <w:t xml:space="preserve">eneral aproximado entre </w:t>
      </w:r>
      <w:r w:rsidR="00BB5435" w:rsidRPr="00723AF6">
        <w:rPr>
          <w:rFonts w:ascii="Book Antiqua" w:hAnsi="Book Antiqua"/>
          <w:lang w:val="es-ES_tradnl"/>
        </w:rPr>
        <w:t>$</w:t>
      </w:r>
      <w:r w:rsidRPr="00723AF6">
        <w:rPr>
          <w:rFonts w:ascii="Book Antiqua" w:hAnsi="Book Antiqua"/>
          <w:lang w:val="es-ES_tradnl"/>
        </w:rPr>
        <w:t xml:space="preserve">27.8 millones a </w:t>
      </w:r>
      <w:r w:rsidR="00BB5435" w:rsidRPr="00723AF6">
        <w:rPr>
          <w:rFonts w:ascii="Book Antiqua" w:hAnsi="Book Antiqua"/>
          <w:lang w:val="es-ES_tradnl"/>
        </w:rPr>
        <w:t>$</w:t>
      </w:r>
      <w:r w:rsidRPr="00723AF6">
        <w:rPr>
          <w:rFonts w:ascii="Book Antiqua" w:hAnsi="Book Antiqua"/>
          <w:lang w:val="es-ES_tradnl"/>
        </w:rPr>
        <w:t>60.6 millones para el año fiscal 2027 por concepto de intereses, divid</w:t>
      </w:r>
      <w:r w:rsidR="00BB5435" w:rsidRPr="00723AF6">
        <w:rPr>
          <w:rFonts w:ascii="Book Antiqua" w:hAnsi="Book Antiqua"/>
          <w:lang w:val="es-ES_tradnl"/>
        </w:rPr>
        <w:t>endos</w:t>
      </w:r>
      <w:r w:rsidRPr="00723AF6">
        <w:rPr>
          <w:rFonts w:ascii="Book Antiqua" w:hAnsi="Book Antiqua"/>
          <w:lang w:val="es-ES_tradnl"/>
        </w:rPr>
        <w:t xml:space="preserve"> y ganancias de capital provenientes de nuevos decretos.  Para el año fiscal 2037, se prevé que la extensión de los decretos vigentes generaría un aumento en recaudos por </w:t>
      </w:r>
      <w:r w:rsidR="00BB5435" w:rsidRPr="00723AF6">
        <w:rPr>
          <w:rFonts w:ascii="Book Antiqua" w:hAnsi="Book Antiqua"/>
          <w:lang w:val="es-ES_tradnl"/>
        </w:rPr>
        <w:t>$</w:t>
      </w:r>
      <w:r w:rsidRPr="00723AF6">
        <w:rPr>
          <w:rFonts w:ascii="Book Antiqua" w:hAnsi="Book Antiqua"/>
          <w:lang w:val="es-ES_tradnl"/>
        </w:rPr>
        <w:t xml:space="preserve">270.7 millones. </w:t>
      </w:r>
    </w:p>
    <w:p w14:paraId="08AAF075" w14:textId="15B58181" w:rsidR="00EE05AF" w:rsidRPr="0096316F" w:rsidRDefault="00EE05AF" w:rsidP="006625F3">
      <w:pPr>
        <w:spacing w:before="100" w:beforeAutospacing="1" w:after="120" w:line="276" w:lineRule="auto"/>
        <w:jc w:val="center"/>
        <w:rPr>
          <w:rFonts w:ascii="Book Antiqua" w:hAnsi="Book Antiqua"/>
          <w:b/>
          <w:szCs w:val="24"/>
        </w:rPr>
      </w:pPr>
      <w:r w:rsidRPr="0096316F">
        <w:rPr>
          <w:rFonts w:ascii="Book Antiqua" w:hAnsi="Book Antiqua"/>
          <w:b/>
          <w:szCs w:val="24"/>
        </w:rPr>
        <w:t>CONCLUSIÓN</w:t>
      </w:r>
    </w:p>
    <w:p w14:paraId="23694AA3" w14:textId="1F7794B3" w:rsidR="007A1064" w:rsidRDefault="00387F7B" w:rsidP="00723AF6">
      <w:pPr>
        <w:pStyle w:val="BodyA"/>
        <w:jc w:val="both"/>
        <w:rPr>
          <w:rFonts w:ascii="Book Antiqua" w:hAnsi="Book Antiqua"/>
          <w:lang w:val="es-ES_tradnl"/>
        </w:rPr>
      </w:pPr>
      <w:r w:rsidRPr="00723AF6">
        <w:rPr>
          <w:rFonts w:ascii="Book Antiqua" w:hAnsi="Book Antiqua"/>
          <w:lang w:val="es-ES_tradnl"/>
        </w:rPr>
        <w:t xml:space="preserve">El cambio en la tasa impositiva del 0% al 4% es una medida estratégica que equilibra la necesidad de aumentar los recaudos fiscales </w:t>
      </w:r>
      <w:r w:rsidR="00DB133D" w:rsidRPr="00723AF6">
        <w:rPr>
          <w:rFonts w:ascii="Book Antiqua" w:hAnsi="Book Antiqua"/>
          <w:lang w:val="es-ES_tradnl"/>
        </w:rPr>
        <w:t>manteniendo</w:t>
      </w:r>
      <w:r w:rsidRPr="00723AF6">
        <w:rPr>
          <w:rFonts w:ascii="Book Antiqua" w:hAnsi="Book Antiqua"/>
          <w:lang w:val="es-ES_tradnl"/>
        </w:rPr>
        <w:t xml:space="preserve"> la competitividad de Puerto Rico como destino de inversión. </w:t>
      </w:r>
      <w:r w:rsidR="009F6A59" w:rsidRPr="00723AF6">
        <w:rPr>
          <w:rFonts w:ascii="Book Antiqua" w:hAnsi="Book Antiqua"/>
          <w:lang w:val="es-ES_tradnl"/>
        </w:rPr>
        <w:t>De igual forma el extender el periodo de vigencia de tales beneficios</w:t>
      </w:r>
      <w:r w:rsidR="00950848" w:rsidRPr="00723AF6">
        <w:rPr>
          <w:rFonts w:ascii="Book Antiqua" w:hAnsi="Book Antiqua"/>
          <w:lang w:val="es-ES_tradnl"/>
        </w:rPr>
        <w:t xml:space="preserve"> brinda</w:t>
      </w:r>
      <w:r w:rsidRPr="00723AF6">
        <w:rPr>
          <w:rFonts w:ascii="Book Antiqua" w:hAnsi="Book Antiqua"/>
          <w:lang w:val="es-ES_tradnl"/>
        </w:rPr>
        <w:t xml:space="preserve"> certeza </w:t>
      </w:r>
      <w:r w:rsidR="00DF0F04" w:rsidRPr="00723AF6">
        <w:rPr>
          <w:rFonts w:ascii="Book Antiqua" w:hAnsi="Book Antiqua"/>
          <w:lang w:val="es-ES_tradnl"/>
        </w:rPr>
        <w:t xml:space="preserve">para los actuales y potenciales </w:t>
      </w:r>
      <w:r w:rsidR="00920019" w:rsidRPr="00723AF6">
        <w:rPr>
          <w:rFonts w:ascii="Book Antiqua" w:hAnsi="Book Antiqua"/>
          <w:lang w:val="es-ES_tradnl"/>
        </w:rPr>
        <w:t>inversionistas</w:t>
      </w:r>
      <w:r w:rsidR="00DB133D" w:rsidRPr="00723AF6">
        <w:rPr>
          <w:rFonts w:ascii="Book Antiqua" w:hAnsi="Book Antiqua"/>
          <w:lang w:val="es-ES_tradnl"/>
        </w:rPr>
        <w:t>,</w:t>
      </w:r>
      <w:r w:rsidRPr="00723AF6">
        <w:rPr>
          <w:rFonts w:ascii="Book Antiqua" w:hAnsi="Book Antiqua"/>
          <w:lang w:val="es-ES_tradnl"/>
        </w:rPr>
        <w:t xml:space="preserve"> y garantiza un marco</w:t>
      </w:r>
      <w:r w:rsidR="00D75F16" w:rsidRPr="00723AF6">
        <w:rPr>
          <w:rFonts w:ascii="Book Antiqua" w:hAnsi="Book Antiqua"/>
          <w:lang w:val="es-ES_tradnl"/>
        </w:rPr>
        <w:t xml:space="preserve"> legal de</w:t>
      </w:r>
      <w:r w:rsidRPr="00723AF6">
        <w:rPr>
          <w:rFonts w:ascii="Book Antiqua" w:hAnsi="Book Antiqua"/>
          <w:lang w:val="es-ES_tradnl"/>
        </w:rPr>
        <w:t xml:space="preserve"> </w:t>
      </w:r>
      <w:r w:rsidR="00D75F16" w:rsidRPr="00723AF6">
        <w:rPr>
          <w:rFonts w:ascii="Book Antiqua" w:hAnsi="Book Antiqua"/>
          <w:lang w:val="es-ES_tradnl"/>
        </w:rPr>
        <w:t xml:space="preserve">inversión </w:t>
      </w:r>
      <w:r w:rsidR="00920019" w:rsidRPr="00723AF6">
        <w:rPr>
          <w:rFonts w:ascii="Book Antiqua" w:hAnsi="Book Antiqua"/>
          <w:lang w:val="es-ES_tradnl"/>
        </w:rPr>
        <w:t>responsable</w:t>
      </w:r>
      <w:r w:rsidR="00AD5A04" w:rsidRPr="00723AF6">
        <w:rPr>
          <w:rFonts w:ascii="Book Antiqua" w:hAnsi="Book Antiqua"/>
          <w:lang w:val="es-ES_tradnl"/>
        </w:rPr>
        <w:t xml:space="preserve">, </w:t>
      </w:r>
      <w:r w:rsidR="007A1064" w:rsidRPr="00723AF6">
        <w:rPr>
          <w:rFonts w:ascii="Book Antiqua" w:hAnsi="Book Antiqua"/>
          <w:lang w:val="es-ES_tradnl"/>
        </w:rPr>
        <w:t>respetando los derechos adquiridos</w:t>
      </w:r>
      <w:r w:rsidR="00072C4E" w:rsidRPr="00723AF6">
        <w:rPr>
          <w:rFonts w:ascii="Book Antiqua" w:hAnsi="Book Antiqua"/>
          <w:lang w:val="es-ES_tradnl"/>
        </w:rPr>
        <w:t>.  E</w:t>
      </w:r>
      <w:r w:rsidRPr="00723AF6">
        <w:rPr>
          <w:rFonts w:ascii="Book Antiqua" w:hAnsi="Book Antiqua"/>
          <w:lang w:val="es-ES_tradnl"/>
        </w:rPr>
        <w:t>sta reforma tiene el potencial de generar un impacto positivo y sostenible en la economía de la Isla.</w:t>
      </w:r>
    </w:p>
    <w:p w14:paraId="4D64A1BA" w14:textId="77777777" w:rsidR="00723AF6" w:rsidRPr="00723AF6" w:rsidRDefault="00723AF6" w:rsidP="00723AF6">
      <w:pPr>
        <w:pStyle w:val="BodyA"/>
        <w:jc w:val="both"/>
        <w:rPr>
          <w:rFonts w:ascii="Book Antiqua" w:hAnsi="Book Antiqua"/>
          <w:lang w:val="es-ES_tradnl"/>
        </w:rPr>
      </w:pPr>
    </w:p>
    <w:p w14:paraId="7B3922FC" w14:textId="1980AAD4" w:rsidR="00E40CF6" w:rsidRPr="00723AF6" w:rsidRDefault="00EE05AF" w:rsidP="00723AF6">
      <w:pPr>
        <w:pStyle w:val="BodyA"/>
        <w:jc w:val="both"/>
        <w:rPr>
          <w:rFonts w:ascii="Book Antiqua" w:hAnsi="Book Antiqua"/>
          <w:lang w:val="es-ES_tradnl"/>
        </w:rPr>
      </w:pPr>
      <w:r w:rsidRPr="00723AF6">
        <w:rPr>
          <w:rFonts w:ascii="Book Antiqua" w:hAnsi="Book Antiqua"/>
          <w:lang w:val="es-ES_tradnl"/>
        </w:rPr>
        <w:t xml:space="preserve">POR TODO LO ANTES EXPUESTO, la Comisión Hacienda de la Cámara de Representantes de Puerto Rico, luego del estudio y consideración correspondiente, </w:t>
      </w:r>
      <w:r w:rsidR="001D2028" w:rsidRPr="00723AF6">
        <w:rPr>
          <w:rFonts w:ascii="Book Antiqua" w:hAnsi="Book Antiqua"/>
          <w:lang w:val="es-ES_tradnl"/>
        </w:rPr>
        <w:t xml:space="preserve">tiene a bien recomendar a este Alto Cuerpo la aprobación del P. de la C. </w:t>
      </w:r>
      <w:r w:rsidR="00AC305C" w:rsidRPr="00723AF6">
        <w:rPr>
          <w:rFonts w:ascii="Book Antiqua" w:hAnsi="Book Antiqua"/>
          <w:lang w:val="es-ES_tradnl"/>
        </w:rPr>
        <w:t>50</w:t>
      </w:r>
      <w:r w:rsidR="00BB5435" w:rsidRPr="00723AF6">
        <w:rPr>
          <w:rFonts w:ascii="Book Antiqua" w:hAnsi="Book Antiqua"/>
          <w:lang w:val="es-ES_tradnl"/>
        </w:rPr>
        <w:t>5</w:t>
      </w:r>
      <w:r w:rsidR="00AC305C" w:rsidRPr="00723AF6">
        <w:rPr>
          <w:rFonts w:ascii="Book Antiqua" w:hAnsi="Book Antiqua"/>
          <w:lang w:val="es-ES_tradnl"/>
        </w:rPr>
        <w:t>, sin enmiendas.</w:t>
      </w:r>
    </w:p>
    <w:p w14:paraId="16ED2825" w14:textId="77777777" w:rsidR="00423865" w:rsidRPr="00FC3975" w:rsidRDefault="00423865" w:rsidP="00FC3975">
      <w:pPr>
        <w:spacing w:before="100" w:beforeAutospacing="1" w:after="120" w:line="276" w:lineRule="auto"/>
        <w:jc w:val="both"/>
        <w:rPr>
          <w:rFonts w:ascii="Book Antiqua" w:hAnsi="Book Antiqua"/>
          <w:szCs w:val="24"/>
        </w:rPr>
      </w:pPr>
    </w:p>
    <w:p w14:paraId="5A002697" w14:textId="77777777" w:rsidR="00E40CF6" w:rsidRPr="00FC3975" w:rsidRDefault="00E40CF6" w:rsidP="00FC3975">
      <w:pPr>
        <w:spacing w:before="120" w:after="240"/>
        <w:jc w:val="both"/>
        <w:rPr>
          <w:rFonts w:ascii="Book Antiqua" w:hAnsi="Book Antiqua"/>
          <w:b/>
          <w:szCs w:val="24"/>
          <w:lang w:val="it-IT"/>
        </w:rPr>
      </w:pPr>
      <w:r w:rsidRPr="00FC3975">
        <w:rPr>
          <w:rFonts w:ascii="Book Antiqua" w:hAnsi="Book Antiqua"/>
          <w:b/>
          <w:szCs w:val="24"/>
          <w:lang w:val="it-IT"/>
        </w:rPr>
        <w:t>Respetuosamente sometido,</w:t>
      </w:r>
    </w:p>
    <w:p w14:paraId="5C9A5797" w14:textId="77777777" w:rsidR="00FD22D0" w:rsidRPr="00FC3975" w:rsidRDefault="00FD22D0" w:rsidP="00FC3975">
      <w:pPr>
        <w:jc w:val="both"/>
        <w:rPr>
          <w:rFonts w:ascii="Book Antiqua" w:hAnsi="Book Antiqua"/>
          <w:szCs w:val="24"/>
          <w:lang w:val="it-IT"/>
        </w:rPr>
      </w:pPr>
    </w:p>
    <w:p w14:paraId="281F322B" w14:textId="77777777" w:rsidR="00E40CF6" w:rsidRPr="00FC3975" w:rsidRDefault="00E40CF6" w:rsidP="006F03EF">
      <w:pPr>
        <w:ind w:left="720"/>
        <w:jc w:val="both"/>
        <w:rPr>
          <w:rFonts w:ascii="Book Antiqua" w:hAnsi="Book Antiqua"/>
          <w:szCs w:val="24"/>
          <w:lang w:val="it-IT"/>
        </w:rPr>
      </w:pPr>
    </w:p>
    <w:p w14:paraId="2359307E" w14:textId="77777777" w:rsidR="00AF46A6" w:rsidRPr="00FC3975" w:rsidRDefault="00AF46A6" w:rsidP="00AA3B49">
      <w:pPr>
        <w:ind w:firstLine="720"/>
        <w:jc w:val="both"/>
        <w:rPr>
          <w:rFonts w:ascii="Book Antiqua" w:hAnsi="Book Antiqua"/>
          <w:szCs w:val="24"/>
          <w:lang w:val="it-IT"/>
        </w:rPr>
      </w:pPr>
    </w:p>
    <w:p w14:paraId="23942E16" w14:textId="146C8C90" w:rsidR="00E40CF6" w:rsidRPr="00FC3975" w:rsidRDefault="008E3326" w:rsidP="00FC3975">
      <w:pPr>
        <w:jc w:val="both"/>
        <w:rPr>
          <w:rFonts w:ascii="Book Antiqua" w:hAnsi="Book Antiqua"/>
          <w:szCs w:val="24"/>
          <w:lang w:val="it-IT"/>
        </w:rPr>
      </w:pPr>
      <w:r w:rsidRPr="00FC3975">
        <w:rPr>
          <w:rFonts w:ascii="Book Antiqua" w:hAnsi="Book Antiqua"/>
          <w:szCs w:val="24"/>
          <w:lang w:val="it-IT"/>
        </w:rPr>
        <w:t xml:space="preserve">Hon. </w:t>
      </w:r>
      <w:r w:rsidR="00DC3DEB" w:rsidRPr="00FC3975">
        <w:rPr>
          <w:rFonts w:ascii="Book Antiqua" w:hAnsi="Book Antiqua"/>
          <w:szCs w:val="24"/>
          <w:lang w:val="it-IT"/>
        </w:rPr>
        <w:t>Eddie Charbonier Chinea</w:t>
      </w:r>
      <w:r w:rsidR="00E40CF6" w:rsidRPr="00FC3975">
        <w:rPr>
          <w:rFonts w:ascii="Book Antiqua" w:hAnsi="Book Antiqua"/>
          <w:szCs w:val="24"/>
          <w:lang w:val="it-IT"/>
        </w:rPr>
        <w:tab/>
      </w:r>
    </w:p>
    <w:p w14:paraId="06B8C522" w14:textId="77777777" w:rsidR="00E40CF6" w:rsidRPr="00A87AFD" w:rsidRDefault="00A31BE0" w:rsidP="00FC3975">
      <w:pPr>
        <w:jc w:val="both"/>
        <w:rPr>
          <w:rFonts w:ascii="Book Antiqua" w:hAnsi="Book Antiqua"/>
          <w:szCs w:val="24"/>
          <w:lang w:val="es-ES_tradnl"/>
        </w:rPr>
      </w:pPr>
      <w:r w:rsidRPr="00A87AFD">
        <w:rPr>
          <w:rFonts w:ascii="Book Antiqua" w:hAnsi="Book Antiqua"/>
          <w:szCs w:val="24"/>
          <w:lang w:val="es-ES_tradnl"/>
        </w:rPr>
        <w:t>Presidente</w:t>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r w:rsidR="00E40CF6" w:rsidRPr="00A87AFD">
        <w:rPr>
          <w:rFonts w:ascii="Book Antiqua" w:hAnsi="Book Antiqua"/>
          <w:szCs w:val="24"/>
          <w:lang w:val="es-ES_tradnl"/>
        </w:rPr>
        <w:tab/>
      </w:r>
    </w:p>
    <w:p w14:paraId="796F533C" w14:textId="649522A8" w:rsidR="00E40CF6" w:rsidRPr="00A87AFD" w:rsidRDefault="00E40CF6" w:rsidP="00FC3975">
      <w:pPr>
        <w:jc w:val="both"/>
        <w:rPr>
          <w:rFonts w:ascii="Book Antiqua" w:hAnsi="Book Antiqua"/>
          <w:szCs w:val="24"/>
          <w:lang w:val="es-ES_tradnl"/>
        </w:rPr>
      </w:pPr>
      <w:r w:rsidRPr="00A87AFD">
        <w:rPr>
          <w:rFonts w:ascii="Book Antiqua" w:hAnsi="Book Antiqua"/>
          <w:szCs w:val="24"/>
          <w:lang w:val="es-ES_tradnl"/>
        </w:rPr>
        <w:t xml:space="preserve">Comisión de </w:t>
      </w:r>
      <w:r w:rsidR="00690F28">
        <w:rPr>
          <w:rFonts w:ascii="Book Antiqua" w:hAnsi="Book Antiqua"/>
          <w:szCs w:val="24"/>
          <w:lang w:val="es-ES_tradnl"/>
        </w:rPr>
        <w:t>Hacienda</w:t>
      </w:r>
    </w:p>
    <w:p w14:paraId="3ED9133E" w14:textId="77777777" w:rsidR="002D5F4E" w:rsidRDefault="002D5F4E" w:rsidP="006F03EF">
      <w:pPr>
        <w:ind w:left="720"/>
        <w:rPr>
          <w:rFonts w:ascii="Book Antiqua" w:hAnsi="Book Antiqua"/>
          <w:lang w:val="es-ES_tradnl"/>
        </w:rPr>
      </w:pPr>
    </w:p>
    <w:p w14:paraId="2676292B" w14:textId="77777777" w:rsidR="00115B6C" w:rsidRDefault="00115B6C" w:rsidP="006F03EF">
      <w:pPr>
        <w:ind w:left="720"/>
        <w:rPr>
          <w:rFonts w:ascii="Book Antiqua" w:hAnsi="Book Antiqua"/>
          <w:lang w:val="es-ES_tradnl"/>
        </w:rPr>
      </w:pPr>
    </w:p>
    <w:p w14:paraId="5003E1F1" w14:textId="77777777" w:rsidR="00115B6C" w:rsidRDefault="00115B6C" w:rsidP="006F03EF">
      <w:pPr>
        <w:ind w:left="720"/>
        <w:rPr>
          <w:rFonts w:ascii="Book Antiqua" w:hAnsi="Book Antiqua"/>
          <w:lang w:val="es-ES_tradnl"/>
        </w:rPr>
      </w:pPr>
    </w:p>
    <w:p w14:paraId="4FDAB073" w14:textId="77777777" w:rsidR="00115B6C" w:rsidRDefault="00115B6C" w:rsidP="006F03EF">
      <w:pPr>
        <w:ind w:left="720"/>
        <w:rPr>
          <w:rFonts w:ascii="Book Antiqua" w:hAnsi="Book Antiqua"/>
          <w:lang w:val="es-ES_tradnl"/>
        </w:rPr>
      </w:pPr>
    </w:p>
    <w:p w14:paraId="6119A3FC" w14:textId="77777777" w:rsidR="00115B6C" w:rsidRPr="00115B6C" w:rsidRDefault="00115B6C" w:rsidP="006F03EF">
      <w:pPr>
        <w:ind w:left="720"/>
        <w:rPr>
          <w:rFonts w:ascii="Book Antiqua" w:hAnsi="Book Antiqua"/>
        </w:rPr>
      </w:pPr>
    </w:p>
    <w:sectPr w:rsidR="00115B6C" w:rsidRPr="00115B6C" w:rsidSect="00043754">
      <w:headerReference w:type="default" r:id="rId8"/>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1192D" w14:textId="77777777" w:rsidR="00812F56" w:rsidRDefault="00812F56">
      <w:r>
        <w:separator/>
      </w:r>
    </w:p>
  </w:endnote>
  <w:endnote w:type="continuationSeparator" w:id="0">
    <w:p w14:paraId="57BA036D" w14:textId="77777777" w:rsidR="00812F56" w:rsidRDefault="00812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515FB" w14:textId="77777777" w:rsidR="00812F56" w:rsidRDefault="00812F56">
      <w:r>
        <w:separator/>
      </w:r>
    </w:p>
  </w:footnote>
  <w:footnote w:type="continuationSeparator" w:id="0">
    <w:p w14:paraId="6655F693" w14:textId="77777777" w:rsidR="00812F56" w:rsidRDefault="00812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A0C" w14:textId="77777777" w:rsidR="00E14DA5" w:rsidRDefault="001D630C">
    <w:pPr>
      <w:pStyle w:val="Header"/>
      <w:jc w:val="center"/>
    </w:pPr>
    <w:r>
      <w:rPr>
        <w:rStyle w:val="PageNumber"/>
      </w:rPr>
      <w:fldChar w:fldCharType="begin"/>
    </w:r>
    <w:r w:rsidR="00E14DA5">
      <w:rPr>
        <w:rStyle w:val="PageNumber"/>
      </w:rPr>
      <w:instrText xml:space="preserve"> PAGE </w:instrText>
    </w:r>
    <w:r>
      <w:rPr>
        <w:rStyle w:val="PageNumber"/>
      </w:rPr>
      <w:fldChar w:fldCharType="separate"/>
    </w:r>
    <w:r w:rsidR="006A3BE8">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6157D3"/>
    <w:multiLevelType w:val="hybridMultilevel"/>
    <w:tmpl w:val="28BCFE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142159"/>
    <w:multiLevelType w:val="multilevel"/>
    <w:tmpl w:val="2F94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4E54D14"/>
    <w:multiLevelType w:val="hybridMultilevel"/>
    <w:tmpl w:val="839208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F93500"/>
    <w:multiLevelType w:val="multilevel"/>
    <w:tmpl w:val="7D521AD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A86C03"/>
    <w:multiLevelType w:val="multilevel"/>
    <w:tmpl w:val="F70AC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6097417">
    <w:abstractNumId w:val="5"/>
  </w:num>
  <w:num w:numId="2" w16cid:durableId="140466067">
    <w:abstractNumId w:val="0"/>
  </w:num>
  <w:num w:numId="3" w16cid:durableId="68042144">
    <w:abstractNumId w:val="3"/>
  </w:num>
  <w:num w:numId="4" w16cid:durableId="307174337">
    <w:abstractNumId w:val="0"/>
  </w:num>
  <w:num w:numId="5" w16cid:durableId="933589269">
    <w:abstractNumId w:val="3"/>
  </w:num>
  <w:num w:numId="6" w16cid:durableId="1231694369">
    <w:abstractNumId w:val="4"/>
  </w:num>
  <w:num w:numId="7" w16cid:durableId="618101293">
    <w:abstractNumId w:val="1"/>
  </w:num>
  <w:num w:numId="8" w16cid:durableId="1406338829">
    <w:abstractNumId w:val="7"/>
  </w:num>
  <w:num w:numId="9" w16cid:durableId="1256137171">
    <w:abstractNumId w:val="2"/>
  </w:num>
  <w:num w:numId="10" w16cid:durableId="18893671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FFF"/>
    <w:rsid w:val="000001AB"/>
    <w:rsid w:val="00001AC6"/>
    <w:rsid w:val="0000596C"/>
    <w:rsid w:val="0001265C"/>
    <w:rsid w:val="00023B98"/>
    <w:rsid w:val="000325D8"/>
    <w:rsid w:val="000333CA"/>
    <w:rsid w:val="00033A69"/>
    <w:rsid w:val="00033B99"/>
    <w:rsid w:val="00035804"/>
    <w:rsid w:val="00043754"/>
    <w:rsid w:val="00060A31"/>
    <w:rsid w:val="00064056"/>
    <w:rsid w:val="00064118"/>
    <w:rsid w:val="00071096"/>
    <w:rsid w:val="00072C4E"/>
    <w:rsid w:val="0007394F"/>
    <w:rsid w:val="00074AB6"/>
    <w:rsid w:val="00077CEC"/>
    <w:rsid w:val="00082254"/>
    <w:rsid w:val="00083227"/>
    <w:rsid w:val="00092376"/>
    <w:rsid w:val="000960F9"/>
    <w:rsid w:val="000B1F5E"/>
    <w:rsid w:val="000B20A8"/>
    <w:rsid w:val="000C057A"/>
    <w:rsid w:val="000D649C"/>
    <w:rsid w:val="000D7F74"/>
    <w:rsid w:val="000E1605"/>
    <w:rsid w:val="000E5521"/>
    <w:rsid w:val="000E5C6D"/>
    <w:rsid w:val="000F2D88"/>
    <w:rsid w:val="000F6E6A"/>
    <w:rsid w:val="00105072"/>
    <w:rsid w:val="00112A90"/>
    <w:rsid w:val="00115B6C"/>
    <w:rsid w:val="0012047C"/>
    <w:rsid w:val="00124BED"/>
    <w:rsid w:val="001276BE"/>
    <w:rsid w:val="00150568"/>
    <w:rsid w:val="00152D7E"/>
    <w:rsid w:val="001641E9"/>
    <w:rsid w:val="001762E5"/>
    <w:rsid w:val="00183608"/>
    <w:rsid w:val="001837FA"/>
    <w:rsid w:val="00184B04"/>
    <w:rsid w:val="00186134"/>
    <w:rsid w:val="001A3664"/>
    <w:rsid w:val="001A43D1"/>
    <w:rsid w:val="001A64B6"/>
    <w:rsid w:val="001B2C29"/>
    <w:rsid w:val="001B3457"/>
    <w:rsid w:val="001B54C8"/>
    <w:rsid w:val="001C5AA8"/>
    <w:rsid w:val="001C7A9A"/>
    <w:rsid w:val="001D2028"/>
    <w:rsid w:val="001D630C"/>
    <w:rsid w:val="001E1FF7"/>
    <w:rsid w:val="00205FE6"/>
    <w:rsid w:val="0021144C"/>
    <w:rsid w:val="00216838"/>
    <w:rsid w:val="002233E5"/>
    <w:rsid w:val="0022396C"/>
    <w:rsid w:val="00227064"/>
    <w:rsid w:val="00241F13"/>
    <w:rsid w:val="00243C57"/>
    <w:rsid w:val="00243F70"/>
    <w:rsid w:val="00250C98"/>
    <w:rsid w:val="00253ED7"/>
    <w:rsid w:val="0025404F"/>
    <w:rsid w:val="002558CA"/>
    <w:rsid w:val="00262657"/>
    <w:rsid w:val="00280307"/>
    <w:rsid w:val="002810F4"/>
    <w:rsid w:val="002811B2"/>
    <w:rsid w:val="0028581B"/>
    <w:rsid w:val="00286E07"/>
    <w:rsid w:val="00290EE5"/>
    <w:rsid w:val="00291E6D"/>
    <w:rsid w:val="002922BD"/>
    <w:rsid w:val="0029408C"/>
    <w:rsid w:val="002A08F7"/>
    <w:rsid w:val="002A2AEC"/>
    <w:rsid w:val="002A38C2"/>
    <w:rsid w:val="002A4DBF"/>
    <w:rsid w:val="002A5A55"/>
    <w:rsid w:val="002C16E2"/>
    <w:rsid w:val="002C6868"/>
    <w:rsid w:val="002D5F4E"/>
    <w:rsid w:val="002D65B5"/>
    <w:rsid w:val="003056AE"/>
    <w:rsid w:val="00307653"/>
    <w:rsid w:val="00307DF5"/>
    <w:rsid w:val="0031430A"/>
    <w:rsid w:val="0031731B"/>
    <w:rsid w:val="00317A4C"/>
    <w:rsid w:val="003212D5"/>
    <w:rsid w:val="00327096"/>
    <w:rsid w:val="00331F64"/>
    <w:rsid w:val="00334641"/>
    <w:rsid w:val="003421CB"/>
    <w:rsid w:val="00351C6E"/>
    <w:rsid w:val="003619D2"/>
    <w:rsid w:val="00362E37"/>
    <w:rsid w:val="003631D5"/>
    <w:rsid w:val="00367EF3"/>
    <w:rsid w:val="00371531"/>
    <w:rsid w:val="00373B43"/>
    <w:rsid w:val="00387844"/>
    <w:rsid w:val="003878BB"/>
    <w:rsid w:val="00387D4A"/>
    <w:rsid w:val="00387F7B"/>
    <w:rsid w:val="00392F03"/>
    <w:rsid w:val="003963EC"/>
    <w:rsid w:val="003973E8"/>
    <w:rsid w:val="003A3E86"/>
    <w:rsid w:val="003A422B"/>
    <w:rsid w:val="003A7099"/>
    <w:rsid w:val="003A752E"/>
    <w:rsid w:val="003B5DFD"/>
    <w:rsid w:val="003B6FFF"/>
    <w:rsid w:val="003C0EB3"/>
    <w:rsid w:val="003C12B8"/>
    <w:rsid w:val="003C3B39"/>
    <w:rsid w:val="003C59B6"/>
    <w:rsid w:val="003E1D13"/>
    <w:rsid w:val="00423865"/>
    <w:rsid w:val="004311B0"/>
    <w:rsid w:val="00437274"/>
    <w:rsid w:val="00443AD7"/>
    <w:rsid w:val="004617A0"/>
    <w:rsid w:val="00462613"/>
    <w:rsid w:val="00464BFD"/>
    <w:rsid w:val="00472C98"/>
    <w:rsid w:val="004763C5"/>
    <w:rsid w:val="004779B3"/>
    <w:rsid w:val="004903D1"/>
    <w:rsid w:val="00490A50"/>
    <w:rsid w:val="00493D87"/>
    <w:rsid w:val="004B120A"/>
    <w:rsid w:val="004C082B"/>
    <w:rsid w:val="004C5931"/>
    <w:rsid w:val="004F1737"/>
    <w:rsid w:val="004F5426"/>
    <w:rsid w:val="004F7CF7"/>
    <w:rsid w:val="005039AB"/>
    <w:rsid w:val="00512B58"/>
    <w:rsid w:val="00514B66"/>
    <w:rsid w:val="00523640"/>
    <w:rsid w:val="00532D26"/>
    <w:rsid w:val="00534636"/>
    <w:rsid w:val="00535C4C"/>
    <w:rsid w:val="005375C0"/>
    <w:rsid w:val="00545B3D"/>
    <w:rsid w:val="00555B4E"/>
    <w:rsid w:val="00570D96"/>
    <w:rsid w:val="0057706D"/>
    <w:rsid w:val="00577F6E"/>
    <w:rsid w:val="00581E95"/>
    <w:rsid w:val="005874DA"/>
    <w:rsid w:val="0058753D"/>
    <w:rsid w:val="00591FA3"/>
    <w:rsid w:val="005938C3"/>
    <w:rsid w:val="00594FEE"/>
    <w:rsid w:val="00597AE6"/>
    <w:rsid w:val="005A7DD9"/>
    <w:rsid w:val="005B51C3"/>
    <w:rsid w:val="005C048C"/>
    <w:rsid w:val="005C2CFB"/>
    <w:rsid w:val="005C349A"/>
    <w:rsid w:val="005C7209"/>
    <w:rsid w:val="005C743E"/>
    <w:rsid w:val="005D2242"/>
    <w:rsid w:val="005F705E"/>
    <w:rsid w:val="006003EF"/>
    <w:rsid w:val="00607E97"/>
    <w:rsid w:val="0062048A"/>
    <w:rsid w:val="006205D4"/>
    <w:rsid w:val="00632CD1"/>
    <w:rsid w:val="00636789"/>
    <w:rsid w:val="006378F8"/>
    <w:rsid w:val="00641A43"/>
    <w:rsid w:val="00642C26"/>
    <w:rsid w:val="00643074"/>
    <w:rsid w:val="00646DC8"/>
    <w:rsid w:val="00650D7A"/>
    <w:rsid w:val="006572AA"/>
    <w:rsid w:val="006625F3"/>
    <w:rsid w:val="00665981"/>
    <w:rsid w:val="0067173D"/>
    <w:rsid w:val="006815B8"/>
    <w:rsid w:val="00690F28"/>
    <w:rsid w:val="006A3AF8"/>
    <w:rsid w:val="006A3BE8"/>
    <w:rsid w:val="006A629A"/>
    <w:rsid w:val="006A7617"/>
    <w:rsid w:val="006B6F13"/>
    <w:rsid w:val="006C16C8"/>
    <w:rsid w:val="006C758A"/>
    <w:rsid w:val="006D51F3"/>
    <w:rsid w:val="006D7E8A"/>
    <w:rsid w:val="006F03EF"/>
    <w:rsid w:val="006F0B95"/>
    <w:rsid w:val="00705F6A"/>
    <w:rsid w:val="00707271"/>
    <w:rsid w:val="007125A5"/>
    <w:rsid w:val="00712794"/>
    <w:rsid w:val="007204ED"/>
    <w:rsid w:val="00723AF6"/>
    <w:rsid w:val="00737C62"/>
    <w:rsid w:val="007436E8"/>
    <w:rsid w:val="007463E0"/>
    <w:rsid w:val="00751392"/>
    <w:rsid w:val="00755818"/>
    <w:rsid w:val="007609A0"/>
    <w:rsid w:val="007658F5"/>
    <w:rsid w:val="00765B62"/>
    <w:rsid w:val="00770C2C"/>
    <w:rsid w:val="00777C6B"/>
    <w:rsid w:val="00786342"/>
    <w:rsid w:val="0079514E"/>
    <w:rsid w:val="00797BEA"/>
    <w:rsid w:val="007A1064"/>
    <w:rsid w:val="007B56AB"/>
    <w:rsid w:val="007D088D"/>
    <w:rsid w:val="007D3C07"/>
    <w:rsid w:val="007D5D77"/>
    <w:rsid w:val="007D6F3D"/>
    <w:rsid w:val="007E0183"/>
    <w:rsid w:val="00812F56"/>
    <w:rsid w:val="00817A25"/>
    <w:rsid w:val="008225EF"/>
    <w:rsid w:val="0082486A"/>
    <w:rsid w:val="008275AB"/>
    <w:rsid w:val="008377A8"/>
    <w:rsid w:val="00840B00"/>
    <w:rsid w:val="00842EBC"/>
    <w:rsid w:val="00842EF1"/>
    <w:rsid w:val="00847468"/>
    <w:rsid w:val="008572B4"/>
    <w:rsid w:val="008603B1"/>
    <w:rsid w:val="008605B5"/>
    <w:rsid w:val="008611B1"/>
    <w:rsid w:val="00861C18"/>
    <w:rsid w:val="00866C06"/>
    <w:rsid w:val="00872CD0"/>
    <w:rsid w:val="00873786"/>
    <w:rsid w:val="008753D9"/>
    <w:rsid w:val="00880967"/>
    <w:rsid w:val="008962FB"/>
    <w:rsid w:val="008A40C7"/>
    <w:rsid w:val="008A43E4"/>
    <w:rsid w:val="008A4C32"/>
    <w:rsid w:val="008A4D33"/>
    <w:rsid w:val="008B21EA"/>
    <w:rsid w:val="008B77D2"/>
    <w:rsid w:val="008B7F31"/>
    <w:rsid w:val="008D763D"/>
    <w:rsid w:val="008E0432"/>
    <w:rsid w:val="008E3326"/>
    <w:rsid w:val="008E7E0D"/>
    <w:rsid w:val="008F3E3D"/>
    <w:rsid w:val="008F4931"/>
    <w:rsid w:val="00906E0D"/>
    <w:rsid w:val="00913BB6"/>
    <w:rsid w:val="009166F5"/>
    <w:rsid w:val="009170A4"/>
    <w:rsid w:val="00920019"/>
    <w:rsid w:val="00936CE7"/>
    <w:rsid w:val="00937E14"/>
    <w:rsid w:val="009401DE"/>
    <w:rsid w:val="00944819"/>
    <w:rsid w:val="00950848"/>
    <w:rsid w:val="0095105D"/>
    <w:rsid w:val="00961A2F"/>
    <w:rsid w:val="0096316F"/>
    <w:rsid w:val="00965FC8"/>
    <w:rsid w:val="00966767"/>
    <w:rsid w:val="00967E05"/>
    <w:rsid w:val="0098352E"/>
    <w:rsid w:val="009977F3"/>
    <w:rsid w:val="009A0D71"/>
    <w:rsid w:val="009A1DC7"/>
    <w:rsid w:val="009C29D1"/>
    <w:rsid w:val="009C3E52"/>
    <w:rsid w:val="009C6566"/>
    <w:rsid w:val="009D080D"/>
    <w:rsid w:val="009D57B7"/>
    <w:rsid w:val="009D6027"/>
    <w:rsid w:val="009E1A4E"/>
    <w:rsid w:val="009E1F6B"/>
    <w:rsid w:val="009F06CC"/>
    <w:rsid w:val="009F31CE"/>
    <w:rsid w:val="009F6A59"/>
    <w:rsid w:val="009F6F40"/>
    <w:rsid w:val="00A0005A"/>
    <w:rsid w:val="00A003BA"/>
    <w:rsid w:val="00A07124"/>
    <w:rsid w:val="00A10EB0"/>
    <w:rsid w:val="00A11D7B"/>
    <w:rsid w:val="00A13312"/>
    <w:rsid w:val="00A15068"/>
    <w:rsid w:val="00A16521"/>
    <w:rsid w:val="00A2107C"/>
    <w:rsid w:val="00A2243C"/>
    <w:rsid w:val="00A233AA"/>
    <w:rsid w:val="00A26A11"/>
    <w:rsid w:val="00A31827"/>
    <w:rsid w:val="00A31BE0"/>
    <w:rsid w:val="00A31C83"/>
    <w:rsid w:val="00A323F4"/>
    <w:rsid w:val="00A3697F"/>
    <w:rsid w:val="00A55566"/>
    <w:rsid w:val="00A5751D"/>
    <w:rsid w:val="00A66442"/>
    <w:rsid w:val="00A66D3B"/>
    <w:rsid w:val="00A703C7"/>
    <w:rsid w:val="00A814B3"/>
    <w:rsid w:val="00A847B5"/>
    <w:rsid w:val="00A86ED3"/>
    <w:rsid w:val="00A87AFD"/>
    <w:rsid w:val="00A952FD"/>
    <w:rsid w:val="00AA3AF9"/>
    <w:rsid w:val="00AA3B49"/>
    <w:rsid w:val="00AA5B42"/>
    <w:rsid w:val="00AB3A1F"/>
    <w:rsid w:val="00AB6098"/>
    <w:rsid w:val="00AC305C"/>
    <w:rsid w:val="00AC30A4"/>
    <w:rsid w:val="00AD5A04"/>
    <w:rsid w:val="00AD6365"/>
    <w:rsid w:val="00AE2A3D"/>
    <w:rsid w:val="00AE4673"/>
    <w:rsid w:val="00AF46A6"/>
    <w:rsid w:val="00AF730D"/>
    <w:rsid w:val="00B016E3"/>
    <w:rsid w:val="00B04A56"/>
    <w:rsid w:val="00B05E4B"/>
    <w:rsid w:val="00B111FE"/>
    <w:rsid w:val="00B2442E"/>
    <w:rsid w:val="00B24C19"/>
    <w:rsid w:val="00B2691F"/>
    <w:rsid w:val="00B30135"/>
    <w:rsid w:val="00B35F84"/>
    <w:rsid w:val="00B41F64"/>
    <w:rsid w:val="00B81783"/>
    <w:rsid w:val="00B82CF3"/>
    <w:rsid w:val="00B8515B"/>
    <w:rsid w:val="00B92A2A"/>
    <w:rsid w:val="00B935BE"/>
    <w:rsid w:val="00BA0F4E"/>
    <w:rsid w:val="00BA1E2E"/>
    <w:rsid w:val="00BA54F4"/>
    <w:rsid w:val="00BA5BEC"/>
    <w:rsid w:val="00BB1AB5"/>
    <w:rsid w:val="00BB5435"/>
    <w:rsid w:val="00BB56A6"/>
    <w:rsid w:val="00BB6063"/>
    <w:rsid w:val="00BC3B8E"/>
    <w:rsid w:val="00BD18CC"/>
    <w:rsid w:val="00BE594E"/>
    <w:rsid w:val="00BF4A53"/>
    <w:rsid w:val="00C01738"/>
    <w:rsid w:val="00C057A8"/>
    <w:rsid w:val="00C130D7"/>
    <w:rsid w:val="00C1365B"/>
    <w:rsid w:val="00C14336"/>
    <w:rsid w:val="00C20FBC"/>
    <w:rsid w:val="00C22816"/>
    <w:rsid w:val="00C54187"/>
    <w:rsid w:val="00C60AE1"/>
    <w:rsid w:val="00C61EB9"/>
    <w:rsid w:val="00C64596"/>
    <w:rsid w:val="00C654CC"/>
    <w:rsid w:val="00C65F6F"/>
    <w:rsid w:val="00C74615"/>
    <w:rsid w:val="00C76663"/>
    <w:rsid w:val="00C766CA"/>
    <w:rsid w:val="00C76E6C"/>
    <w:rsid w:val="00C772BF"/>
    <w:rsid w:val="00C80A10"/>
    <w:rsid w:val="00C85B94"/>
    <w:rsid w:val="00C966D0"/>
    <w:rsid w:val="00CA2011"/>
    <w:rsid w:val="00CA39B5"/>
    <w:rsid w:val="00CC0B82"/>
    <w:rsid w:val="00CE1A03"/>
    <w:rsid w:val="00CE296A"/>
    <w:rsid w:val="00CE2975"/>
    <w:rsid w:val="00CE59CE"/>
    <w:rsid w:val="00CE6AFB"/>
    <w:rsid w:val="00CF2509"/>
    <w:rsid w:val="00D016E5"/>
    <w:rsid w:val="00D12DA1"/>
    <w:rsid w:val="00D23385"/>
    <w:rsid w:val="00D23E17"/>
    <w:rsid w:val="00D262EA"/>
    <w:rsid w:val="00D35315"/>
    <w:rsid w:val="00D42DD7"/>
    <w:rsid w:val="00D46A4E"/>
    <w:rsid w:val="00D51B20"/>
    <w:rsid w:val="00D52DF7"/>
    <w:rsid w:val="00D656CB"/>
    <w:rsid w:val="00D67C9E"/>
    <w:rsid w:val="00D75F16"/>
    <w:rsid w:val="00D76D8E"/>
    <w:rsid w:val="00D81938"/>
    <w:rsid w:val="00D83718"/>
    <w:rsid w:val="00D83F31"/>
    <w:rsid w:val="00D92EB2"/>
    <w:rsid w:val="00D93467"/>
    <w:rsid w:val="00D93EFD"/>
    <w:rsid w:val="00DA23E6"/>
    <w:rsid w:val="00DB133D"/>
    <w:rsid w:val="00DB46AB"/>
    <w:rsid w:val="00DB5062"/>
    <w:rsid w:val="00DC24A8"/>
    <w:rsid w:val="00DC3DEB"/>
    <w:rsid w:val="00DC606D"/>
    <w:rsid w:val="00DC7B3D"/>
    <w:rsid w:val="00DD1425"/>
    <w:rsid w:val="00DD7966"/>
    <w:rsid w:val="00DE7C69"/>
    <w:rsid w:val="00DF0F04"/>
    <w:rsid w:val="00DF1D3A"/>
    <w:rsid w:val="00DF33F8"/>
    <w:rsid w:val="00DF4CDC"/>
    <w:rsid w:val="00DF55D1"/>
    <w:rsid w:val="00E04031"/>
    <w:rsid w:val="00E04806"/>
    <w:rsid w:val="00E048B1"/>
    <w:rsid w:val="00E14DA5"/>
    <w:rsid w:val="00E15B74"/>
    <w:rsid w:val="00E170ED"/>
    <w:rsid w:val="00E21702"/>
    <w:rsid w:val="00E40CF6"/>
    <w:rsid w:val="00E41100"/>
    <w:rsid w:val="00E4720D"/>
    <w:rsid w:val="00E519D6"/>
    <w:rsid w:val="00E5708C"/>
    <w:rsid w:val="00E731A0"/>
    <w:rsid w:val="00E818BD"/>
    <w:rsid w:val="00EA09F5"/>
    <w:rsid w:val="00EA2283"/>
    <w:rsid w:val="00EA4D82"/>
    <w:rsid w:val="00EA7828"/>
    <w:rsid w:val="00EB1579"/>
    <w:rsid w:val="00EB2DC9"/>
    <w:rsid w:val="00EB35B0"/>
    <w:rsid w:val="00EC0553"/>
    <w:rsid w:val="00EC2A73"/>
    <w:rsid w:val="00EC3B69"/>
    <w:rsid w:val="00EC7747"/>
    <w:rsid w:val="00ED18C6"/>
    <w:rsid w:val="00ED26DC"/>
    <w:rsid w:val="00ED3608"/>
    <w:rsid w:val="00ED73EB"/>
    <w:rsid w:val="00EE05AF"/>
    <w:rsid w:val="00EE17CE"/>
    <w:rsid w:val="00EE1B61"/>
    <w:rsid w:val="00EE3004"/>
    <w:rsid w:val="00EF1A38"/>
    <w:rsid w:val="00F000FD"/>
    <w:rsid w:val="00F00327"/>
    <w:rsid w:val="00F0166E"/>
    <w:rsid w:val="00F01A8B"/>
    <w:rsid w:val="00F0248C"/>
    <w:rsid w:val="00F03B5A"/>
    <w:rsid w:val="00F03B75"/>
    <w:rsid w:val="00F057EA"/>
    <w:rsid w:val="00F1011B"/>
    <w:rsid w:val="00F15944"/>
    <w:rsid w:val="00F2210F"/>
    <w:rsid w:val="00F229B3"/>
    <w:rsid w:val="00F23EDF"/>
    <w:rsid w:val="00F24F16"/>
    <w:rsid w:val="00F31D24"/>
    <w:rsid w:val="00F3434F"/>
    <w:rsid w:val="00F3692D"/>
    <w:rsid w:val="00F42394"/>
    <w:rsid w:val="00F467F8"/>
    <w:rsid w:val="00F53B9D"/>
    <w:rsid w:val="00F53F18"/>
    <w:rsid w:val="00F578EE"/>
    <w:rsid w:val="00F65568"/>
    <w:rsid w:val="00F70C30"/>
    <w:rsid w:val="00F71342"/>
    <w:rsid w:val="00F74664"/>
    <w:rsid w:val="00F834B4"/>
    <w:rsid w:val="00F87989"/>
    <w:rsid w:val="00F90650"/>
    <w:rsid w:val="00F92271"/>
    <w:rsid w:val="00F93085"/>
    <w:rsid w:val="00F945A3"/>
    <w:rsid w:val="00F94ED3"/>
    <w:rsid w:val="00FA5820"/>
    <w:rsid w:val="00FB1915"/>
    <w:rsid w:val="00FC3975"/>
    <w:rsid w:val="00FD21E3"/>
    <w:rsid w:val="00FD22D0"/>
    <w:rsid w:val="00FD6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AA1E62"/>
  <w15:docId w15:val="{338E9628-918C-4741-A94D-9808052DC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pPr>
      <w:spacing w:after="0" w:line="240" w:lineRule="auto"/>
    </w:pPr>
    <w:rPr>
      <w:rFonts w:ascii="Times New Roman" w:eastAsia="Times New Roman" w:hAnsi="Times New Roman" w:cs="Times New Roman"/>
      <w:sz w:val="24"/>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basedOn w:val="DefaultParagraphFont"/>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1"/>
    <w:qFormat/>
    <w:rsid w:val="003B6FFF"/>
    <w:pPr>
      <w:spacing w:after="0" w:line="240" w:lineRule="auto"/>
    </w:pPr>
    <w:rPr>
      <w:rFonts w:ascii="Calibri" w:eastAsia="Times New Roman" w:hAnsi="Calibri" w:cs="Times New Roman"/>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pPr>
      <w:spacing w:after="0" w:line="240" w:lineRule="auto"/>
    </w:pPr>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character" w:styleId="Hyperlink">
    <w:name w:val="Hyperlink"/>
    <w:basedOn w:val="DefaultParagraphFont"/>
    <w:uiPriority w:val="99"/>
    <w:unhideWhenUsed/>
    <w:rsid w:val="00765B62"/>
    <w:rPr>
      <w:color w:val="0000FF" w:themeColor="hyperlink"/>
      <w:u w:val="single"/>
    </w:rPr>
  </w:style>
  <w:style w:type="character" w:styleId="UnresolvedMention">
    <w:name w:val="Unresolved Mention"/>
    <w:basedOn w:val="DefaultParagraphFont"/>
    <w:uiPriority w:val="99"/>
    <w:semiHidden/>
    <w:unhideWhenUsed/>
    <w:rsid w:val="002C16E2"/>
    <w:rPr>
      <w:color w:val="605E5C"/>
      <w:shd w:val="clear" w:color="auto" w:fill="E1DFDD"/>
    </w:rPr>
  </w:style>
  <w:style w:type="paragraph" w:customStyle="1" w:styleId="BodyA">
    <w:name w:val="Body A"/>
    <w:rsid w:val="008603B1"/>
    <w:pPr>
      <w:spacing w:after="0" w:line="240" w:lineRule="auto"/>
    </w:pPr>
    <w:rPr>
      <w:rFonts w:ascii="Times New Roman" w:eastAsia="Arial Unicode MS" w:hAnsi="Times New Roman"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8950">
      <w:bodyDiv w:val="1"/>
      <w:marLeft w:val="0"/>
      <w:marRight w:val="0"/>
      <w:marTop w:val="0"/>
      <w:marBottom w:val="0"/>
      <w:divBdr>
        <w:top w:val="none" w:sz="0" w:space="0" w:color="auto"/>
        <w:left w:val="none" w:sz="0" w:space="0" w:color="auto"/>
        <w:bottom w:val="none" w:sz="0" w:space="0" w:color="auto"/>
        <w:right w:val="none" w:sz="0" w:space="0" w:color="auto"/>
      </w:divBdr>
      <w:divsChild>
        <w:div w:id="940992143">
          <w:marLeft w:val="0"/>
          <w:marRight w:val="0"/>
          <w:marTop w:val="0"/>
          <w:marBottom w:val="0"/>
          <w:divBdr>
            <w:top w:val="none" w:sz="0" w:space="0" w:color="auto"/>
            <w:left w:val="none" w:sz="0" w:space="0" w:color="auto"/>
            <w:bottom w:val="none" w:sz="0" w:space="0" w:color="auto"/>
            <w:right w:val="none" w:sz="0" w:space="0" w:color="auto"/>
          </w:divBdr>
          <w:divsChild>
            <w:div w:id="1116102264">
              <w:marLeft w:val="0"/>
              <w:marRight w:val="0"/>
              <w:marTop w:val="0"/>
              <w:marBottom w:val="0"/>
              <w:divBdr>
                <w:top w:val="none" w:sz="0" w:space="0" w:color="auto"/>
                <w:left w:val="none" w:sz="0" w:space="0" w:color="auto"/>
                <w:bottom w:val="none" w:sz="0" w:space="0" w:color="auto"/>
                <w:right w:val="none" w:sz="0" w:space="0" w:color="auto"/>
              </w:divBdr>
              <w:divsChild>
                <w:div w:id="169746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962975">
          <w:marLeft w:val="0"/>
          <w:marRight w:val="0"/>
          <w:marTop w:val="0"/>
          <w:marBottom w:val="0"/>
          <w:divBdr>
            <w:top w:val="none" w:sz="0" w:space="0" w:color="auto"/>
            <w:left w:val="none" w:sz="0" w:space="0" w:color="auto"/>
            <w:bottom w:val="none" w:sz="0" w:space="0" w:color="auto"/>
            <w:right w:val="none" w:sz="0" w:space="0" w:color="auto"/>
          </w:divBdr>
          <w:divsChild>
            <w:div w:id="1342927318">
              <w:marLeft w:val="0"/>
              <w:marRight w:val="0"/>
              <w:marTop w:val="0"/>
              <w:marBottom w:val="0"/>
              <w:divBdr>
                <w:top w:val="none" w:sz="0" w:space="0" w:color="auto"/>
                <w:left w:val="none" w:sz="0" w:space="0" w:color="auto"/>
                <w:bottom w:val="none" w:sz="0" w:space="0" w:color="auto"/>
                <w:right w:val="none" w:sz="0" w:space="0" w:color="auto"/>
              </w:divBdr>
              <w:divsChild>
                <w:div w:id="222258592">
                  <w:marLeft w:val="0"/>
                  <w:marRight w:val="0"/>
                  <w:marTop w:val="0"/>
                  <w:marBottom w:val="0"/>
                  <w:divBdr>
                    <w:top w:val="none" w:sz="0" w:space="0" w:color="auto"/>
                    <w:left w:val="none" w:sz="0" w:space="0" w:color="auto"/>
                    <w:bottom w:val="none" w:sz="0" w:space="0" w:color="auto"/>
                    <w:right w:val="none" w:sz="0" w:space="0" w:color="auto"/>
                  </w:divBdr>
                  <w:divsChild>
                    <w:div w:id="599530478">
                      <w:marLeft w:val="0"/>
                      <w:marRight w:val="0"/>
                      <w:marTop w:val="0"/>
                      <w:marBottom w:val="0"/>
                      <w:divBdr>
                        <w:top w:val="none" w:sz="0" w:space="0" w:color="auto"/>
                        <w:left w:val="none" w:sz="0" w:space="0" w:color="auto"/>
                        <w:bottom w:val="none" w:sz="0" w:space="0" w:color="auto"/>
                        <w:right w:val="none" w:sz="0" w:space="0" w:color="auto"/>
                      </w:divBdr>
                      <w:divsChild>
                        <w:div w:id="977222838">
                          <w:marLeft w:val="0"/>
                          <w:marRight w:val="0"/>
                          <w:marTop w:val="0"/>
                          <w:marBottom w:val="0"/>
                          <w:divBdr>
                            <w:top w:val="none" w:sz="0" w:space="0" w:color="auto"/>
                            <w:left w:val="none" w:sz="0" w:space="0" w:color="auto"/>
                            <w:bottom w:val="none" w:sz="0" w:space="0" w:color="auto"/>
                            <w:right w:val="none" w:sz="0" w:space="0" w:color="auto"/>
                          </w:divBdr>
                          <w:divsChild>
                            <w:div w:id="4319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540181">
                  <w:marLeft w:val="0"/>
                  <w:marRight w:val="0"/>
                  <w:marTop w:val="0"/>
                  <w:marBottom w:val="0"/>
                  <w:divBdr>
                    <w:top w:val="none" w:sz="0" w:space="0" w:color="auto"/>
                    <w:left w:val="none" w:sz="0" w:space="0" w:color="auto"/>
                    <w:bottom w:val="none" w:sz="0" w:space="0" w:color="auto"/>
                    <w:right w:val="none" w:sz="0" w:space="0" w:color="auto"/>
                  </w:divBdr>
                  <w:divsChild>
                    <w:div w:id="149487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990025">
      <w:bodyDiv w:val="1"/>
      <w:marLeft w:val="0"/>
      <w:marRight w:val="0"/>
      <w:marTop w:val="0"/>
      <w:marBottom w:val="0"/>
      <w:divBdr>
        <w:top w:val="none" w:sz="0" w:space="0" w:color="auto"/>
        <w:left w:val="none" w:sz="0" w:space="0" w:color="auto"/>
        <w:bottom w:val="none" w:sz="0" w:space="0" w:color="auto"/>
        <w:right w:val="none" w:sz="0" w:space="0" w:color="auto"/>
      </w:divBdr>
    </w:div>
    <w:div w:id="1252011585">
      <w:bodyDiv w:val="1"/>
      <w:marLeft w:val="0"/>
      <w:marRight w:val="0"/>
      <w:marTop w:val="0"/>
      <w:marBottom w:val="0"/>
      <w:divBdr>
        <w:top w:val="none" w:sz="0" w:space="0" w:color="auto"/>
        <w:left w:val="none" w:sz="0" w:space="0" w:color="auto"/>
        <w:bottom w:val="none" w:sz="0" w:space="0" w:color="auto"/>
        <w:right w:val="none" w:sz="0" w:space="0" w:color="auto"/>
      </w:divBdr>
    </w:div>
    <w:div w:id="1414737993">
      <w:bodyDiv w:val="1"/>
      <w:marLeft w:val="0"/>
      <w:marRight w:val="0"/>
      <w:marTop w:val="0"/>
      <w:marBottom w:val="0"/>
      <w:divBdr>
        <w:top w:val="none" w:sz="0" w:space="0" w:color="auto"/>
        <w:left w:val="none" w:sz="0" w:space="0" w:color="auto"/>
        <w:bottom w:val="none" w:sz="0" w:space="0" w:color="auto"/>
        <w:right w:val="none" w:sz="0" w:space="0" w:color="auto"/>
      </w:divBdr>
    </w:div>
    <w:div w:id="1844003404">
      <w:bodyDiv w:val="1"/>
      <w:marLeft w:val="0"/>
      <w:marRight w:val="0"/>
      <w:marTop w:val="0"/>
      <w:marBottom w:val="0"/>
      <w:divBdr>
        <w:top w:val="none" w:sz="0" w:space="0" w:color="auto"/>
        <w:left w:val="none" w:sz="0" w:space="0" w:color="auto"/>
        <w:bottom w:val="none" w:sz="0" w:space="0" w:color="auto"/>
        <w:right w:val="none" w:sz="0" w:space="0" w:color="auto"/>
      </w:divBdr>
      <w:divsChild>
        <w:div w:id="1769734833">
          <w:marLeft w:val="0"/>
          <w:marRight w:val="0"/>
          <w:marTop w:val="0"/>
          <w:marBottom w:val="0"/>
          <w:divBdr>
            <w:top w:val="none" w:sz="0" w:space="0" w:color="auto"/>
            <w:left w:val="none" w:sz="0" w:space="0" w:color="auto"/>
            <w:bottom w:val="none" w:sz="0" w:space="0" w:color="auto"/>
            <w:right w:val="none" w:sz="0" w:space="0" w:color="auto"/>
          </w:divBdr>
          <w:divsChild>
            <w:div w:id="1404833122">
              <w:marLeft w:val="0"/>
              <w:marRight w:val="0"/>
              <w:marTop w:val="0"/>
              <w:marBottom w:val="0"/>
              <w:divBdr>
                <w:top w:val="none" w:sz="0" w:space="0" w:color="auto"/>
                <w:left w:val="none" w:sz="0" w:space="0" w:color="auto"/>
                <w:bottom w:val="none" w:sz="0" w:space="0" w:color="auto"/>
                <w:right w:val="none" w:sz="0" w:space="0" w:color="auto"/>
              </w:divBdr>
              <w:divsChild>
                <w:div w:id="68911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87118">
          <w:marLeft w:val="0"/>
          <w:marRight w:val="0"/>
          <w:marTop w:val="0"/>
          <w:marBottom w:val="0"/>
          <w:divBdr>
            <w:top w:val="none" w:sz="0" w:space="0" w:color="auto"/>
            <w:left w:val="none" w:sz="0" w:space="0" w:color="auto"/>
            <w:bottom w:val="none" w:sz="0" w:space="0" w:color="auto"/>
            <w:right w:val="none" w:sz="0" w:space="0" w:color="auto"/>
          </w:divBdr>
          <w:divsChild>
            <w:div w:id="1272319901">
              <w:marLeft w:val="0"/>
              <w:marRight w:val="0"/>
              <w:marTop w:val="0"/>
              <w:marBottom w:val="0"/>
              <w:divBdr>
                <w:top w:val="none" w:sz="0" w:space="0" w:color="auto"/>
                <w:left w:val="none" w:sz="0" w:space="0" w:color="auto"/>
                <w:bottom w:val="none" w:sz="0" w:space="0" w:color="auto"/>
                <w:right w:val="none" w:sz="0" w:space="0" w:color="auto"/>
              </w:divBdr>
              <w:divsChild>
                <w:div w:id="1004163323">
                  <w:marLeft w:val="0"/>
                  <w:marRight w:val="0"/>
                  <w:marTop w:val="0"/>
                  <w:marBottom w:val="0"/>
                  <w:divBdr>
                    <w:top w:val="none" w:sz="0" w:space="0" w:color="auto"/>
                    <w:left w:val="none" w:sz="0" w:space="0" w:color="auto"/>
                    <w:bottom w:val="none" w:sz="0" w:space="0" w:color="auto"/>
                    <w:right w:val="none" w:sz="0" w:space="0" w:color="auto"/>
                  </w:divBdr>
                  <w:divsChild>
                    <w:div w:id="197622941">
                      <w:marLeft w:val="0"/>
                      <w:marRight w:val="0"/>
                      <w:marTop w:val="0"/>
                      <w:marBottom w:val="0"/>
                      <w:divBdr>
                        <w:top w:val="none" w:sz="0" w:space="0" w:color="auto"/>
                        <w:left w:val="none" w:sz="0" w:space="0" w:color="auto"/>
                        <w:bottom w:val="none" w:sz="0" w:space="0" w:color="auto"/>
                        <w:right w:val="none" w:sz="0" w:space="0" w:color="auto"/>
                      </w:divBdr>
                      <w:divsChild>
                        <w:div w:id="747842633">
                          <w:marLeft w:val="0"/>
                          <w:marRight w:val="0"/>
                          <w:marTop w:val="0"/>
                          <w:marBottom w:val="0"/>
                          <w:divBdr>
                            <w:top w:val="none" w:sz="0" w:space="0" w:color="auto"/>
                            <w:left w:val="none" w:sz="0" w:space="0" w:color="auto"/>
                            <w:bottom w:val="none" w:sz="0" w:space="0" w:color="auto"/>
                            <w:right w:val="none" w:sz="0" w:space="0" w:color="auto"/>
                          </w:divBdr>
                          <w:divsChild>
                            <w:div w:id="121353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10281">
                  <w:marLeft w:val="0"/>
                  <w:marRight w:val="0"/>
                  <w:marTop w:val="0"/>
                  <w:marBottom w:val="0"/>
                  <w:divBdr>
                    <w:top w:val="none" w:sz="0" w:space="0" w:color="auto"/>
                    <w:left w:val="none" w:sz="0" w:space="0" w:color="auto"/>
                    <w:bottom w:val="none" w:sz="0" w:space="0" w:color="auto"/>
                    <w:right w:val="none" w:sz="0" w:space="0" w:color="auto"/>
                  </w:divBdr>
                  <w:divsChild>
                    <w:div w:id="126538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2389B-348A-46DE-925B-421313F57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886</Words>
  <Characters>5054</Characters>
  <Application>Microsoft Office Word</Application>
  <DocSecurity>4</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2025-04-28T15:31:00Z</cp:lastPrinted>
  <dcterms:created xsi:type="dcterms:W3CDTF">2025-04-28T15:57:00Z</dcterms:created>
  <dcterms:modified xsi:type="dcterms:W3CDTF">2025-04-28T15:57:00Z</dcterms:modified>
</cp:coreProperties>
</file>