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E464BA" w:rsidRDefault="00850770">
      <w:pPr>
        <w:jc w:val="center"/>
        <w:rPr>
          <w:rFonts w:ascii="Book Antiqua" w:eastAsia="Book Antiqua" w:hAnsi="Book Antiqua" w:cs="Book Antiqua"/>
          <w:bCs/>
          <w:color w:val="000000" w:themeColor="text1"/>
          <w:sz w:val="28"/>
          <w:szCs w:val="28"/>
        </w:rPr>
      </w:pPr>
      <w:r w:rsidRPr="00E464BA">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E464BA">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2D112FF2"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1A3802">
        <w:rPr>
          <w:rFonts w:ascii="Book Antiqua" w:hAnsi="Book Antiqua"/>
          <w:b/>
          <w:color w:val="000000" w:themeColor="text1"/>
          <w:sz w:val="52"/>
          <w:szCs w:val="52"/>
        </w:rPr>
        <w:t xml:space="preserve"> 506</w:t>
      </w:r>
    </w:p>
    <w:p w14:paraId="4A8A7A6F" w14:textId="77777777" w:rsidR="00950505" w:rsidRPr="007F2135" w:rsidRDefault="00950505" w:rsidP="00950505">
      <w:pPr>
        <w:jc w:val="center"/>
        <w:rPr>
          <w:rFonts w:ascii="Book Antiqua" w:hAnsi="Book Antiqua"/>
          <w:color w:val="000000" w:themeColor="text1"/>
        </w:rPr>
      </w:pPr>
    </w:p>
    <w:p w14:paraId="3D87D176" w14:textId="64A385C8" w:rsidR="00950505" w:rsidRPr="007F2135" w:rsidRDefault="001A3802"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5BA4DEDB" w:rsidR="00950505" w:rsidRPr="007F2135" w:rsidRDefault="00F0315B" w:rsidP="00950505">
      <w:pPr>
        <w:jc w:val="center"/>
        <w:rPr>
          <w:rFonts w:ascii="Book Antiqua" w:hAnsi="Book Antiqua"/>
          <w:color w:val="000000" w:themeColor="text1"/>
        </w:rPr>
      </w:pPr>
      <w:r w:rsidRPr="00F0315B">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06366BF5" w14:textId="42183C69" w:rsidR="00BE518F" w:rsidRPr="00E15C97" w:rsidRDefault="00850770" w:rsidP="00BE518F">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152423" w:rsidRPr="00C627D5">
        <w:rPr>
          <w:rFonts w:ascii="Book Antiqua" w:hAnsi="Book Antiqua"/>
          <w:color w:val="000000" w:themeColor="text1"/>
        </w:rPr>
        <w:t>enmendar la Sección 6080.14, de la Ley 1-2011, según enmendada, conocida como “Código de Rentas Internas de Puerto Rico de 2011</w:t>
      </w:r>
      <w:r w:rsidR="00152423">
        <w:rPr>
          <w:rFonts w:ascii="Book Antiqua" w:hAnsi="Book Antiqua"/>
          <w:color w:val="000000" w:themeColor="text1"/>
        </w:rPr>
        <w:t>”</w:t>
      </w:r>
      <w:r w:rsidR="00152423" w:rsidRPr="00C627D5">
        <w:rPr>
          <w:rFonts w:ascii="Book Antiqua" w:hAnsi="Book Antiqua"/>
          <w:color w:val="000000" w:themeColor="text1"/>
        </w:rPr>
        <w:t xml:space="preserve"> con el fin de establecer el marco conceptual para el acuerdo colaborativo entre el Departamento de Hacienda y los municipios con el fin de uniformar el cobro del impuesto sobre ventas y uso y simplificar el cumplimiento a los contribuyentes mediante la consolidación de la radicación y pago en el Sistema Unificado de Rentas Internas (“SURI”); y para otros fines relacionados.</w:t>
      </w:r>
    </w:p>
    <w:p w14:paraId="726F9974" w14:textId="70D84368"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152423">
      <w:pPr>
        <w:jc w:val="both"/>
        <w:rPr>
          <w:rFonts w:ascii="Book Antiqua" w:eastAsia="Book Antiqua" w:hAnsi="Book Antiqua" w:cs="Book Antiqua"/>
          <w:color w:val="000000" w:themeColor="text1"/>
        </w:rPr>
      </w:pPr>
    </w:p>
    <w:p w14:paraId="2B16F893"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lang w:val="es-ES"/>
        </w:rPr>
        <w:t xml:space="preserve">La historia del desarrollo político y gubernamental de Puerto Rico refleja la importancia y valor social que tienen nuestras estructuras municipales. Son los municipios donde el ciudadano siente mayor accesibilidad y contacto directo para poder atender sus asuntos del día a día, permitiéndoles mayor agilidad para llevar sus reclamos. Tal es la vitalidad de las estructuras municipales en Puerto Rico, que nuestro </w:t>
      </w:r>
      <w:r w:rsidRPr="00C627D5">
        <w:rPr>
          <w:rFonts w:ascii="Book Antiqua" w:hAnsi="Book Antiqua"/>
          <w:color w:val="000000" w:themeColor="text1"/>
          <w:lang w:val="es-ES"/>
        </w:rPr>
        <w:lastRenderedPageBreak/>
        <w:t xml:space="preserve">ordenamiento jurídico reconoce en la </w:t>
      </w:r>
      <w:r w:rsidRPr="00C627D5">
        <w:rPr>
          <w:rFonts w:ascii="Book Antiqua" w:hAnsi="Book Antiqua"/>
          <w:color w:val="000000" w:themeColor="text1"/>
        </w:rPr>
        <w:t>Ley 107- 2020, según enmendada, conocida como “Código Municipal de Puerto Rico” lo siguiente:</w:t>
      </w:r>
    </w:p>
    <w:p w14:paraId="4D447A41" w14:textId="77777777" w:rsidR="00152423" w:rsidRPr="00C627D5" w:rsidRDefault="00152423" w:rsidP="00152423">
      <w:pPr>
        <w:ind w:firstLine="720"/>
        <w:jc w:val="both"/>
        <w:rPr>
          <w:rFonts w:ascii="Book Antiqua" w:hAnsi="Book Antiqua"/>
          <w:color w:val="000000" w:themeColor="text1"/>
        </w:rPr>
      </w:pPr>
    </w:p>
    <w:p w14:paraId="2B4AFBF1" w14:textId="77777777" w:rsidR="00152423" w:rsidRPr="00C627D5" w:rsidRDefault="00152423" w:rsidP="00152423">
      <w:pPr>
        <w:ind w:left="720" w:right="720"/>
        <w:contextualSpacing/>
        <w:jc w:val="both"/>
        <w:rPr>
          <w:rFonts w:ascii="Book Antiqua" w:hAnsi="Book Antiqua"/>
          <w:color w:val="000000" w:themeColor="text1"/>
        </w:rPr>
      </w:pPr>
      <w:r w:rsidRPr="00C627D5">
        <w:rPr>
          <w:rFonts w:ascii="Book Antiqua" w:hAnsi="Book Antiqua"/>
          <w:color w:val="000000" w:themeColor="text1"/>
        </w:rPr>
        <w:t xml:space="preserve">“…[S]e reconoce que los municipios son la entidad gubernamental más cercana al pueblo y el mejor intérprete de sus necesidades y aspiraciones. En consecuencia, </w:t>
      </w:r>
      <w:r w:rsidRPr="00C627D5">
        <w:rPr>
          <w:rFonts w:ascii="Book Antiqua" w:hAnsi="Book Antiqua"/>
          <w:b/>
          <w:bCs/>
          <w:color w:val="000000" w:themeColor="text1"/>
        </w:rPr>
        <w:t>se declara de máximo interés público que los municipios cuenten con los recursos necesarios para rendir sus servicios”.</w:t>
      </w:r>
      <w:r w:rsidRPr="00C627D5">
        <w:rPr>
          <w:rStyle w:val="FootnoteReference"/>
          <w:rFonts w:ascii="Book Antiqua" w:hAnsi="Book Antiqua"/>
          <w:b/>
          <w:bCs/>
          <w:color w:val="000000" w:themeColor="text1"/>
        </w:rPr>
        <w:footnoteReference w:id="2"/>
      </w:r>
      <w:r w:rsidRPr="00C627D5">
        <w:rPr>
          <w:rFonts w:ascii="Book Antiqua" w:hAnsi="Book Antiqua"/>
          <w:b/>
          <w:bCs/>
          <w:color w:val="000000" w:themeColor="text1"/>
        </w:rPr>
        <w:t xml:space="preserve"> (Énfasis suplido)</w:t>
      </w:r>
    </w:p>
    <w:p w14:paraId="76B00C89" w14:textId="77777777" w:rsidR="00152423" w:rsidRPr="00C627D5" w:rsidRDefault="00152423" w:rsidP="00152423">
      <w:pPr>
        <w:ind w:left="1440" w:right="720"/>
        <w:contextualSpacing/>
        <w:jc w:val="both"/>
        <w:rPr>
          <w:rFonts w:ascii="Book Antiqua" w:hAnsi="Book Antiqua"/>
          <w:color w:val="000000" w:themeColor="text1"/>
        </w:rPr>
      </w:pPr>
    </w:p>
    <w:p w14:paraId="5ADDE89E" w14:textId="77777777" w:rsidR="00152423" w:rsidRPr="00C627D5" w:rsidRDefault="00152423" w:rsidP="00152423">
      <w:pPr>
        <w:ind w:firstLine="720"/>
        <w:jc w:val="both"/>
        <w:rPr>
          <w:color w:val="000000" w:themeColor="text1"/>
        </w:rPr>
      </w:pPr>
      <w:r w:rsidRPr="00C627D5">
        <w:rPr>
          <w:rFonts w:ascii="Book Antiqua" w:hAnsi="Book Antiqua"/>
          <w:color w:val="000000" w:themeColor="text1"/>
          <w:lang w:val="es-ES"/>
        </w:rPr>
        <w:t xml:space="preserve">Conociendo los retos económicos que tienen nuestros municipios, resulta necesario identificar alternativas fiscalmente responsables, que permitan continuar que los servicios que estos ofrecen no se vean afectados, manteniendo el acceso a una mejor calidad de vida de todos nuestros constituyentes. Nuestro Gobierno tiene un compromiso de presentar soluciones de política pública, que promuevan la </w:t>
      </w:r>
      <w:r w:rsidRPr="00C627D5">
        <w:rPr>
          <w:rFonts w:ascii="Book Antiqua" w:hAnsi="Book Antiqua"/>
          <w:color w:val="000000" w:themeColor="text1"/>
        </w:rPr>
        <w:t>proactividad en la autosuficiencia de los municipios, asegurando que puedan gestionar sus recursos de forma más eficaz y contribuir al bienestar colectivo.</w:t>
      </w:r>
      <w:r w:rsidRPr="00C627D5">
        <w:rPr>
          <w:color w:val="000000" w:themeColor="text1"/>
        </w:rPr>
        <w:t xml:space="preserve">  </w:t>
      </w:r>
    </w:p>
    <w:p w14:paraId="0E31D130" w14:textId="77777777" w:rsidR="00152423" w:rsidRPr="00C627D5" w:rsidRDefault="00152423" w:rsidP="00152423">
      <w:pPr>
        <w:ind w:firstLine="720"/>
        <w:jc w:val="both"/>
        <w:rPr>
          <w:color w:val="000000" w:themeColor="text1"/>
        </w:rPr>
      </w:pPr>
    </w:p>
    <w:p w14:paraId="2832E579" w14:textId="77777777" w:rsidR="00152423" w:rsidRPr="00C627D5" w:rsidRDefault="00152423" w:rsidP="00152423">
      <w:pPr>
        <w:pStyle w:val="ListParagraph"/>
        <w:numPr>
          <w:ilvl w:val="0"/>
          <w:numId w:val="24"/>
        </w:numPr>
        <w:jc w:val="both"/>
        <w:rPr>
          <w:rFonts w:ascii="Book Antiqua" w:hAnsi="Book Antiqua"/>
          <w:color w:val="000000" w:themeColor="text1"/>
        </w:rPr>
      </w:pPr>
      <w:r w:rsidRPr="00C627D5">
        <w:rPr>
          <w:rFonts w:ascii="Book Antiqua" w:hAnsi="Book Antiqua"/>
          <w:color w:val="000000" w:themeColor="text1"/>
        </w:rPr>
        <w:t>Desarrollo Económico en Puerto Rico y la Agilidad para Hacer Negocios.</w:t>
      </w:r>
    </w:p>
    <w:p w14:paraId="439A0DED" w14:textId="77777777" w:rsidR="00152423" w:rsidRPr="00C627D5"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Ciertamente, unos de los mayores retos para el desarrollo económico sostenible en Puerto Rico es el costo y la facilidad de hacer negocios en la isla. Entre esos retos figura el costo de cumplir con sus responsabilidades contributivas ante el Estado. En esencia, mientras más difícil y complejo resulte a un negocio o empresa cumplir con sus responsabilidades contributivas, mayor la probabilidad de que un negocio o empresa incumpla con dichas responsabilidades. Lo anterior cobra mayor importancia, cuando dentro de la confección de planes fiscales para Puerto Rico se ha recomendado lo siguiente:</w:t>
      </w:r>
    </w:p>
    <w:p w14:paraId="08151511" w14:textId="77777777" w:rsidR="00152423" w:rsidRPr="00C627D5" w:rsidRDefault="00152423" w:rsidP="00152423">
      <w:pPr>
        <w:ind w:left="720" w:right="720"/>
        <w:contextualSpacing/>
        <w:jc w:val="both"/>
        <w:rPr>
          <w:rFonts w:ascii="Book Antiqua" w:hAnsi="Book Antiqua"/>
          <w:b/>
          <w:bCs/>
          <w:color w:val="000000" w:themeColor="text1"/>
        </w:rPr>
      </w:pPr>
      <w:r w:rsidRPr="00152423">
        <w:rPr>
          <w:rFonts w:ascii="Book Antiqua" w:hAnsi="Book Antiqua"/>
          <w:i/>
          <w:iCs/>
          <w:color w:val="000000" w:themeColor="text1"/>
          <w:lang w:val="en-US"/>
        </w:rPr>
        <w:t xml:space="preserve">Tax, labor, energy and permitting policies </w:t>
      </w:r>
      <w:r w:rsidRPr="00152423">
        <w:rPr>
          <w:rFonts w:ascii="Book Antiqua" w:hAnsi="Book Antiqua"/>
          <w:b/>
          <w:bCs/>
          <w:i/>
          <w:iCs/>
          <w:color w:val="000000" w:themeColor="text1"/>
          <w:lang w:val="en-US"/>
        </w:rPr>
        <w:t>have significant implications for the cost and ease of doing business.</w:t>
      </w:r>
      <w:r w:rsidRPr="00152423">
        <w:rPr>
          <w:rFonts w:ascii="Book Antiqua" w:hAnsi="Book Antiqua"/>
          <w:i/>
          <w:iCs/>
          <w:color w:val="000000" w:themeColor="text1"/>
          <w:lang w:val="en-US"/>
        </w:rPr>
        <w:t xml:space="preserve"> The Government must </w:t>
      </w:r>
      <w:r w:rsidRPr="00152423">
        <w:rPr>
          <w:rFonts w:ascii="Book Antiqua" w:hAnsi="Book Antiqua"/>
          <w:b/>
          <w:bCs/>
          <w:i/>
          <w:iCs/>
          <w:color w:val="000000" w:themeColor="text1"/>
          <w:lang w:val="en-US"/>
        </w:rPr>
        <w:t>reduce the structural complexity of Puerto Rico’s tax system, thus reducing the cost of administration and the cost of compliance for private businesses</w:t>
      </w:r>
      <w:r w:rsidRPr="00152423">
        <w:rPr>
          <w:rFonts w:ascii="Book Antiqua" w:hAnsi="Book Antiqua"/>
          <w:i/>
          <w:iCs/>
          <w:color w:val="000000" w:themeColor="text1"/>
          <w:lang w:val="en-US"/>
        </w:rPr>
        <w:t>.</w:t>
      </w:r>
      <w:r w:rsidRPr="00C627D5">
        <w:rPr>
          <w:rStyle w:val="FootnoteReference"/>
          <w:rFonts w:ascii="Book Antiqua" w:hAnsi="Book Antiqua"/>
          <w:i/>
          <w:iCs/>
          <w:color w:val="000000" w:themeColor="text1"/>
        </w:rPr>
        <w:footnoteReference w:id="3"/>
      </w:r>
      <w:r w:rsidRPr="00152423">
        <w:rPr>
          <w:rFonts w:ascii="Book Antiqua" w:hAnsi="Book Antiqua"/>
          <w:i/>
          <w:iCs/>
          <w:color w:val="000000" w:themeColor="text1"/>
          <w:lang w:val="en-US"/>
        </w:rPr>
        <w:t xml:space="preserve"> </w:t>
      </w:r>
      <w:r w:rsidRPr="00C627D5">
        <w:rPr>
          <w:rFonts w:ascii="Book Antiqua" w:hAnsi="Book Antiqua"/>
          <w:b/>
          <w:bCs/>
          <w:color w:val="000000" w:themeColor="text1"/>
          <w:lang w:val="es-ES"/>
        </w:rPr>
        <w:t>(Énfasis</w:t>
      </w:r>
      <w:r w:rsidRPr="00C627D5">
        <w:rPr>
          <w:rFonts w:ascii="Book Antiqua" w:hAnsi="Book Antiqua"/>
          <w:b/>
          <w:bCs/>
          <w:color w:val="000000" w:themeColor="text1"/>
        </w:rPr>
        <w:t xml:space="preserve"> suplido)</w:t>
      </w:r>
    </w:p>
    <w:p w14:paraId="2BD5EA18" w14:textId="77777777" w:rsidR="00152423" w:rsidRPr="00C627D5" w:rsidRDefault="00152423" w:rsidP="00152423">
      <w:pPr>
        <w:ind w:firstLine="720"/>
        <w:jc w:val="both"/>
        <w:rPr>
          <w:rFonts w:ascii="Book Antiqua" w:hAnsi="Book Antiqua"/>
          <w:color w:val="000000" w:themeColor="text1"/>
        </w:rPr>
      </w:pPr>
    </w:p>
    <w:p w14:paraId="4882680B" w14:textId="77777777" w:rsidR="00152423" w:rsidRPr="00C627D5"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 xml:space="preserve">Ahora bien, tener mayor agilidad y simplificación en la administración de los impuestos y los servicios a negocios y empresas, redunda en mayor cumplimiento voluntario por parte de los contribuyentes con sus obligaciones y responsabilidades. La complejidad tributaria es la suma del costo por cumplimiento, lo cual es incurrido directamente por los individuos y corporaciones, mientras que el costo administrativo es incurrido por parte del Gobierno. En ese sentido, debemos aspirar a uniformar y </w:t>
      </w:r>
      <w:r w:rsidRPr="00C627D5">
        <w:rPr>
          <w:rFonts w:ascii="Book Antiqua" w:hAnsi="Book Antiqua"/>
          <w:color w:val="000000" w:themeColor="text1"/>
        </w:rPr>
        <w:lastRenderedPageBreak/>
        <w:t xml:space="preserve">simplificar los procesos para los negocios y empresarios en Puerto Rico puedan cumplir con los impuestos estatales y municipales a los que estén sujetos. </w:t>
      </w:r>
    </w:p>
    <w:p w14:paraId="4DDE5938" w14:textId="77777777" w:rsidR="00152423" w:rsidRPr="00C627D5" w:rsidRDefault="00152423" w:rsidP="00152423">
      <w:pPr>
        <w:ind w:firstLine="720"/>
        <w:jc w:val="both"/>
        <w:rPr>
          <w:rFonts w:ascii="Book Antiqua" w:hAnsi="Book Antiqua"/>
          <w:b/>
          <w:bCs/>
          <w:color w:val="000000" w:themeColor="text1"/>
        </w:rPr>
      </w:pPr>
    </w:p>
    <w:p w14:paraId="66119069" w14:textId="77777777" w:rsidR="00152423" w:rsidRPr="00C627D5" w:rsidRDefault="00152423" w:rsidP="00152423">
      <w:pPr>
        <w:pStyle w:val="ListParagraph"/>
        <w:numPr>
          <w:ilvl w:val="0"/>
          <w:numId w:val="24"/>
        </w:numPr>
        <w:jc w:val="both"/>
        <w:rPr>
          <w:rFonts w:ascii="Book Antiqua" w:hAnsi="Book Antiqua"/>
          <w:color w:val="000000" w:themeColor="text1"/>
        </w:rPr>
      </w:pPr>
      <w:r w:rsidRPr="00C627D5">
        <w:rPr>
          <w:rFonts w:ascii="Book Antiqua" w:hAnsi="Book Antiqua"/>
          <w:color w:val="000000" w:themeColor="text1"/>
        </w:rPr>
        <w:t>Simplificación y Uniformidad del Cobro sobre el Impuesto de Ventas y Uso Municipal.</w:t>
      </w:r>
    </w:p>
    <w:p w14:paraId="4ADDE888" w14:textId="77777777" w:rsidR="00152423" w:rsidRPr="00C627D5" w:rsidRDefault="00152423" w:rsidP="00152423">
      <w:pPr>
        <w:ind w:left="360"/>
        <w:jc w:val="both"/>
        <w:rPr>
          <w:rFonts w:ascii="Book Antiqua" w:hAnsi="Book Antiqua"/>
          <w:color w:val="000000" w:themeColor="text1"/>
        </w:rPr>
      </w:pPr>
    </w:p>
    <w:p w14:paraId="3E2E81D2"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 xml:space="preserve">En específico, una política pública que promueva centralizar en un portal unificado los trámites de radicación y pago de IVU municipal, representa una oportunidad para facilitar el cumplimiento de los negocios con la patente municipal, reduciendo costos de cumplimiento y mejorando la fiscalización y captación de los impuestos municipales. Los negocios y empresas en Puerto Rico indudablemente reconocen este impuesto como un costo de hacer negocios y lo toman consideración en su planificación y estrategias de negocios. </w:t>
      </w:r>
    </w:p>
    <w:p w14:paraId="0ADAE118" w14:textId="77777777" w:rsidR="00152423" w:rsidRPr="00C627D5" w:rsidRDefault="00152423" w:rsidP="00152423">
      <w:pPr>
        <w:ind w:firstLine="720"/>
        <w:jc w:val="both"/>
        <w:rPr>
          <w:rFonts w:ascii="Book Antiqua" w:hAnsi="Book Antiqua"/>
          <w:color w:val="000000" w:themeColor="text1"/>
        </w:rPr>
      </w:pPr>
    </w:p>
    <w:p w14:paraId="19373C05"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Una iniciativa de esta naturaleza busca no solo reducir el costo de hacer negocios en Puerto Rico, sino también maximizar los recaudos de impuestos municipales. Asimismo, esto no debe ir en detrimento de las facultades de los gobiernos municipales de administrar y manejar sus finanzas y recaudos municipales. Para alcanzar lo anterior, esta iniciativa tiene los siguientes objetivos principales:</w:t>
      </w:r>
    </w:p>
    <w:p w14:paraId="5EA2A495" w14:textId="77777777" w:rsidR="00152423" w:rsidRPr="00C627D5" w:rsidRDefault="00152423" w:rsidP="00152423">
      <w:pPr>
        <w:ind w:firstLine="720"/>
        <w:jc w:val="both"/>
        <w:rPr>
          <w:rFonts w:ascii="Book Antiqua" w:hAnsi="Book Antiqua"/>
          <w:color w:val="000000" w:themeColor="text1"/>
        </w:rPr>
      </w:pPr>
    </w:p>
    <w:p w14:paraId="7706406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Facilitar el cumplimiento contributivo de comerciantes y empresas mediante la consolidación de procesos en un solo sistema digital.</w:t>
      </w:r>
    </w:p>
    <w:p w14:paraId="45E20FF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Uniformar la administración del IVU municipal, eliminando discrepancias operacionales entre municipios.</w:t>
      </w:r>
    </w:p>
    <w:p w14:paraId="0C8BD233"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Fortalecer la autonomía fiscal de los municipios, asegurando la transferencia directa y sin retenciones de sus ingresos.</w:t>
      </w:r>
    </w:p>
    <w:p w14:paraId="6B0BA2F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Aumentar la captación de ingresos mediante una fiscalización más efectiva y un acceso más amplio a la información contributiva.</w:t>
      </w:r>
    </w:p>
    <w:p w14:paraId="3878305B"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Reducir la carga administrativa y el costo de hacer negocios, promoviendo así un entorno más competitivo y propicio para el desarrollo económico.</w:t>
      </w:r>
    </w:p>
    <w:p w14:paraId="75E3DD4F" w14:textId="77777777" w:rsidR="00152423" w:rsidRPr="00C627D5" w:rsidRDefault="00152423" w:rsidP="00152423">
      <w:pPr>
        <w:ind w:firstLine="720"/>
        <w:jc w:val="both"/>
        <w:rPr>
          <w:rFonts w:ascii="Book Antiqua" w:eastAsia="Book Antiqua" w:hAnsi="Book Antiqua" w:cs="Book Antiqua"/>
          <w:color w:val="000000" w:themeColor="text1"/>
        </w:rPr>
      </w:pPr>
    </w:p>
    <w:p w14:paraId="41AE2020"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Por tanto, se establecerán las estructuras que sean necesarias para que los recaudos que correspondan a los municipios se mantengan separados de los recaudos del Gobierno Central y sean remitidos directamente a los municipios</w:t>
      </w:r>
    </w:p>
    <w:p w14:paraId="47B0C4AD" w14:textId="77777777" w:rsidR="00152423" w:rsidRPr="00C627D5" w:rsidRDefault="00152423" w:rsidP="00152423">
      <w:pPr>
        <w:ind w:firstLine="720"/>
        <w:jc w:val="both"/>
        <w:rPr>
          <w:rFonts w:ascii="Book Antiqua" w:hAnsi="Book Antiqua"/>
          <w:color w:val="000000" w:themeColor="text1"/>
        </w:rPr>
      </w:pPr>
    </w:p>
    <w:p w14:paraId="5013525A"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Esta Asamblea Legislativa está comprometida con la función municipal, por tanto, propone establecer el marco conceptual para el acuerdo colaborativo entre el Departamento de Hacienda y los municipios, con el fin de uniformar el cobro del impuesto sobre ventas y uso y simplificar el cumplimiento a los contribuyentes mediante la consolidación de la radicación y pago en el Sistema Unificado de Rentas Internas (“SURI”).</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lastRenderedPageBreak/>
        <w:t>DECRÉTASE POR LA ASAMBLEA LEGISLATIVA DE PUERTO RICO:</w:t>
      </w:r>
    </w:p>
    <w:p w14:paraId="6F6816EC" w14:textId="77777777" w:rsidR="00152423" w:rsidRPr="00C627D5" w:rsidRDefault="00152423" w:rsidP="00152423">
      <w:pPr>
        <w:pStyle w:val="BodyText"/>
        <w:spacing w:line="480" w:lineRule="auto"/>
        <w:ind w:firstLine="720"/>
        <w:rPr>
          <w:rFonts w:ascii="Book Antiqua" w:hAnsi="Book Antiqua"/>
          <w:color w:val="000000" w:themeColor="text1"/>
        </w:rPr>
      </w:pPr>
      <w:bookmarkStart w:id="0" w:name="{20D8}"/>
      <w:bookmarkStart w:id="1" w:name="_Hlk189832381"/>
      <w:r w:rsidRPr="00C627D5">
        <w:rPr>
          <w:rFonts w:ascii="Book Antiqua" w:hAnsi="Book Antiqua"/>
          <w:color w:val="000000" w:themeColor="text1"/>
        </w:rPr>
        <w:t>Artículo 1.— Se añade un párrafo (7) al apartado (a) y se enmienda el apartado (c) de la Sección 6080.14 de la Ley 1-2011, según enmendada, para que se lea como sigue:</w:t>
      </w:r>
    </w:p>
    <w:p w14:paraId="074459C4" w14:textId="77777777" w:rsidR="00152423" w:rsidRPr="00C627D5" w:rsidRDefault="00152423" w:rsidP="00152423">
      <w:pPr>
        <w:pStyle w:val="BodyText"/>
        <w:spacing w:line="480" w:lineRule="auto"/>
        <w:ind w:left="720"/>
        <w:rPr>
          <w:rFonts w:ascii="Book Antiqua" w:hAnsi="Book Antiqua"/>
          <w:color w:val="000000" w:themeColor="text1"/>
        </w:rPr>
      </w:pPr>
      <w:r w:rsidRPr="00C627D5">
        <w:rPr>
          <w:rFonts w:ascii="Book Antiqua" w:hAnsi="Book Antiqua"/>
          <w:color w:val="000000" w:themeColor="text1"/>
        </w:rPr>
        <w:t xml:space="preserve">“Sección 6080.14. </w:t>
      </w:r>
      <w:bookmarkEnd w:id="0"/>
      <w:bookmarkEnd w:id="1"/>
      <w:r w:rsidRPr="00C627D5">
        <w:rPr>
          <w:rFonts w:ascii="Book Antiqua" w:hAnsi="Book Antiqua"/>
          <w:color w:val="000000" w:themeColor="text1"/>
        </w:rPr>
        <w:t>— Imposición Municipal del Impuesto de Ventas y Uso.</w:t>
      </w:r>
    </w:p>
    <w:p w14:paraId="64347BC2" w14:textId="77777777" w:rsidR="00152423" w:rsidRPr="00C627D5" w:rsidRDefault="00152423" w:rsidP="00152423">
      <w:pPr>
        <w:pStyle w:val="ListParagraph"/>
        <w:numPr>
          <w:ilvl w:val="0"/>
          <w:numId w:val="25"/>
        </w:numPr>
        <w:spacing w:line="480" w:lineRule="auto"/>
        <w:jc w:val="both"/>
        <w:rPr>
          <w:rFonts w:ascii="Book Antiqua" w:hAnsi="Book Antiqua"/>
          <w:color w:val="000000" w:themeColor="text1"/>
        </w:rPr>
      </w:pPr>
      <w:r w:rsidRPr="00C627D5">
        <w:rPr>
          <w:rFonts w:ascii="Book Antiqua" w:hAnsi="Book Antiqua"/>
          <w:color w:val="000000" w:themeColor="text1"/>
        </w:rPr>
        <w:t xml:space="preserve">Autorización y obligatoriedad. — A partir del 1ro. de febrero de 2014, todos los municipios impondrán uniforme y obligatoriamente un impuesto sobre ventas y uso sobre la venta y uso de una partida tributable de conformidad con la autorización establecida en la Sección 4020.10. Dicha contribución será por una tasa contributiva fija de uno </w:t>
      </w:r>
      <w:r w:rsidRPr="00C627D5">
        <w:rPr>
          <w:rFonts w:ascii="Book Antiqua" w:hAnsi="Book Antiqua"/>
          <w:b/>
          <w:bCs/>
          <w:color w:val="000000" w:themeColor="text1"/>
        </w:rPr>
        <w:t>[(1)]</w:t>
      </w:r>
      <w:r w:rsidRPr="00C627D5">
        <w:rPr>
          <w:rFonts w:ascii="Book Antiqua" w:hAnsi="Book Antiqua"/>
          <w:color w:val="000000" w:themeColor="text1"/>
        </w:rPr>
        <w:t xml:space="preserve"> por ciento </w:t>
      </w:r>
      <w:r w:rsidRPr="00C627D5">
        <w:rPr>
          <w:rFonts w:ascii="Book Antiqua" w:hAnsi="Book Antiqua"/>
          <w:i/>
          <w:iCs/>
          <w:color w:val="000000" w:themeColor="text1"/>
        </w:rPr>
        <w:t>(1%)</w:t>
      </w:r>
      <w:r w:rsidRPr="00C627D5">
        <w:rPr>
          <w:rFonts w:ascii="Book Antiqua" w:hAnsi="Book Antiqua"/>
          <w:color w:val="000000" w:themeColor="text1"/>
        </w:rPr>
        <w:t xml:space="preserve"> la cual será cobrada por los municipios. La tasa contributiva de uno </w:t>
      </w:r>
      <w:r w:rsidRPr="00C627D5">
        <w:rPr>
          <w:rFonts w:ascii="Book Antiqua" w:hAnsi="Book Antiqua"/>
          <w:b/>
          <w:bCs/>
          <w:color w:val="000000" w:themeColor="text1"/>
        </w:rPr>
        <w:t>[(1)]</w:t>
      </w:r>
      <w:r w:rsidRPr="00C627D5">
        <w:rPr>
          <w:rFonts w:ascii="Book Antiqua" w:hAnsi="Book Antiqua"/>
          <w:color w:val="000000" w:themeColor="text1"/>
        </w:rPr>
        <w:t xml:space="preserve"> por ciento </w:t>
      </w:r>
      <w:r w:rsidRPr="00C627D5">
        <w:rPr>
          <w:rFonts w:ascii="Book Antiqua" w:hAnsi="Book Antiqua"/>
          <w:i/>
          <w:iCs/>
          <w:color w:val="000000" w:themeColor="text1"/>
        </w:rPr>
        <w:t>(1%)</w:t>
      </w:r>
      <w:r w:rsidRPr="00C627D5">
        <w:rPr>
          <w:rFonts w:ascii="Book Antiqua" w:hAnsi="Book Antiqua"/>
          <w:color w:val="000000" w:themeColor="text1"/>
        </w:rPr>
        <w:t xml:space="preserve">, será impuesta sobre la venta y el uso de una partida tributable de conformidad con la misma base, exenciones y limitaciones contenidas en el Subtítulo D del Código, salvo en las excepciones dispuestas en esta Sección. </w:t>
      </w:r>
      <w:r w:rsidRPr="00C627D5">
        <w:rPr>
          <w:rFonts w:ascii="Book Antiqua" w:hAnsi="Book Antiqua"/>
          <w:b/>
          <w:bCs/>
          <w:color w:val="000000" w:themeColor="text1"/>
        </w:rPr>
        <w:t>[Disponiéndose que la]</w:t>
      </w:r>
      <w:r w:rsidRPr="00C627D5">
        <w:rPr>
          <w:rFonts w:ascii="Book Antiqua" w:hAnsi="Book Antiqua"/>
          <w:i/>
          <w:iCs/>
          <w:color w:val="000000" w:themeColor="text1"/>
        </w:rPr>
        <w:t xml:space="preserve"> La</w:t>
      </w:r>
      <w:r w:rsidRPr="00C627D5">
        <w:rPr>
          <w:rFonts w:ascii="Book Antiqua" w:hAnsi="Book Antiqua"/>
          <w:color w:val="000000" w:themeColor="text1"/>
        </w:rPr>
        <w:t xml:space="preserve"> tasa contributiva fija de uno </w:t>
      </w:r>
      <w:r w:rsidRPr="00C627D5">
        <w:rPr>
          <w:rFonts w:ascii="Book Antiqua" w:hAnsi="Book Antiqua"/>
          <w:b/>
          <w:bCs/>
          <w:color w:val="000000" w:themeColor="text1"/>
        </w:rPr>
        <w:t>[(1)]</w:t>
      </w:r>
      <w:r w:rsidRPr="00C627D5">
        <w:rPr>
          <w:rFonts w:ascii="Book Antiqua" w:hAnsi="Book Antiqua"/>
          <w:color w:val="000000" w:themeColor="text1"/>
        </w:rPr>
        <w:t xml:space="preserve"> por ciento </w:t>
      </w:r>
      <w:r w:rsidRPr="00C627D5">
        <w:rPr>
          <w:rFonts w:ascii="Book Antiqua" w:hAnsi="Book Antiqua"/>
          <w:i/>
          <w:iCs/>
          <w:color w:val="000000" w:themeColor="text1"/>
        </w:rPr>
        <w:t>(1%)</w:t>
      </w:r>
      <w:r w:rsidRPr="00C627D5">
        <w:rPr>
          <w:rFonts w:ascii="Book Antiqua" w:hAnsi="Book Antiqua"/>
          <w:color w:val="000000" w:themeColor="text1"/>
        </w:rPr>
        <w:t xml:space="preserve"> que será cobrada por los municipios, según dispuesto en este apartado, no será aplicable a los servicios rendidos a otros comerciantes ni a los servicios profesionales designados. Dichos servicios estarán sujetos a partir del 1ro. de octubre de 2015 únicamente a la tasa del cuatro </w:t>
      </w:r>
      <w:r w:rsidRPr="00C627D5">
        <w:rPr>
          <w:rFonts w:ascii="Book Antiqua" w:hAnsi="Book Antiqua"/>
          <w:b/>
          <w:bCs/>
          <w:color w:val="000000" w:themeColor="text1"/>
        </w:rPr>
        <w:t>[(4)]</w:t>
      </w:r>
      <w:r w:rsidRPr="00C627D5">
        <w:rPr>
          <w:rFonts w:ascii="Book Antiqua" w:hAnsi="Book Antiqua"/>
          <w:color w:val="000000" w:themeColor="text1"/>
        </w:rPr>
        <w:t xml:space="preserve"> por ciento </w:t>
      </w:r>
      <w:r w:rsidRPr="00C627D5">
        <w:rPr>
          <w:rFonts w:ascii="Book Antiqua" w:hAnsi="Book Antiqua"/>
          <w:i/>
          <w:iCs/>
          <w:color w:val="000000" w:themeColor="text1"/>
        </w:rPr>
        <w:t>(4%)</w:t>
      </w:r>
      <w:r w:rsidRPr="00C627D5">
        <w:rPr>
          <w:rFonts w:ascii="Book Antiqua" w:hAnsi="Book Antiqua"/>
          <w:color w:val="000000" w:themeColor="text1"/>
        </w:rPr>
        <w:t xml:space="preserve"> dispuesta en las Secciones 4210.01(c) y 4210.02(c) de este Código. </w:t>
      </w:r>
    </w:p>
    <w:p w14:paraId="4C7CAD39" w14:textId="77777777" w:rsidR="00152423" w:rsidRPr="00C627D5" w:rsidRDefault="00152423" w:rsidP="00152423">
      <w:pPr>
        <w:pStyle w:val="ListParagraph"/>
        <w:spacing w:line="480" w:lineRule="auto"/>
        <w:ind w:left="1080"/>
        <w:jc w:val="both"/>
        <w:rPr>
          <w:rFonts w:ascii="Book Antiqua" w:hAnsi="Book Antiqua"/>
          <w:color w:val="000000" w:themeColor="text1"/>
        </w:rPr>
      </w:pPr>
      <w:r w:rsidRPr="00C627D5">
        <w:rPr>
          <w:rFonts w:ascii="Book Antiqua" w:hAnsi="Book Antiqua"/>
          <w:color w:val="000000" w:themeColor="text1"/>
        </w:rPr>
        <w:lastRenderedPageBreak/>
        <w:t xml:space="preserve">Para periodos comenzados a partir del 1ro. de julio de 2014, la tasa contributiva fija de uno </w:t>
      </w:r>
      <w:r w:rsidRPr="00C627D5">
        <w:rPr>
          <w:rFonts w:ascii="Book Antiqua" w:hAnsi="Book Antiqua"/>
          <w:b/>
          <w:bCs/>
          <w:color w:val="000000" w:themeColor="text1"/>
        </w:rPr>
        <w:t>[(1)]</w:t>
      </w:r>
      <w:r w:rsidRPr="00C627D5">
        <w:rPr>
          <w:rFonts w:ascii="Book Antiqua" w:hAnsi="Book Antiqua"/>
          <w:color w:val="000000" w:themeColor="text1"/>
        </w:rPr>
        <w:t xml:space="preserve"> por ciento </w:t>
      </w:r>
      <w:r w:rsidRPr="00C627D5">
        <w:rPr>
          <w:rFonts w:ascii="Book Antiqua" w:hAnsi="Book Antiqua"/>
          <w:i/>
          <w:iCs/>
          <w:color w:val="000000" w:themeColor="text1"/>
        </w:rPr>
        <w:t>(1%)</w:t>
      </w:r>
      <w:r w:rsidRPr="00C627D5">
        <w:rPr>
          <w:rFonts w:ascii="Book Antiqua" w:hAnsi="Book Antiqua"/>
          <w:color w:val="000000" w:themeColor="text1"/>
        </w:rPr>
        <w:t xml:space="preserve"> será cobrada en su totalidad por los municipios o por un fiduciario a ser designado conforme a esta Ley.</w:t>
      </w:r>
    </w:p>
    <w:p w14:paraId="660E4530" w14:textId="77777777" w:rsidR="00152423" w:rsidRPr="00C627D5" w:rsidRDefault="00152423" w:rsidP="00152423">
      <w:pPr>
        <w:pStyle w:val="ListParagraph"/>
        <w:numPr>
          <w:ilvl w:val="0"/>
          <w:numId w:val="26"/>
        </w:numPr>
        <w:spacing w:line="480" w:lineRule="auto"/>
        <w:ind w:left="720" w:firstLine="0"/>
        <w:jc w:val="both"/>
        <w:rPr>
          <w:rFonts w:ascii="Book Antiqua" w:hAnsi="Book Antiqua" w:cs="Calibri"/>
          <w:color w:val="000000" w:themeColor="text1"/>
        </w:rPr>
      </w:pPr>
      <w:r w:rsidRPr="00C627D5">
        <w:rPr>
          <w:rFonts w:ascii="Book Antiqua" w:hAnsi="Book Antiqua" w:cs="Calibri"/>
          <w:color w:val="000000" w:themeColor="text1"/>
        </w:rPr>
        <w:t>…</w:t>
      </w:r>
    </w:p>
    <w:p w14:paraId="4C812857"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11F56CA5"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0F55C405"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684DB1A1"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07A46813"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49395AAC"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(7) Para periodos comenzados a partir del 1ro. de julio de 2024, los municipios podrán voluntariamente llegar a acuerdos con el Secretario de Hacienda para utilizar el Sistema Unificado de Rentas Internas (“SURI”)</w:t>
      </w:r>
      <w:r w:rsidRPr="00C627D5">
        <w:rPr>
          <w:rFonts w:ascii="Book Antiqua" w:hAnsi="Book Antiqua"/>
          <w:i/>
          <w:iCs/>
          <w:color w:val="000000" w:themeColor="text1"/>
        </w:rPr>
        <w:t>, o cualquier otro sistema que lo sustituya, para la administración y</w:t>
      </w:r>
      <w:r w:rsidRPr="00C627D5">
        <w:rPr>
          <w:rFonts w:ascii="Book Antiqua" w:hAnsi="Book Antiqua" w:cs="Calibri"/>
          <w:i/>
          <w:iCs/>
          <w:color w:val="000000" w:themeColor="text1"/>
        </w:rPr>
        <w:t xml:space="preserve"> radicación de la Planilla Mensual de Impuesto sobre Ventas y Uso Municipal, conforme a lo establecido en la Sección 4041.02 de este Código y el cobro del Impuesto sobre Ventas y Uso Municipal, conforme a esta Sección.</w:t>
      </w:r>
    </w:p>
    <w:p w14:paraId="3858540C" w14:textId="77777777" w:rsidR="00152423" w:rsidRPr="00C627D5" w:rsidRDefault="00152423" w:rsidP="00152423">
      <w:pPr>
        <w:spacing w:line="480" w:lineRule="auto"/>
        <w:ind w:left="720"/>
        <w:jc w:val="both"/>
        <w:rPr>
          <w:rFonts w:ascii="Book Antiqua" w:hAnsi="Book Antiqua" w:cs="Calibri"/>
          <w:i/>
          <w:iCs/>
          <w:strike/>
          <w:color w:val="000000" w:themeColor="text1"/>
        </w:rPr>
      </w:pPr>
      <w:r w:rsidRPr="00C627D5">
        <w:rPr>
          <w:rFonts w:ascii="Book Antiqua" w:hAnsi="Book Antiqua" w:cs="Calibri"/>
          <w:i/>
          <w:iCs/>
          <w:color w:val="000000" w:themeColor="text1"/>
        </w:rPr>
        <w:t xml:space="preserve">(A) El Departamento de Hacienda remitirá a las cuentas designadas por el municipio la totalidad de las cantidades cobradas del Impuesto sobre Ventas y Uso Municipal. Las cantidades que se cobren por este concepto no podrán ser utilizadas por la Rama Ejecutiva, incluyendo, pero sin limitarse a agencias, departamentos, instrumentalidades o corporaciones públicas, ni retenidas para ningún propósito. </w:t>
      </w:r>
    </w:p>
    <w:p w14:paraId="2F9D28DA"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 xml:space="preserve">(B) De ambas partes acordarlo, el Departamento de Hacienda puede iniciar y utilizar sus mecanismos para gestionar el cobro de las deudas que surjan de los periodos contributivos </w:t>
      </w:r>
      <w:r w:rsidRPr="00C627D5">
        <w:rPr>
          <w:rFonts w:ascii="Book Antiqua" w:hAnsi="Book Antiqua" w:cs="Calibri"/>
          <w:i/>
          <w:iCs/>
          <w:color w:val="000000" w:themeColor="text1"/>
        </w:rPr>
        <w:lastRenderedPageBreak/>
        <w:t>luego de que se establezca el acuerdo colaborativo. Además, las deudas contributivas posteriores al acuerdo se podrán reflejar en la Certificación de Deuda que emite el Departamento de Hacienda.</w:t>
      </w:r>
    </w:p>
    <w:p w14:paraId="3B34FA87"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 xml:space="preserve">(C) El Departamento de Hacienda le otorgará acceso al municipio a la información correspondiente a los negocios establecidos en su municipio. Dicho acceso incluirá, pero no se limitará al nombre, número de identificación, dirección y ventas tributables y exentas. </w:t>
      </w:r>
    </w:p>
    <w:p w14:paraId="7A7BE3E2"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(D) Las partes establecerán un procedimiento administrativo uniforme para los municipios, de forma que cualquier contribuyente pueda objetar el cobro de dicho Impuesto sobre Ventas y Uso Municipal, si entiende que el municipio le está haciendo un cargo indebido.</w:t>
      </w:r>
    </w:p>
    <w:p w14:paraId="7DE242F1"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(E) Si el Departamento de Hacienda revisa o audita la planilla de contribución sobre ingresos de un contribuyente, o la Planilla Mensual de Impuesto sobre Ventas y Uso, y de ello resulta que se modifica el total de ventas tributables, el Departamento de Hacienda informará el cambio resultante al Departamento de Finanzas del municipio o los municipios que correspondan.</w:t>
      </w:r>
    </w:p>
    <w:p w14:paraId="6C2F22D7"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(F) El Departamento de Hacienda no podrá otorgar planes de pago, acuerdos finales u otros programas para el pago del Impuesto sobre Ventas y Uso Municipal sin el consentimiento del municipio.</w:t>
      </w:r>
    </w:p>
    <w:p w14:paraId="675885B8" w14:textId="77777777" w:rsidR="00152423" w:rsidRPr="00C627D5" w:rsidRDefault="00152423" w:rsidP="00152423">
      <w:pPr>
        <w:spacing w:line="480" w:lineRule="auto"/>
        <w:ind w:left="720"/>
        <w:jc w:val="both"/>
        <w:rPr>
          <w:rFonts w:ascii="Book Antiqua" w:hAnsi="Book Antiqua" w:cs="Calibri"/>
          <w:i/>
          <w:iCs/>
          <w:color w:val="000000" w:themeColor="text1"/>
        </w:rPr>
      </w:pPr>
      <w:r w:rsidRPr="00C627D5">
        <w:rPr>
          <w:rFonts w:ascii="Book Antiqua" w:hAnsi="Book Antiqua" w:cs="Calibri"/>
          <w:i/>
          <w:iCs/>
          <w:color w:val="000000" w:themeColor="text1"/>
        </w:rPr>
        <w:t>(G) Situación o asunto relacionado al Impuesto sobre Ventas y Uso Municipal que no se incluya en el acuerdo colaborativo se regirá bajo la Ley 107-2020, según enmendada, o cualquier ley posterior que la sustituya.</w:t>
      </w:r>
    </w:p>
    <w:p w14:paraId="4A0EC82C" w14:textId="77777777" w:rsidR="00152423" w:rsidRPr="00C627D5" w:rsidRDefault="00152423" w:rsidP="00152423">
      <w:pPr>
        <w:spacing w:line="480" w:lineRule="auto"/>
        <w:ind w:left="720" w:firstLine="720"/>
        <w:jc w:val="both"/>
        <w:rPr>
          <w:rFonts w:ascii="Book Antiqua" w:hAnsi="Book Antiqua" w:cs="Calibri"/>
          <w:color w:val="000000" w:themeColor="text1"/>
        </w:rPr>
      </w:pPr>
      <w:r w:rsidRPr="00C627D5">
        <w:rPr>
          <w:rFonts w:ascii="Book Antiqua" w:hAnsi="Book Antiqua" w:cs="Calibri"/>
          <w:color w:val="000000" w:themeColor="text1"/>
        </w:rPr>
        <w:t>(b) …</w:t>
      </w:r>
    </w:p>
    <w:p w14:paraId="34222224" w14:textId="77777777" w:rsidR="00152423" w:rsidRPr="00C627D5" w:rsidRDefault="00152423" w:rsidP="00152423">
      <w:pPr>
        <w:spacing w:line="480" w:lineRule="auto"/>
        <w:ind w:left="720"/>
        <w:jc w:val="both"/>
        <w:rPr>
          <w:rFonts w:ascii="Book Antiqua" w:hAnsi="Book Antiqua" w:cs="Calibri"/>
          <w:color w:val="000000" w:themeColor="text1"/>
        </w:rPr>
      </w:pPr>
      <w:r w:rsidRPr="00C627D5">
        <w:rPr>
          <w:rFonts w:ascii="Book Antiqua" w:hAnsi="Book Antiqua" w:cs="Calibri"/>
          <w:color w:val="000000" w:themeColor="text1"/>
        </w:rPr>
        <w:lastRenderedPageBreak/>
        <w:t xml:space="preserve">(c) Recaudación y cobro del impuesto. — A partir del </w:t>
      </w:r>
      <w:r w:rsidRPr="00C627D5">
        <w:rPr>
          <w:rFonts w:ascii="Book Antiqua" w:hAnsi="Book Antiqua" w:cs="Calibri"/>
          <w:b/>
          <w:bCs/>
          <w:color w:val="000000" w:themeColor="text1"/>
        </w:rPr>
        <w:t>[1]</w:t>
      </w:r>
      <w:r w:rsidRPr="00C627D5">
        <w:rPr>
          <w:rFonts w:ascii="Book Antiqua" w:hAnsi="Book Antiqua" w:cs="Calibri"/>
          <w:color w:val="000000" w:themeColor="text1"/>
        </w:rPr>
        <w:t xml:space="preserve"> </w:t>
      </w:r>
      <w:r w:rsidRPr="00C627D5">
        <w:rPr>
          <w:rFonts w:ascii="Book Antiqua" w:hAnsi="Book Antiqua" w:cs="Calibri"/>
          <w:i/>
          <w:iCs/>
          <w:color w:val="000000" w:themeColor="text1"/>
        </w:rPr>
        <w:t>1ro.</w:t>
      </w:r>
      <w:r w:rsidRPr="00C627D5">
        <w:rPr>
          <w:rFonts w:ascii="Book Antiqua" w:hAnsi="Book Antiqua" w:cs="Calibri"/>
          <w:color w:val="000000" w:themeColor="text1"/>
        </w:rPr>
        <w:t xml:space="preserve"> de febrero de 2014, el impuesto del uno </w:t>
      </w:r>
      <w:r w:rsidRPr="00C627D5">
        <w:rPr>
          <w:rFonts w:ascii="Book Antiqua" w:hAnsi="Book Antiqua" w:cs="Calibri"/>
          <w:b/>
          <w:bCs/>
          <w:color w:val="000000" w:themeColor="text1"/>
        </w:rPr>
        <w:t>[(1)]</w:t>
      </w:r>
      <w:r w:rsidRPr="00C627D5">
        <w:rPr>
          <w:rFonts w:ascii="Book Antiqua" w:hAnsi="Book Antiqua" w:cs="Calibri"/>
          <w:color w:val="000000" w:themeColor="text1"/>
        </w:rPr>
        <w:t xml:space="preserve"> por ciento </w:t>
      </w:r>
      <w:r w:rsidRPr="00C627D5">
        <w:rPr>
          <w:rFonts w:ascii="Book Antiqua" w:hAnsi="Book Antiqua" w:cs="Calibri"/>
          <w:i/>
          <w:iCs/>
          <w:color w:val="000000" w:themeColor="text1"/>
        </w:rPr>
        <w:t>(1%)</w:t>
      </w:r>
      <w:r w:rsidRPr="00C627D5">
        <w:rPr>
          <w:rFonts w:ascii="Book Antiqua" w:hAnsi="Book Antiqua" w:cs="Calibri"/>
          <w:color w:val="000000" w:themeColor="text1"/>
        </w:rPr>
        <w:t xml:space="preserve"> se cobrará según dispone la Sección 6080.14 de </w:t>
      </w:r>
      <w:r w:rsidRPr="00C627D5">
        <w:rPr>
          <w:rFonts w:ascii="Book Antiqua" w:hAnsi="Book Antiqua" w:cs="Calibri"/>
          <w:b/>
          <w:bCs/>
          <w:color w:val="000000" w:themeColor="text1"/>
        </w:rPr>
        <w:t>[esta Ley]</w:t>
      </w:r>
      <w:r w:rsidRPr="00C627D5">
        <w:rPr>
          <w:rFonts w:ascii="Book Antiqua" w:hAnsi="Book Antiqua" w:cs="Calibri"/>
          <w:i/>
          <w:iCs/>
          <w:color w:val="000000" w:themeColor="text1"/>
        </w:rPr>
        <w:t xml:space="preserve"> este Código</w:t>
      </w:r>
      <w:r w:rsidRPr="00C627D5">
        <w:rPr>
          <w:rFonts w:ascii="Book Antiqua" w:hAnsi="Book Antiqua" w:cs="Calibri"/>
          <w:color w:val="000000" w:themeColor="text1"/>
        </w:rPr>
        <w:t xml:space="preserve">. Para periodos comenzados a partir de la fecha que establezca la Junta de Gobierno de la COFIM, </w:t>
      </w:r>
      <w:r w:rsidRPr="00C627D5">
        <w:rPr>
          <w:rFonts w:ascii="Book Antiqua" w:hAnsi="Book Antiqua" w:cs="Calibri"/>
          <w:b/>
          <w:bCs/>
          <w:color w:val="000000" w:themeColor="text1"/>
        </w:rPr>
        <w:t>[ésta]</w:t>
      </w:r>
      <w:r w:rsidRPr="00C627D5">
        <w:rPr>
          <w:rFonts w:ascii="Book Antiqua" w:hAnsi="Book Antiqua" w:cs="Calibri"/>
          <w:color w:val="000000" w:themeColor="text1"/>
        </w:rPr>
        <w:t xml:space="preserve"> </w:t>
      </w:r>
      <w:r w:rsidRPr="00C627D5">
        <w:rPr>
          <w:rFonts w:ascii="Book Antiqua" w:hAnsi="Book Antiqua" w:cs="Calibri"/>
          <w:i/>
          <w:iCs/>
          <w:color w:val="000000" w:themeColor="text1"/>
        </w:rPr>
        <w:t>esta</w:t>
      </w:r>
      <w:r w:rsidRPr="00C627D5">
        <w:rPr>
          <w:rFonts w:ascii="Book Antiqua" w:hAnsi="Book Antiqua" w:cs="Calibri"/>
          <w:color w:val="000000" w:themeColor="text1"/>
        </w:rPr>
        <w:t xml:space="preserve"> designará un fiduciario (el “Fiduciario”) aceptable al Banco Gubernamental de Fomento para Puerto Rico para en calidad de agentes de la COFIM en relación a la Renta Fija dispuesta en el Artículo 3 de la “Ley de la Corporación de Financiamiento Municipal” </w:t>
      </w:r>
      <w:r w:rsidRPr="00C627D5">
        <w:rPr>
          <w:rFonts w:ascii="Book Antiqua" w:hAnsi="Book Antiqua" w:cs="Calibri"/>
          <w:i/>
          <w:iCs/>
          <w:color w:val="000000" w:themeColor="text1"/>
        </w:rPr>
        <w:t xml:space="preserve">o ley sucesora de naturaleza similar, </w:t>
      </w:r>
      <w:r w:rsidRPr="00C627D5">
        <w:rPr>
          <w:rFonts w:ascii="Book Antiqua" w:hAnsi="Book Antiqua" w:cs="Calibri"/>
          <w:color w:val="000000" w:themeColor="text1"/>
        </w:rPr>
        <w:t xml:space="preserve">y como agente de los municipios en relación a la Transferencia Municipal establecida en el Artículo 3 de la “Ley de la Corporación de Financiamiento Municipal” </w:t>
      </w:r>
      <w:r w:rsidRPr="00C627D5">
        <w:rPr>
          <w:rFonts w:ascii="Book Antiqua" w:hAnsi="Book Antiqua" w:cs="Calibri"/>
          <w:i/>
          <w:iCs/>
          <w:color w:val="000000" w:themeColor="text1"/>
        </w:rPr>
        <w:t>o ley sucesora de naturaleza similar</w:t>
      </w:r>
      <w:r w:rsidRPr="00C627D5">
        <w:rPr>
          <w:rFonts w:ascii="Book Antiqua" w:hAnsi="Book Antiqua" w:cs="Calibri"/>
          <w:color w:val="000000" w:themeColor="text1"/>
        </w:rPr>
        <w:t xml:space="preserve">, reciba el uno </w:t>
      </w:r>
      <w:r w:rsidRPr="00C627D5">
        <w:rPr>
          <w:rFonts w:ascii="Book Antiqua" w:hAnsi="Book Antiqua" w:cs="Calibri"/>
          <w:b/>
          <w:bCs/>
          <w:color w:val="000000" w:themeColor="text1"/>
        </w:rPr>
        <w:t>[(1)]</w:t>
      </w:r>
      <w:r w:rsidRPr="00C627D5">
        <w:rPr>
          <w:rFonts w:ascii="Book Antiqua" w:hAnsi="Book Antiqua" w:cs="Calibri"/>
          <w:color w:val="000000" w:themeColor="text1"/>
        </w:rPr>
        <w:t xml:space="preserve"> por ciento </w:t>
      </w:r>
      <w:r w:rsidRPr="00C627D5">
        <w:rPr>
          <w:rFonts w:ascii="Book Antiqua" w:hAnsi="Book Antiqua" w:cs="Calibri"/>
          <w:i/>
          <w:iCs/>
          <w:color w:val="000000" w:themeColor="text1"/>
        </w:rPr>
        <w:t>(1%)</w:t>
      </w:r>
      <w:r w:rsidRPr="00C627D5">
        <w:rPr>
          <w:rFonts w:ascii="Book Antiqua" w:hAnsi="Book Antiqua" w:cs="Calibri"/>
          <w:color w:val="000000" w:themeColor="text1"/>
        </w:rPr>
        <w:t xml:space="preserve"> del impuesto recaudado directamente por los municipios, o a través de convenios aprobados por la COFIM con el Secretario o con la empresa privada, de así determinarlo el municipio. En todo caso, para poder facilitar el flujo de efectivo y asegurar las obligaciones de pago establecidas en la “Ley de la Corporación de Financiamiento Municipal” </w:t>
      </w:r>
      <w:r w:rsidRPr="00C627D5">
        <w:rPr>
          <w:rFonts w:ascii="Book Antiqua" w:hAnsi="Book Antiqua" w:cs="Calibri"/>
          <w:i/>
          <w:iCs/>
          <w:color w:val="000000" w:themeColor="text1"/>
        </w:rPr>
        <w:t>o ley sucesora de naturaleza similar</w:t>
      </w:r>
      <w:r w:rsidRPr="00C627D5">
        <w:rPr>
          <w:rFonts w:ascii="Book Antiqua" w:hAnsi="Book Antiqua" w:cs="Calibri"/>
          <w:color w:val="000000" w:themeColor="text1"/>
        </w:rPr>
        <w:t>, cada municipio exigirá que los contribuyentes realicen el pago del impuesto a nombre de la COFIM, como agente y fiduciario en beneficio de dicho municipio, o de la manera que la COFIM establezca mediante reglamento a esos efectos. La COFIM depositará el producto de dicho impuesto en la cuenta establecida a nombre del Fiduciario. Los recaudos del impuesto recibido por el Fiduciario estarán sujetos a lo siguiente:</w:t>
      </w:r>
    </w:p>
    <w:p w14:paraId="1C8496F9" w14:textId="77777777" w:rsidR="00152423" w:rsidRPr="00C627D5" w:rsidRDefault="00152423" w:rsidP="00152423">
      <w:pPr>
        <w:spacing w:line="480" w:lineRule="auto"/>
        <w:ind w:firstLine="720"/>
        <w:jc w:val="both"/>
        <w:rPr>
          <w:rFonts w:ascii="Book Antiqua" w:hAnsi="Book Antiqua" w:cs="Calibri"/>
          <w:color w:val="000000" w:themeColor="text1"/>
        </w:rPr>
      </w:pPr>
      <w:r w:rsidRPr="00C627D5">
        <w:rPr>
          <w:rFonts w:ascii="Book Antiqua" w:hAnsi="Book Antiqua" w:cs="Calibri"/>
          <w:color w:val="000000" w:themeColor="text1"/>
        </w:rPr>
        <w:lastRenderedPageBreak/>
        <w:t>(1) …</w:t>
      </w:r>
    </w:p>
    <w:p w14:paraId="25A08468" w14:textId="77777777" w:rsidR="00152423" w:rsidRPr="00C627D5" w:rsidRDefault="00152423" w:rsidP="00152423">
      <w:pPr>
        <w:spacing w:line="480" w:lineRule="auto"/>
        <w:ind w:firstLine="720"/>
        <w:jc w:val="both"/>
        <w:rPr>
          <w:rFonts w:ascii="Book Antiqua" w:hAnsi="Book Antiqua" w:cs="Calibri"/>
          <w:color w:val="000000" w:themeColor="text1"/>
        </w:rPr>
      </w:pPr>
      <w:r w:rsidRPr="00C627D5">
        <w:rPr>
          <w:rFonts w:ascii="Book Antiqua" w:hAnsi="Book Antiqua" w:cs="Calibri"/>
          <w:color w:val="000000" w:themeColor="text1"/>
        </w:rPr>
        <w:t>…</w:t>
      </w:r>
    </w:p>
    <w:p w14:paraId="1A045B3B" w14:textId="77777777" w:rsidR="00152423" w:rsidRPr="00C627D5" w:rsidRDefault="00152423" w:rsidP="00152423">
      <w:pPr>
        <w:spacing w:line="480" w:lineRule="auto"/>
        <w:ind w:left="720"/>
        <w:jc w:val="both"/>
        <w:rPr>
          <w:rFonts w:ascii="Book Antiqua" w:hAnsi="Book Antiqua" w:cs="Calibri"/>
          <w:color w:val="000000" w:themeColor="text1"/>
        </w:rPr>
      </w:pPr>
      <w:r w:rsidRPr="00C627D5">
        <w:rPr>
          <w:rFonts w:ascii="Book Antiqua" w:hAnsi="Book Antiqua" w:cs="Calibri"/>
          <w:color w:val="000000" w:themeColor="text1"/>
        </w:rPr>
        <w:t>…”</w:t>
      </w:r>
    </w:p>
    <w:p w14:paraId="342CAAEB" w14:textId="77777777" w:rsidR="00152423" w:rsidRPr="00C627D5" w:rsidRDefault="00152423" w:rsidP="00152423">
      <w:pPr>
        <w:pStyle w:val="BodyText"/>
        <w:spacing w:line="480" w:lineRule="auto"/>
        <w:ind w:firstLine="720"/>
        <w:rPr>
          <w:rFonts w:ascii="Book Antiqua" w:hAnsi="Book Antiqua"/>
          <w:color w:val="000000" w:themeColor="text1"/>
        </w:rPr>
      </w:pPr>
      <w:r w:rsidRPr="00C627D5">
        <w:rPr>
          <w:rFonts w:ascii="Book Antiqua" w:hAnsi="Book Antiqua"/>
          <w:color w:val="000000" w:themeColor="text1"/>
        </w:rPr>
        <w:t>Artículo 2.— Separabilidad.</w:t>
      </w:r>
    </w:p>
    <w:p w14:paraId="30A5D3F6" w14:textId="77777777" w:rsidR="00152423" w:rsidRPr="00C627D5" w:rsidRDefault="00152423" w:rsidP="00152423">
      <w:pPr>
        <w:pStyle w:val="BodyText"/>
        <w:spacing w:line="480" w:lineRule="auto"/>
        <w:ind w:firstLine="720"/>
        <w:rPr>
          <w:rFonts w:ascii="Book Antiqua" w:hAnsi="Book Antiqua"/>
          <w:color w:val="000000" w:themeColor="text1"/>
        </w:rPr>
      </w:pPr>
      <w:r w:rsidRPr="00C627D5">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64C14EFE" w14:textId="77777777" w:rsidR="00152423" w:rsidRPr="00C627D5" w:rsidRDefault="00152423" w:rsidP="00152423">
      <w:pPr>
        <w:pStyle w:val="BodyText"/>
        <w:spacing w:line="480" w:lineRule="auto"/>
        <w:ind w:firstLine="720"/>
        <w:rPr>
          <w:rFonts w:ascii="Book Antiqua" w:hAnsi="Book Antiqua"/>
          <w:color w:val="000000" w:themeColor="text1"/>
        </w:rPr>
      </w:pPr>
      <w:r w:rsidRPr="00C627D5">
        <w:rPr>
          <w:rFonts w:ascii="Book Antiqua" w:hAnsi="Book Antiqua"/>
          <w:color w:val="000000" w:themeColor="text1"/>
        </w:rPr>
        <w:t>Artículo 3.—Vigencia.</w:t>
      </w:r>
    </w:p>
    <w:p w14:paraId="3932C625" w14:textId="5C58460D" w:rsidR="0074471F" w:rsidRPr="00152423" w:rsidRDefault="00152423" w:rsidP="00152423">
      <w:pPr>
        <w:pStyle w:val="BodyText"/>
        <w:spacing w:line="480" w:lineRule="auto"/>
        <w:rPr>
          <w:rFonts w:ascii="Book Antiqua" w:hAnsi="Book Antiqua"/>
          <w:color w:val="000000" w:themeColor="text1"/>
        </w:rPr>
      </w:pPr>
      <w:r w:rsidRPr="00C627D5">
        <w:rPr>
          <w:rFonts w:ascii="Book Antiqua" w:hAnsi="Book Antiqua"/>
          <w:color w:val="000000" w:themeColor="text1"/>
        </w:rPr>
        <w:tab/>
        <w:t>Esta Ley entrará en vigor inmediatamente después de su aprobación.</w:t>
      </w:r>
    </w:p>
    <w:sectPr w:rsidR="0074471F" w:rsidRPr="00152423" w:rsidSect="0015242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embedRegular r:id="rId1" w:fontKey="{F73FA67C-C13A-46D2-96F9-F83B43DB68B2}"/>
    <w:embedBold r:id="rId2" w:fontKey="{9F49657D-BD35-419D-930B-577D5252DC12}"/>
    <w:embedItalic r:id="rId3" w:fontKey="{0B6E2A99-30CC-42D4-B0FF-C7037A488417}"/>
    <w:embedBoldItalic r:id="rId4" w:fontKey="{C402D792-AC46-4DAC-B92D-56F2E257518C}"/>
  </w:font>
  <w:font w:name="Segoe UI">
    <w:panose1 w:val="020B0502040204020203"/>
    <w:charset w:val="00"/>
    <w:family w:val="swiss"/>
    <w:pitch w:val="variable"/>
    <w:sig w:usb0="E4002EFF" w:usb1="C000E47F" w:usb2="00000009" w:usb3="00000000" w:csb0="000001FF" w:csb1="00000000"/>
    <w:embedRegular r:id="rId5" w:fontKey="{2EADCD08-E9C2-440C-A170-42105CDC4C13}"/>
  </w:font>
  <w:font w:name="Georgia">
    <w:panose1 w:val="02040502050405020303"/>
    <w:charset w:val="00"/>
    <w:family w:val="roman"/>
    <w:pitch w:val="variable"/>
    <w:sig w:usb0="00000287" w:usb1="00000000" w:usb2="00000000" w:usb3="00000000" w:csb0="0000009F" w:csb1="00000000"/>
    <w:embedRegular r:id="rId6" w:fontKey="{96813C39-89E1-4DCF-BD9A-336E4883BE4A}"/>
    <w:embedItalic r:id="rId7" w:fontKey="{4425DEBF-E571-4BD3-AC98-58BAD93A42A2}"/>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453C039E-2A81-4135-88E2-AA3EB4C71AC6}"/>
    <w:embedItalic r:id="rId9" w:fontKey="{5164A545-14D1-49B9-ABBE-F5C16698C882}"/>
  </w:font>
  <w:font w:name="Calibri">
    <w:panose1 w:val="020F0502020204030204"/>
    <w:charset w:val="00"/>
    <w:family w:val="swiss"/>
    <w:pitch w:val="variable"/>
    <w:sig w:usb0="E4002EFF" w:usb1="C200247B" w:usb2="00000009" w:usb3="00000000" w:csb0="000001FF" w:csb1="00000000"/>
    <w:embedRegular r:id="rId10" w:fontKey="{35E10A46-D8B9-4921-822F-4387502E830B}"/>
    <w:embedBold r:id="rId11" w:fontKey="{F6308252-B55A-4E46-8B44-09A19927EA6C}"/>
    <w:embedItalic r:id="rId12" w:fontKey="{CECB9AE1-E72F-4BE6-9A04-021F4B74E8E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3" w:fontKey="{649D3653-EF14-4147-AC83-57695BC2CA3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9ADAF" w14:textId="77777777" w:rsidR="00152423" w:rsidRDefault="0015242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2A3BA2" w14:paraId="3354EC11" w14:textId="77777777">
      <w:trPr>
        <w:trHeight w:val="300"/>
      </w:trPr>
      <w:tc>
        <w:tcPr>
          <w:tcW w:w="3120" w:type="dxa"/>
          <w:shd w:val="clear" w:color="auto" w:fill="auto"/>
          <w:tcMar>
            <w:top w:w="0" w:type="dxa"/>
            <w:left w:w="108" w:type="dxa"/>
            <w:bottom w:w="0" w:type="dxa"/>
            <w:right w:w="108" w:type="dxa"/>
          </w:tcMar>
        </w:tcPr>
        <w:p w14:paraId="63B8E179" w14:textId="77777777" w:rsidR="00152423" w:rsidRDefault="00152423">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46AEC310" w14:textId="77777777" w:rsidR="00152423" w:rsidRDefault="00152423">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397E0A10" w14:textId="77777777" w:rsidR="00152423" w:rsidRDefault="00152423">
          <w:pPr>
            <w:tabs>
              <w:tab w:val="center" w:pos="4320"/>
              <w:tab w:val="right" w:pos="8640"/>
            </w:tabs>
            <w:ind w:right="-115"/>
            <w:jc w:val="right"/>
            <w:rPr>
              <w:color w:val="000000"/>
            </w:rPr>
          </w:pPr>
        </w:p>
      </w:tc>
    </w:tr>
  </w:tbl>
  <w:p w14:paraId="5BF1235D" w14:textId="77777777" w:rsidR="00152423" w:rsidRDefault="0015242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A80C" w14:textId="77777777" w:rsidR="00152423" w:rsidRDefault="0015242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2A3BA2" w14:paraId="158EFD4A" w14:textId="77777777">
      <w:trPr>
        <w:trHeight w:val="300"/>
      </w:trPr>
      <w:tc>
        <w:tcPr>
          <w:tcW w:w="3120" w:type="dxa"/>
          <w:shd w:val="clear" w:color="auto" w:fill="auto"/>
          <w:tcMar>
            <w:top w:w="0" w:type="dxa"/>
            <w:left w:w="108" w:type="dxa"/>
            <w:bottom w:w="0" w:type="dxa"/>
            <w:right w:w="108" w:type="dxa"/>
          </w:tcMar>
        </w:tcPr>
        <w:p w14:paraId="791FA953" w14:textId="77777777" w:rsidR="00152423" w:rsidRDefault="00152423">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4EAFD49B" w14:textId="77777777" w:rsidR="00152423" w:rsidRDefault="00152423">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4A7C1719" w14:textId="77777777" w:rsidR="00152423" w:rsidRDefault="00152423">
          <w:pPr>
            <w:tabs>
              <w:tab w:val="center" w:pos="4320"/>
              <w:tab w:val="right" w:pos="8640"/>
            </w:tabs>
            <w:ind w:right="-115"/>
            <w:jc w:val="right"/>
            <w:rPr>
              <w:color w:val="000000"/>
            </w:rPr>
          </w:pPr>
        </w:p>
      </w:tc>
    </w:tr>
  </w:tbl>
  <w:p w14:paraId="2997C63E" w14:textId="77777777" w:rsidR="00152423" w:rsidRDefault="0015242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 w:id="2">
    <w:p w14:paraId="104B21A9" w14:textId="77777777" w:rsidR="00152423" w:rsidRPr="00C627D5" w:rsidRDefault="00152423" w:rsidP="00152423">
      <w:pPr>
        <w:pStyle w:val="FootnoteText"/>
        <w:jc w:val="both"/>
        <w:rPr>
          <w:rFonts w:ascii="Book Antiqua" w:hAnsi="Book Antiqua"/>
          <w:lang w:val="es-ES"/>
        </w:rPr>
      </w:pPr>
      <w:r>
        <w:rPr>
          <w:rStyle w:val="FootnoteReference"/>
          <w:rFonts w:ascii="Book Antiqua" w:hAnsi="Book Antiqua"/>
        </w:rPr>
        <w:footnoteRef/>
      </w:r>
      <w:r>
        <w:rPr>
          <w:rFonts w:ascii="Book Antiqua" w:hAnsi="Book Antiqua"/>
        </w:rPr>
        <w:t xml:space="preserve"> Artículo 1.003 — Declaración de Política Pública, “Código Municipal de Puerto Rico”, </w:t>
      </w:r>
      <w:r w:rsidRPr="00C627D5">
        <w:rPr>
          <w:rFonts w:ascii="Book Antiqua" w:hAnsi="Book Antiqua"/>
          <w:lang w:val="es-ES"/>
        </w:rPr>
        <w:t>Pág.6</w:t>
      </w:r>
    </w:p>
  </w:footnote>
  <w:footnote w:id="3">
    <w:p w14:paraId="2D571781" w14:textId="77777777" w:rsidR="00152423" w:rsidRPr="00152423" w:rsidRDefault="00152423" w:rsidP="00152423">
      <w:pPr>
        <w:tabs>
          <w:tab w:val="left" w:pos="8640"/>
        </w:tabs>
        <w:ind w:right="662"/>
        <w:contextualSpacing/>
        <w:jc w:val="both"/>
        <w:rPr>
          <w:lang w:val="en-US"/>
        </w:rPr>
      </w:pPr>
      <w:r>
        <w:rPr>
          <w:rStyle w:val="FootnoteReference"/>
          <w:rFonts w:ascii="Book Antiqua" w:hAnsi="Book Antiqua"/>
          <w:sz w:val="20"/>
        </w:rPr>
        <w:footnoteRef/>
      </w:r>
      <w:r w:rsidRPr="00152423">
        <w:rPr>
          <w:rFonts w:ascii="Book Antiqua" w:hAnsi="Book Antiqua"/>
          <w:sz w:val="20"/>
          <w:lang w:val="en-US"/>
        </w:rPr>
        <w:t xml:space="preserve"> Véase, </w:t>
      </w:r>
      <w:r w:rsidRPr="00152423">
        <w:rPr>
          <w:rFonts w:ascii="Book Antiqua" w:hAnsi="Book Antiqua"/>
          <w:i/>
          <w:iCs/>
          <w:sz w:val="20"/>
          <w:lang w:val="en-US"/>
        </w:rPr>
        <w:t>2024</w:t>
      </w:r>
      <w:r w:rsidRPr="00152423">
        <w:rPr>
          <w:rFonts w:ascii="Book Antiqua" w:hAnsi="Book Antiqua"/>
          <w:sz w:val="20"/>
          <w:lang w:val="en-US"/>
        </w:rPr>
        <w:t xml:space="preserve"> </w:t>
      </w:r>
      <w:r w:rsidRPr="00152423">
        <w:rPr>
          <w:rFonts w:ascii="Book Antiqua" w:hAnsi="Book Antiqua"/>
          <w:i/>
          <w:iCs/>
          <w:sz w:val="20"/>
          <w:lang w:val="en-US"/>
        </w:rPr>
        <w:t>Fiscal Plan for Puerto Rico 2021-2022, as certified to the Financial Oversight and Management Board for Puerto Rico</w:t>
      </w:r>
      <w:r w:rsidRPr="00152423">
        <w:rPr>
          <w:rFonts w:ascii="Book Antiqua" w:hAnsi="Book Antiqua"/>
          <w:sz w:val="20"/>
          <w:lang w:val="en-US"/>
        </w:rPr>
        <w:t xml:space="preserve">, </w:t>
      </w:r>
      <w:r w:rsidRPr="00152423">
        <w:rPr>
          <w:rFonts w:ascii="Book Antiqua" w:hAnsi="Book Antiqua"/>
          <w:i/>
          <w:iCs/>
          <w:sz w:val="20"/>
          <w:lang w:val="en-US"/>
        </w:rPr>
        <w:t>January 5, 2024</w:t>
      </w:r>
      <w:r w:rsidRPr="00152423">
        <w:rPr>
          <w:rFonts w:ascii="Book Antiqua" w:hAnsi="Book Antiqua"/>
          <w:sz w:val="20"/>
          <w:lang w:val="en-US"/>
        </w:rPr>
        <w:t>.P.118.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DF399DB" w:rsidR="00FF2214" w:rsidRPr="007F2135" w:rsidRDefault="00850770">
    <w:pPr>
      <w:tabs>
        <w:tab w:val="center" w:pos="4320"/>
        <w:tab w:val="right" w:pos="8640"/>
      </w:tabs>
      <w:jc w:val="right"/>
      <w:rPr>
        <w:color w:val="000000"/>
      </w:rPr>
    </w:pPr>
    <w:r w:rsidRPr="007F2135">
      <w:rPr>
        <w:color w:val="000000"/>
      </w:rPr>
      <w:t>A-0</w:t>
    </w:r>
    <w:r w:rsidR="00152423">
      <w:rPr>
        <w:color w:val="000000"/>
      </w:rPr>
      <w:t>52</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F395"/>
    <w:multiLevelType w:val="hybridMultilevel"/>
    <w:tmpl w:val="CFAED48C"/>
    <w:lvl w:ilvl="0" w:tplc="B3E29736">
      <w:start w:val="1"/>
      <w:numFmt w:val="bullet"/>
      <w:lvlText w:val=""/>
      <w:lvlJc w:val="left"/>
      <w:pPr>
        <w:ind w:left="720" w:hanging="360"/>
      </w:pPr>
      <w:rPr>
        <w:rFonts w:ascii="Symbol" w:hAnsi="Symbol" w:hint="default"/>
      </w:rPr>
    </w:lvl>
    <w:lvl w:ilvl="1" w:tplc="831C40EC">
      <w:start w:val="1"/>
      <w:numFmt w:val="bullet"/>
      <w:lvlText w:val="o"/>
      <w:lvlJc w:val="left"/>
      <w:pPr>
        <w:ind w:left="1440" w:hanging="360"/>
      </w:pPr>
      <w:rPr>
        <w:rFonts w:ascii="Courier New" w:hAnsi="Courier New" w:hint="default"/>
      </w:rPr>
    </w:lvl>
    <w:lvl w:ilvl="2" w:tplc="202E0FB8">
      <w:start w:val="1"/>
      <w:numFmt w:val="bullet"/>
      <w:lvlText w:val=""/>
      <w:lvlJc w:val="left"/>
      <w:pPr>
        <w:ind w:left="2160" w:hanging="360"/>
      </w:pPr>
      <w:rPr>
        <w:rFonts w:ascii="Wingdings" w:hAnsi="Wingdings" w:hint="default"/>
      </w:rPr>
    </w:lvl>
    <w:lvl w:ilvl="3" w:tplc="6DEEBC66">
      <w:start w:val="1"/>
      <w:numFmt w:val="bullet"/>
      <w:lvlText w:val=""/>
      <w:lvlJc w:val="left"/>
      <w:pPr>
        <w:ind w:left="2880" w:hanging="360"/>
      </w:pPr>
      <w:rPr>
        <w:rFonts w:ascii="Symbol" w:hAnsi="Symbol" w:hint="default"/>
      </w:rPr>
    </w:lvl>
    <w:lvl w:ilvl="4" w:tplc="3022F440">
      <w:start w:val="1"/>
      <w:numFmt w:val="bullet"/>
      <w:lvlText w:val="o"/>
      <w:lvlJc w:val="left"/>
      <w:pPr>
        <w:ind w:left="3600" w:hanging="360"/>
      </w:pPr>
      <w:rPr>
        <w:rFonts w:ascii="Courier New" w:hAnsi="Courier New" w:hint="default"/>
      </w:rPr>
    </w:lvl>
    <w:lvl w:ilvl="5" w:tplc="FA86824C">
      <w:start w:val="1"/>
      <w:numFmt w:val="bullet"/>
      <w:lvlText w:val=""/>
      <w:lvlJc w:val="left"/>
      <w:pPr>
        <w:ind w:left="4320" w:hanging="360"/>
      </w:pPr>
      <w:rPr>
        <w:rFonts w:ascii="Wingdings" w:hAnsi="Wingdings" w:hint="default"/>
      </w:rPr>
    </w:lvl>
    <w:lvl w:ilvl="6" w:tplc="1AFA6606">
      <w:start w:val="1"/>
      <w:numFmt w:val="bullet"/>
      <w:lvlText w:val=""/>
      <w:lvlJc w:val="left"/>
      <w:pPr>
        <w:ind w:left="5040" w:hanging="360"/>
      </w:pPr>
      <w:rPr>
        <w:rFonts w:ascii="Symbol" w:hAnsi="Symbol" w:hint="default"/>
      </w:rPr>
    </w:lvl>
    <w:lvl w:ilvl="7" w:tplc="4F6A2176">
      <w:start w:val="1"/>
      <w:numFmt w:val="bullet"/>
      <w:lvlText w:val="o"/>
      <w:lvlJc w:val="left"/>
      <w:pPr>
        <w:ind w:left="5760" w:hanging="360"/>
      </w:pPr>
      <w:rPr>
        <w:rFonts w:ascii="Courier New" w:hAnsi="Courier New" w:hint="default"/>
      </w:rPr>
    </w:lvl>
    <w:lvl w:ilvl="8" w:tplc="1D7C88CE">
      <w:start w:val="1"/>
      <w:numFmt w:val="bullet"/>
      <w:lvlText w:val=""/>
      <w:lvlJc w:val="left"/>
      <w:pPr>
        <w:ind w:left="6480" w:hanging="360"/>
      </w:pPr>
      <w:rPr>
        <w:rFonts w:ascii="Wingdings" w:hAnsi="Wingdings" w:hint="default"/>
      </w:r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F940746"/>
    <w:multiLevelType w:val="multilevel"/>
    <w:tmpl w:val="2F940746"/>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B876F8"/>
    <w:multiLevelType w:val="multilevel"/>
    <w:tmpl w:val="36B876F8"/>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1752C0"/>
    <w:multiLevelType w:val="multilevel"/>
    <w:tmpl w:val="4C1752C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13"/>
  </w:num>
  <w:num w:numId="2" w16cid:durableId="1844394367">
    <w:abstractNumId w:val="5"/>
  </w:num>
  <w:num w:numId="3" w16cid:durableId="48185947">
    <w:abstractNumId w:val="24"/>
  </w:num>
  <w:num w:numId="4" w16cid:durableId="1783574521">
    <w:abstractNumId w:val="19"/>
  </w:num>
  <w:num w:numId="5" w16cid:durableId="443111931">
    <w:abstractNumId w:val="16"/>
  </w:num>
  <w:num w:numId="6" w16cid:durableId="1153910825">
    <w:abstractNumId w:val="2"/>
  </w:num>
  <w:num w:numId="7" w16cid:durableId="281156772">
    <w:abstractNumId w:val="20"/>
  </w:num>
  <w:num w:numId="8" w16cid:durableId="2092505804">
    <w:abstractNumId w:val="1"/>
  </w:num>
  <w:num w:numId="9" w16cid:durableId="1241595162">
    <w:abstractNumId w:val="4"/>
  </w:num>
  <w:num w:numId="10" w16cid:durableId="1333600705">
    <w:abstractNumId w:val="7"/>
  </w:num>
  <w:num w:numId="11" w16cid:durableId="384835755">
    <w:abstractNumId w:val="8"/>
  </w:num>
  <w:num w:numId="12" w16cid:durableId="1844976573">
    <w:abstractNumId w:val="14"/>
  </w:num>
  <w:num w:numId="13" w16cid:durableId="1566984903">
    <w:abstractNumId w:val="11"/>
  </w:num>
  <w:num w:numId="14" w16cid:durableId="2070571449">
    <w:abstractNumId w:val="21"/>
  </w:num>
  <w:num w:numId="15" w16cid:durableId="486555809">
    <w:abstractNumId w:val="9"/>
  </w:num>
  <w:num w:numId="16" w16cid:durableId="549342782">
    <w:abstractNumId w:val="23"/>
  </w:num>
  <w:num w:numId="17" w16cid:durableId="1839929571">
    <w:abstractNumId w:val="3"/>
  </w:num>
  <w:num w:numId="18" w16cid:durableId="1698197307">
    <w:abstractNumId w:val="6"/>
  </w:num>
  <w:num w:numId="19" w16cid:durableId="2127237579">
    <w:abstractNumId w:val="15"/>
  </w:num>
  <w:num w:numId="20" w16cid:durableId="1307661653">
    <w:abstractNumId w:val="18"/>
  </w:num>
  <w:num w:numId="21" w16cid:durableId="1707103882">
    <w:abstractNumId w:val="22"/>
  </w:num>
  <w:num w:numId="22" w16cid:durableId="365444660">
    <w:abstractNumId w:val="25"/>
  </w:num>
  <w:num w:numId="23" w16cid:durableId="1242374284">
    <w:abstractNumId w:val="0"/>
  </w:num>
  <w:num w:numId="24" w16cid:durableId="1945962730">
    <w:abstractNumId w:val="12"/>
  </w:num>
  <w:num w:numId="25" w16cid:durableId="208955311">
    <w:abstractNumId w:val="10"/>
  </w:num>
  <w:num w:numId="26" w16cid:durableId="4325553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437B2"/>
    <w:rsid w:val="00150C87"/>
    <w:rsid w:val="00152423"/>
    <w:rsid w:val="00152B9A"/>
    <w:rsid w:val="00157BB5"/>
    <w:rsid w:val="001613A5"/>
    <w:rsid w:val="00164E97"/>
    <w:rsid w:val="001677A8"/>
    <w:rsid w:val="0017795B"/>
    <w:rsid w:val="00185EA9"/>
    <w:rsid w:val="00191362"/>
    <w:rsid w:val="00194A5E"/>
    <w:rsid w:val="00194D59"/>
    <w:rsid w:val="0019674C"/>
    <w:rsid w:val="001969E8"/>
    <w:rsid w:val="001A1EA2"/>
    <w:rsid w:val="001A380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1AF6"/>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525CB"/>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464BA"/>
    <w:rsid w:val="00E64141"/>
    <w:rsid w:val="00E65583"/>
    <w:rsid w:val="00E67017"/>
    <w:rsid w:val="00E673B7"/>
    <w:rsid w:val="00E73B27"/>
    <w:rsid w:val="00E75D0B"/>
    <w:rsid w:val="00E83E85"/>
    <w:rsid w:val="00E8449E"/>
    <w:rsid w:val="00E87812"/>
    <w:rsid w:val="00E90225"/>
    <w:rsid w:val="00E93811"/>
    <w:rsid w:val="00E97260"/>
    <w:rsid w:val="00EA3595"/>
    <w:rsid w:val="00EA384C"/>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0315B"/>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2025-01-23T03:05:00Z</cp:lastPrinted>
  <dcterms:created xsi:type="dcterms:W3CDTF">2025-04-04T21:26:00Z</dcterms:created>
  <dcterms:modified xsi:type="dcterms:W3CDTF">2025-04-07T14:02:00Z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