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7D325A" w:rsidRDefault="00850770">
      <w:pPr>
        <w:jc w:val="center"/>
        <w:rPr>
          <w:rFonts w:ascii="Book Antiqua" w:eastAsia="Book Antiqua" w:hAnsi="Book Antiqua" w:cs="Book Antiqua"/>
          <w:bCs/>
          <w:color w:val="000000" w:themeColor="text1"/>
          <w:sz w:val="28"/>
          <w:szCs w:val="28"/>
        </w:rPr>
      </w:pPr>
      <w:r w:rsidRPr="007D325A">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7D325A">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5217BAE2"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8B718E">
        <w:rPr>
          <w:rFonts w:ascii="Book Antiqua" w:hAnsi="Book Antiqua"/>
          <w:b/>
          <w:color w:val="000000" w:themeColor="text1"/>
          <w:sz w:val="52"/>
          <w:szCs w:val="52"/>
        </w:rPr>
        <w:t xml:space="preserve"> 507</w:t>
      </w:r>
    </w:p>
    <w:p w14:paraId="4A8A7A6F" w14:textId="77777777" w:rsidR="00950505" w:rsidRPr="007F2135" w:rsidRDefault="00950505" w:rsidP="00950505">
      <w:pPr>
        <w:jc w:val="center"/>
        <w:rPr>
          <w:rFonts w:ascii="Book Antiqua" w:hAnsi="Book Antiqua"/>
          <w:color w:val="000000" w:themeColor="text1"/>
        </w:rPr>
      </w:pPr>
    </w:p>
    <w:p w14:paraId="3D87D176" w14:textId="3BC03E22" w:rsidR="00950505" w:rsidRPr="007F2135" w:rsidRDefault="007D325A"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Atiles;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González;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Morey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18513451" w:rsidR="00950505" w:rsidRPr="007F2135" w:rsidRDefault="00116E1C" w:rsidP="00950505">
      <w:pPr>
        <w:jc w:val="center"/>
        <w:rPr>
          <w:rFonts w:ascii="Book Antiqua" w:hAnsi="Book Antiqua"/>
          <w:color w:val="000000" w:themeColor="text1"/>
        </w:rPr>
      </w:pPr>
      <w:r w:rsidRPr="00116E1C">
        <w:rPr>
          <w:rFonts w:ascii="Book Antiqua" w:hAnsi="Book Antiqua"/>
          <w:color w:val="000000" w:themeColor="text1"/>
        </w:rPr>
        <w:t>Referido a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64D70744" w14:textId="064196B3" w:rsidR="00225AE5" w:rsidRPr="00E15C97" w:rsidRDefault="00850770" w:rsidP="00225AE5">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225AE5" w:rsidRPr="00E15C97">
        <w:rPr>
          <w:rFonts w:ascii="Book Antiqua" w:hAnsi="Book Antiqua"/>
          <w:color w:val="000000" w:themeColor="text1"/>
        </w:rPr>
        <w:t>enmendar la</w:t>
      </w:r>
      <w:r w:rsidR="00506732">
        <w:rPr>
          <w:rFonts w:ascii="Book Antiqua" w:hAnsi="Book Antiqua"/>
          <w:color w:val="000000" w:themeColor="text1"/>
        </w:rPr>
        <w:t>s</w:t>
      </w:r>
      <w:r w:rsidR="00225AE5">
        <w:rPr>
          <w:rFonts w:ascii="Book Antiqua" w:hAnsi="Book Antiqua"/>
          <w:color w:val="000000" w:themeColor="text1"/>
        </w:rPr>
        <w:t xml:space="preserve"> Secciones </w:t>
      </w:r>
      <w:r w:rsidR="00225AE5" w:rsidRPr="000E2B63">
        <w:rPr>
          <w:rFonts w:ascii="Book Antiqua" w:hAnsi="Book Antiqua"/>
          <w:color w:val="000000" w:themeColor="text1"/>
        </w:rPr>
        <w:t xml:space="preserve">1020.08, 2082.02, 2082.03, 2082.04, 2082.05, </w:t>
      </w:r>
      <w:r w:rsidR="00225AE5">
        <w:rPr>
          <w:rFonts w:ascii="Book Antiqua" w:hAnsi="Book Antiqua"/>
          <w:color w:val="000000" w:themeColor="text1"/>
        </w:rPr>
        <w:t xml:space="preserve">y </w:t>
      </w:r>
      <w:r w:rsidR="00225AE5" w:rsidRPr="000E2B63">
        <w:rPr>
          <w:rFonts w:ascii="Book Antiqua" w:hAnsi="Book Antiqua"/>
          <w:color w:val="000000" w:themeColor="text1"/>
        </w:rPr>
        <w:t>2083.01</w:t>
      </w:r>
      <w:r w:rsidR="00506732">
        <w:rPr>
          <w:rFonts w:ascii="Book Antiqua" w:hAnsi="Book Antiqua"/>
          <w:color w:val="000000" w:themeColor="text1"/>
        </w:rPr>
        <w:t xml:space="preserve"> de la</w:t>
      </w:r>
      <w:r w:rsidR="00225AE5" w:rsidRPr="000E2B63">
        <w:rPr>
          <w:rFonts w:ascii="Book Antiqua" w:hAnsi="Book Antiqua"/>
          <w:color w:val="000000" w:themeColor="text1"/>
        </w:rPr>
        <w:t xml:space="preserve"> Ley 60-2019, según enmendada, conocida como “Código de Incentivos de Puerto Rico”, </w:t>
      </w:r>
      <w:r w:rsidR="00225AE5">
        <w:rPr>
          <w:rFonts w:ascii="Book Antiqua" w:hAnsi="Book Antiqua"/>
          <w:color w:val="000000" w:themeColor="text1"/>
        </w:rPr>
        <w:t>con el fin de aclarar las disposiciones relacionadas a los agricultores bona fide a quienes le aplicarán los beneficios de los incentivos, simplificar los requisitos de cumplimiento</w:t>
      </w:r>
      <w:r w:rsidR="00225AE5" w:rsidRPr="009860AE">
        <w:rPr>
          <w:rFonts w:ascii="Book Antiqua" w:hAnsi="Book Antiqua"/>
          <w:color w:val="000000" w:themeColor="text1"/>
        </w:rPr>
        <w:t>; y para otros fines</w:t>
      </w:r>
      <w:r w:rsidR="00225AE5">
        <w:rPr>
          <w:rFonts w:ascii="Book Antiqua" w:hAnsi="Book Antiqua"/>
          <w:color w:val="000000" w:themeColor="text1"/>
        </w:rPr>
        <w:t xml:space="preserve"> relacionados</w:t>
      </w:r>
      <w:r w:rsidR="00225AE5" w:rsidRPr="009860AE">
        <w:rPr>
          <w:rFonts w:ascii="Book Antiqua" w:hAnsi="Book Antiqua"/>
          <w:color w:val="000000" w:themeColor="text1"/>
        </w:rPr>
        <w:t>.</w:t>
      </w:r>
      <w:r w:rsidR="00225AE5" w:rsidRPr="00E15C97">
        <w:rPr>
          <w:rFonts w:ascii="Book Antiqua" w:hAnsi="Book Antiqua"/>
          <w:color w:val="000000" w:themeColor="text1"/>
        </w:rPr>
        <w:t xml:space="preserve"> </w:t>
      </w:r>
    </w:p>
    <w:p w14:paraId="726F9974" w14:textId="283E99BD" w:rsidR="000B77A8" w:rsidRPr="007F2135" w:rsidRDefault="000B77A8" w:rsidP="00BE518F">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4C77C72C" w14:textId="77777777" w:rsidR="00447F1B" w:rsidRDefault="00447F1B" w:rsidP="00447F1B">
      <w:pPr>
        <w:jc w:val="both"/>
        <w:rPr>
          <w:rFonts w:ascii="Book Antiqua" w:eastAsia="Book Antiqua" w:hAnsi="Book Antiqua" w:cs="Book Antiqua"/>
          <w:color w:val="000000" w:themeColor="text1"/>
        </w:rPr>
      </w:pPr>
    </w:p>
    <w:p w14:paraId="3D4E4492" w14:textId="2C8DD110" w:rsidR="00225AE5" w:rsidRDefault="00225AE5" w:rsidP="00225AE5">
      <w:pPr>
        <w:suppressLineNumbers/>
        <w:ind w:firstLine="720"/>
        <w:jc w:val="both"/>
        <w:rPr>
          <w:rFonts w:ascii="Book Antiqua" w:hAnsi="Book Antiqua"/>
          <w:color w:val="000000" w:themeColor="text1"/>
        </w:rPr>
      </w:pPr>
      <w:r w:rsidRPr="007A669B">
        <w:rPr>
          <w:rFonts w:ascii="Book Antiqua" w:hAnsi="Book Antiqua"/>
          <w:color w:val="000000" w:themeColor="text1"/>
        </w:rPr>
        <w:t>Puerto Rico s</w:t>
      </w:r>
      <w:r>
        <w:rPr>
          <w:rFonts w:ascii="Book Antiqua" w:hAnsi="Book Antiqua"/>
          <w:color w:val="000000" w:themeColor="text1"/>
        </w:rPr>
        <w:t>ó</w:t>
      </w:r>
      <w:r w:rsidRPr="007A669B">
        <w:rPr>
          <w:rFonts w:ascii="Book Antiqua" w:hAnsi="Book Antiqua"/>
          <w:color w:val="000000" w:themeColor="text1"/>
        </w:rPr>
        <w:t xml:space="preserve">lo produce un </w:t>
      </w:r>
      <w:r>
        <w:rPr>
          <w:rFonts w:ascii="Book Antiqua" w:hAnsi="Book Antiqua"/>
          <w:color w:val="000000" w:themeColor="text1"/>
        </w:rPr>
        <w:t>quince por ciento (</w:t>
      </w:r>
      <w:r w:rsidRPr="007A669B">
        <w:rPr>
          <w:rFonts w:ascii="Book Antiqua" w:hAnsi="Book Antiqua"/>
          <w:color w:val="000000" w:themeColor="text1"/>
        </w:rPr>
        <w:t>15%</w:t>
      </w:r>
      <w:r>
        <w:rPr>
          <w:rFonts w:ascii="Book Antiqua" w:hAnsi="Book Antiqua"/>
          <w:color w:val="000000" w:themeColor="text1"/>
        </w:rPr>
        <w:t>)</w:t>
      </w:r>
      <w:r w:rsidRPr="007A669B">
        <w:rPr>
          <w:rFonts w:ascii="Book Antiqua" w:hAnsi="Book Antiqua"/>
          <w:color w:val="000000" w:themeColor="text1"/>
        </w:rPr>
        <w:t xml:space="preserve"> de </w:t>
      </w:r>
      <w:r>
        <w:rPr>
          <w:rFonts w:ascii="Book Antiqua" w:hAnsi="Book Antiqua"/>
          <w:color w:val="000000" w:themeColor="text1"/>
        </w:rPr>
        <w:t>lo</w:t>
      </w:r>
      <w:r w:rsidRPr="007A669B">
        <w:rPr>
          <w:rFonts w:ascii="Book Antiqua" w:hAnsi="Book Antiqua"/>
          <w:color w:val="000000" w:themeColor="text1"/>
        </w:rPr>
        <w:t>s alimentos</w:t>
      </w:r>
      <w:r>
        <w:rPr>
          <w:rFonts w:ascii="Book Antiqua" w:hAnsi="Book Antiqua"/>
          <w:color w:val="000000" w:themeColor="text1"/>
        </w:rPr>
        <w:t xml:space="preserve"> que consume</w:t>
      </w:r>
      <w:r w:rsidRPr="007A669B">
        <w:rPr>
          <w:rFonts w:ascii="Book Antiqua" w:hAnsi="Book Antiqua"/>
          <w:color w:val="000000" w:themeColor="text1"/>
        </w:rPr>
        <w:t xml:space="preserve">, lo que nos coloca en una precaria situación a la hora de velar por nuestra </w:t>
      </w:r>
      <w:r>
        <w:rPr>
          <w:rFonts w:ascii="Book Antiqua" w:hAnsi="Book Antiqua"/>
          <w:color w:val="000000" w:themeColor="text1"/>
        </w:rPr>
        <w:t>correcta y continua alimentación; estableciendo también una enorme oportunidad de mercado para la agricultura local</w:t>
      </w:r>
      <w:r w:rsidRPr="007A669B">
        <w:rPr>
          <w:rFonts w:ascii="Book Antiqua" w:hAnsi="Book Antiqua"/>
          <w:color w:val="000000" w:themeColor="text1"/>
        </w:rPr>
        <w:t xml:space="preserve">. </w:t>
      </w:r>
    </w:p>
    <w:p w14:paraId="50DAF266" w14:textId="77777777" w:rsidR="00225AE5" w:rsidRPr="00B42F30" w:rsidRDefault="00225AE5" w:rsidP="00225AE5">
      <w:pPr>
        <w:suppressLineNumbers/>
        <w:ind w:firstLine="720"/>
        <w:jc w:val="both"/>
        <w:rPr>
          <w:rFonts w:ascii="Book Antiqua" w:hAnsi="Book Antiqua"/>
          <w:color w:val="000000" w:themeColor="text1"/>
        </w:rPr>
      </w:pPr>
    </w:p>
    <w:p w14:paraId="7EA974B8" w14:textId="77777777" w:rsidR="00225AE5" w:rsidRDefault="00225AE5" w:rsidP="00225AE5">
      <w:pPr>
        <w:suppressLineNumbers/>
        <w:ind w:firstLine="720"/>
        <w:jc w:val="both"/>
        <w:rPr>
          <w:rFonts w:ascii="Book Antiqua" w:hAnsi="Book Antiqua"/>
          <w:color w:val="000000" w:themeColor="text1"/>
        </w:rPr>
      </w:pPr>
      <w:r w:rsidRPr="007A669B">
        <w:rPr>
          <w:rFonts w:ascii="Book Antiqua" w:hAnsi="Book Antiqua"/>
          <w:color w:val="000000" w:themeColor="text1"/>
        </w:rPr>
        <w:t xml:space="preserve">Aun cuando hay un esfuerzo por incrementar esa producción durante los pasados años, lo cierto es que aún hay mucho camino por seguir. De acuerdo con el último Censo </w:t>
      </w:r>
      <w:r w:rsidRPr="007A669B">
        <w:rPr>
          <w:rFonts w:ascii="Book Antiqua" w:hAnsi="Book Antiqua"/>
          <w:color w:val="000000" w:themeColor="text1"/>
        </w:rPr>
        <w:lastRenderedPageBreak/>
        <w:t>Agrícola en el 2022, se identificaron 7602 agricultores, quienes trabajan unas 494,481 cuerdas de terrenos promediando un tamaño de finca de unas 65 cuerdas. Cuando comparamos con el censo anterior, vemos un incremento de 1.4% en el uso del terreno agrícola y un 9.6% de incremento en el tamaño de las fincas, lo que indica que hay un impulso en desempeño de la agricultura. Aun así, vemos que el número de agricultores se redujo en un -7.6%, con una edad promedio de 60.3 años.</w:t>
      </w:r>
    </w:p>
    <w:p w14:paraId="4ECF0FCA" w14:textId="77777777" w:rsidR="00225AE5" w:rsidRDefault="00225AE5" w:rsidP="00225AE5">
      <w:pPr>
        <w:suppressLineNumbers/>
        <w:ind w:firstLine="720"/>
        <w:jc w:val="both"/>
        <w:rPr>
          <w:rFonts w:ascii="Book Antiqua" w:hAnsi="Book Antiqua"/>
          <w:color w:val="000000" w:themeColor="text1"/>
        </w:rPr>
      </w:pPr>
    </w:p>
    <w:p w14:paraId="45EFB553" w14:textId="77777777" w:rsidR="00225AE5" w:rsidRDefault="00225AE5" w:rsidP="00225AE5">
      <w:pPr>
        <w:suppressLineNumbers/>
        <w:ind w:firstLine="720"/>
        <w:jc w:val="both"/>
        <w:rPr>
          <w:rFonts w:ascii="Book Antiqua" w:hAnsi="Book Antiqua"/>
          <w:color w:val="000000" w:themeColor="text1"/>
        </w:rPr>
      </w:pPr>
      <w:r>
        <w:rPr>
          <w:rFonts w:ascii="Book Antiqua" w:hAnsi="Book Antiqua"/>
          <w:color w:val="000000" w:themeColor="text1"/>
        </w:rPr>
        <w:t>Esta Administraci</w:t>
      </w:r>
      <w:r w:rsidRPr="00361E21">
        <w:rPr>
          <w:rFonts w:ascii="Book Antiqua" w:hAnsi="Book Antiqua"/>
          <w:color w:val="000000" w:themeColor="text1"/>
        </w:rPr>
        <w:t>ón tiene un f</w:t>
      </w:r>
      <w:r>
        <w:rPr>
          <w:rFonts w:ascii="Book Antiqua" w:hAnsi="Book Antiqua"/>
          <w:color w:val="000000" w:themeColor="text1"/>
        </w:rPr>
        <w:t xml:space="preserve">irme compromiso con promover la agricultura puertorriqueña. Para esto, lograremos impulsar una serie de iniciativas que aumenten nuestra producción local, que nos inserte en nuestro mercado natural, es decir, Estados Unidos, y que permitan lograr llevar a nuestras mesas alimentos y productos de gran calidad a precios competitivos. En conformidad, esta medida tendrá los siguientes objetivos fundamentales: </w:t>
      </w:r>
    </w:p>
    <w:p w14:paraId="2917AEBF" w14:textId="77777777" w:rsidR="00225AE5" w:rsidRDefault="00225AE5" w:rsidP="00225AE5">
      <w:pPr>
        <w:suppressLineNumbers/>
        <w:ind w:firstLine="720"/>
        <w:jc w:val="both"/>
        <w:rPr>
          <w:rFonts w:ascii="Book Antiqua" w:hAnsi="Book Antiqua"/>
          <w:color w:val="000000" w:themeColor="text1"/>
        </w:rPr>
      </w:pPr>
    </w:p>
    <w:p w14:paraId="180BFC02" w14:textId="77777777" w:rsidR="00225AE5" w:rsidRPr="00BA2A8A" w:rsidRDefault="00225AE5" w:rsidP="00225AE5">
      <w:pPr>
        <w:pStyle w:val="ListParagraph"/>
        <w:numPr>
          <w:ilvl w:val="0"/>
          <w:numId w:val="23"/>
        </w:numPr>
        <w:suppressLineNumbers/>
        <w:jc w:val="both"/>
        <w:rPr>
          <w:rFonts w:ascii="Book Antiqua" w:hAnsi="Book Antiqua"/>
          <w:color w:val="000000" w:themeColor="text1"/>
        </w:rPr>
      </w:pPr>
      <w:r w:rsidRPr="00BA2A8A">
        <w:rPr>
          <w:rFonts w:ascii="Book Antiqua" w:hAnsi="Book Antiqua"/>
          <w:color w:val="000000" w:themeColor="text1"/>
        </w:rPr>
        <w:t>Impulsar la autosuficiencia alimentaria mediante el fortalecimiento de la producción agrícola local.</w:t>
      </w:r>
    </w:p>
    <w:p w14:paraId="1ECF9DD0" w14:textId="77777777" w:rsidR="00225AE5" w:rsidRPr="00BA2A8A" w:rsidRDefault="00225AE5" w:rsidP="00225AE5">
      <w:pPr>
        <w:pStyle w:val="ListParagraph"/>
        <w:numPr>
          <w:ilvl w:val="0"/>
          <w:numId w:val="23"/>
        </w:numPr>
        <w:suppressLineNumbers/>
        <w:jc w:val="both"/>
        <w:rPr>
          <w:rFonts w:ascii="Book Antiqua" w:hAnsi="Book Antiqua"/>
          <w:color w:val="000000" w:themeColor="text1"/>
        </w:rPr>
      </w:pPr>
      <w:r w:rsidRPr="00BA2A8A">
        <w:rPr>
          <w:rFonts w:ascii="Book Antiqua" w:hAnsi="Book Antiqua"/>
          <w:color w:val="000000" w:themeColor="text1"/>
        </w:rPr>
        <w:t>Clarificar y uniformar los criterios de elegibilidad para acceder a los incentivos contributivos dirigidos a agricultores bona fide.</w:t>
      </w:r>
    </w:p>
    <w:p w14:paraId="1DE5FA2C" w14:textId="77777777" w:rsidR="00225AE5" w:rsidRPr="00BA2A8A" w:rsidRDefault="00225AE5" w:rsidP="00225AE5">
      <w:pPr>
        <w:pStyle w:val="ListParagraph"/>
        <w:numPr>
          <w:ilvl w:val="0"/>
          <w:numId w:val="23"/>
        </w:numPr>
        <w:suppressLineNumbers/>
        <w:jc w:val="both"/>
        <w:rPr>
          <w:rFonts w:ascii="Book Antiqua" w:hAnsi="Book Antiqua"/>
          <w:color w:val="000000" w:themeColor="text1"/>
        </w:rPr>
      </w:pPr>
      <w:r w:rsidRPr="00BA2A8A">
        <w:rPr>
          <w:rFonts w:ascii="Book Antiqua" w:hAnsi="Book Antiqua"/>
          <w:color w:val="000000" w:themeColor="text1"/>
        </w:rPr>
        <w:t>Ampliar el acceso efectivo a beneficios como la exención de contribuciones sobre ingresos, propiedad, patentes municipales, IVU y arbitrios.</w:t>
      </w:r>
    </w:p>
    <w:p w14:paraId="1ABB3A03" w14:textId="77777777" w:rsidR="00225AE5" w:rsidRPr="00BA2A8A" w:rsidRDefault="00225AE5" w:rsidP="00225AE5">
      <w:pPr>
        <w:pStyle w:val="ListParagraph"/>
        <w:numPr>
          <w:ilvl w:val="0"/>
          <w:numId w:val="23"/>
        </w:numPr>
        <w:suppressLineNumbers/>
        <w:jc w:val="both"/>
        <w:rPr>
          <w:rFonts w:ascii="Book Antiqua" w:hAnsi="Book Antiqua"/>
          <w:color w:val="000000" w:themeColor="text1"/>
        </w:rPr>
      </w:pPr>
      <w:r w:rsidRPr="00BA2A8A">
        <w:rPr>
          <w:rFonts w:ascii="Book Antiqua" w:hAnsi="Book Antiqua"/>
          <w:color w:val="000000" w:themeColor="text1"/>
        </w:rPr>
        <w:t>Establecer un proceso de certificación más estructurado y predecible, bajo la responsabilidad del Secretario de Agricultura.</w:t>
      </w:r>
    </w:p>
    <w:p w14:paraId="1BAD3845" w14:textId="77777777" w:rsidR="00225AE5" w:rsidRDefault="00225AE5" w:rsidP="00225AE5">
      <w:pPr>
        <w:pStyle w:val="ListParagraph"/>
        <w:numPr>
          <w:ilvl w:val="0"/>
          <w:numId w:val="23"/>
        </w:numPr>
        <w:suppressLineNumbers/>
        <w:jc w:val="both"/>
        <w:rPr>
          <w:rFonts w:ascii="Book Antiqua" w:hAnsi="Book Antiqua"/>
          <w:color w:val="000000" w:themeColor="text1"/>
        </w:rPr>
      </w:pPr>
      <w:r w:rsidRPr="00BA2A8A">
        <w:rPr>
          <w:rFonts w:ascii="Book Antiqua" w:hAnsi="Book Antiqua"/>
          <w:color w:val="000000" w:themeColor="text1"/>
        </w:rPr>
        <w:t>Elevar la competitividad del sector agroindustrial mediante un entorno contributivo más claro y accesible.</w:t>
      </w:r>
    </w:p>
    <w:p w14:paraId="16D14C99" w14:textId="77777777" w:rsidR="00225AE5" w:rsidRPr="00246D52" w:rsidRDefault="00225AE5" w:rsidP="00225AE5">
      <w:pPr>
        <w:pStyle w:val="ListParagraph"/>
        <w:suppressLineNumbers/>
        <w:jc w:val="both"/>
        <w:rPr>
          <w:rFonts w:ascii="Book Antiqua" w:hAnsi="Book Antiqua"/>
          <w:color w:val="000000" w:themeColor="text1"/>
        </w:rPr>
      </w:pPr>
    </w:p>
    <w:p w14:paraId="5F5464DD" w14:textId="77777777" w:rsidR="00225AE5" w:rsidRPr="00E351B1" w:rsidRDefault="00225AE5" w:rsidP="00225AE5">
      <w:pPr>
        <w:suppressLineNumbers/>
        <w:ind w:firstLine="720"/>
        <w:jc w:val="both"/>
        <w:rPr>
          <w:rFonts w:ascii="Book Antiqua" w:hAnsi="Book Antiqua"/>
          <w:color w:val="000000" w:themeColor="text1"/>
        </w:rPr>
      </w:pPr>
      <w:r>
        <w:rPr>
          <w:rFonts w:ascii="Book Antiqua" w:hAnsi="Book Antiqua"/>
          <w:color w:val="000000" w:themeColor="text1"/>
        </w:rPr>
        <w:t xml:space="preserve">Es por todo lo anterior que la intención específica de esta legislación es </w:t>
      </w:r>
      <w:r w:rsidRPr="00E351B1">
        <w:rPr>
          <w:rFonts w:ascii="Book Antiqua" w:hAnsi="Book Antiqua"/>
          <w:color w:val="000000" w:themeColor="text1"/>
        </w:rPr>
        <w:t>reforzar</w:t>
      </w:r>
      <w:r>
        <w:rPr>
          <w:rFonts w:ascii="Book Antiqua" w:hAnsi="Book Antiqua"/>
          <w:color w:val="000000" w:themeColor="text1"/>
        </w:rPr>
        <w:t xml:space="preserve"> el Código de Inventivos, aclarando la aplicación de los beneficios para los agricultores </w:t>
      </w:r>
      <w:r w:rsidRPr="006D10E4">
        <w:rPr>
          <w:rFonts w:ascii="Book Antiqua" w:hAnsi="Book Antiqua"/>
          <w:i/>
          <w:iCs/>
          <w:color w:val="000000" w:themeColor="text1"/>
        </w:rPr>
        <w:t xml:space="preserve">bona fide </w:t>
      </w:r>
      <w:r>
        <w:rPr>
          <w:rFonts w:ascii="Book Antiqua" w:hAnsi="Book Antiqua"/>
          <w:color w:val="000000" w:themeColor="text1"/>
        </w:rPr>
        <w:t>y simplificando las medidas de cumplimiento. De esta manera continuamos ampliando nuestra promesa de estudiar todos los incentivos agrícolas para ampliar</w:t>
      </w:r>
      <w:r w:rsidRPr="00E351B1">
        <w:rPr>
          <w:rFonts w:ascii="Book Antiqua" w:hAnsi="Book Antiqua"/>
          <w:color w:val="000000" w:themeColor="text1"/>
        </w:rPr>
        <w:t xml:space="preserve"> aquellas áreas donde están dando resultados y para impulsar cambios en aquellas áreas prioritarias en la que los incentivos no están rindiendo su propósito.</w:t>
      </w:r>
    </w:p>
    <w:p w14:paraId="017E1998" w14:textId="77777777" w:rsidR="009807A4" w:rsidRPr="00790693" w:rsidRDefault="009807A4" w:rsidP="009807A4">
      <w:pPr>
        <w:jc w:val="both"/>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308172C0" w14:textId="77777777" w:rsidR="00225AE5" w:rsidRPr="006D10E4" w:rsidRDefault="00225AE5" w:rsidP="00225AE5">
      <w:pPr>
        <w:pStyle w:val="Heading1"/>
        <w:rPr>
          <w:color w:val="000000" w:themeColor="text1"/>
        </w:rPr>
      </w:pPr>
      <w:r w:rsidRPr="006D10E4">
        <w:rPr>
          <w:color w:val="000000" w:themeColor="text1"/>
        </w:rPr>
        <w:t>Artículo 1.- Se enmienda el párrafo (1) y se añade un párrafo (3) al apartado (a) de la Sección 1020.08 de la Ley 60-2019, según enmendada, para que se lea como sigue:</w:t>
      </w:r>
    </w:p>
    <w:p w14:paraId="711BFA14" w14:textId="77777777" w:rsidR="00225AE5" w:rsidRPr="006D10E4" w:rsidRDefault="00225AE5" w:rsidP="00225AE5">
      <w:pPr>
        <w:spacing w:line="480" w:lineRule="auto"/>
        <w:jc w:val="both"/>
        <w:rPr>
          <w:rFonts w:ascii="Book Antiqua" w:hAnsi="Book Antiqua"/>
          <w:color w:val="000000" w:themeColor="text1"/>
          <w:lang w:val="es-ES"/>
        </w:rPr>
      </w:pPr>
      <w:r w:rsidRPr="006D10E4">
        <w:rPr>
          <w:rFonts w:ascii="Book Antiqua" w:hAnsi="Book Antiqua"/>
          <w:color w:val="000000" w:themeColor="text1"/>
          <w:lang w:val="es-ES"/>
        </w:rPr>
        <w:t>“Sección 1020.08. — Definiciones Aplicables a Actividades de Agroindustrias. —</w:t>
      </w:r>
    </w:p>
    <w:p w14:paraId="5955B24C" w14:textId="77777777" w:rsidR="00225AE5" w:rsidRPr="006D10E4" w:rsidRDefault="00225AE5" w:rsidP="00225AE5">
      <w:pPr>
        <w:spacing w:line="480" w:lineRule="auto"/>
        <w:ind w:left="720" w:hanging="360"/>
        <w:jc w:val="both"/>
        <w:rPr>
          <w:rFonts w:ascii="Book Antiqua" w:hAnsi="Book Antiqua"/>
          <w:color w:val="000000" w:themeColor="text1"/>
          <w:lang w:val="es-ES"/>
        </w:rPr>
      </w:pPr>
      <w:r w:rsidRPr="006D10E4">
        <w:rPr>
          <w:rFonts w:ascii="Book Antiqua" w:hAnsi="Book Antiqua"/>
          <w:color w:val="000000" w:themeColor="text1"/>
          <w:lang w:val="es-ES"/>
        </w:rPr>
        <w:t>(a) …</w:t>
      </w:r>
    </w:p>
    <w:p w14:paraId="47A5F024" w14:textId="77777777" w:rsidR="00225AE5" w:rsidRPr="006D10E4" w:rsidRDefault="00225AE5" w:rsidP="00225AE5">
      <w:pPr>
        <w:spacing w:line="480" w:lineRule="auto"/>
        <w:ind w:left="1080" w:hanging="360"/>
        <w:jc w:val="both"/>
        <w:rPr>
          <w:rFonts w:ascii="Book Antiqua" w:hAnsi="Book Antiqua"/>
          <w:color w:val="000000" w:themeColor="text1"/>
          <w:lang w:val="es-ES"/>
        </w:rPr>
      </w:pPr>
      <w:r w:rsidRPr="006D10E4">
        <w:rPr>
          <w:rFonts w:ascii="Book Antiqua" w:hAnsi="Book Antiqua"/>
          <w:color w:val="000000" w:themeColor="text1"/>
          <w:lang w:val="es-ES"/>
        </w:rPr>
        <w:lastRenderedPageBreak/>
        <w:t xml:space="preserve">(1) Agricultor Bona Fide. — Significa toda persona natural o jurídica que durante el Año Contributivo para el cual reclama deducciones, exenciones o beneficios provistos por el Capítulo 8 del Subtítulo B de este Código tenga una </w:t>
      </w:r>
      <w:r w:rsidRPr="006D10E4">
        <w:rPr>
          <w:rFonts w:ascii="Book Antiqua" w:hAnsi="Book Antiqua"/>
          <w:b/>
          <w:bCs/>
          <w:color w:val="000000" w:themeColor="text1"/>
          <w:lang w:val="es-ES"/>
        </w:rPr>
        <w:t>[certificación]</w:t>
      </w:r>
      <w:r w:rsidRPr="006D10E4">
        <w:rPr>
          <w:rFonts w:ascii="Book Antiqua" w:hAnsi="Book Antiqua"/>
          <w:color w:val="000000" w:themeColor="text1"/>
          <w:lang w:val="es-ES"/>
        </w:rPr>
        <w:t xml:space="preserve"> </w:t>
      </w:r>
      <w:r w:rsidRPr="006D10E4">
        <w:rPr>
          <w:rFonts w:ascii="Book Antiqua" w:hAnsi="Book Antiqua"/>
          <w:i/>
          <w:iCs/>
          <w:color w:val="000000" w:themeColor="text1"/>
          <w:lang w:val="es-ES"/>
        </w:rPr>
        <w:t>Certificación de Agricultor Bona Fide</w:t>
      </w:r>
      <w:r w:rsidRPr="006D10E4">
        <w:rPr>
          <w:rFonts w:ascii="Book Antiqua" w:hAnsi="Book Antiqua"/>
          <w:color w:val="000000" w:themeColor="text1"/>
          <w:lang w:val="es-ES"/>
        </w:rPr>
        <w:t xml:space="preserve"> vigente. [</w:t>
      </w:r>
      <w:r w:rsidRPr="006D10E4">
        <w:rPr>
          <w:rFonts w:ascii="Book Antiqua" w:hAnsi="Book Antiqua"/>
          <w:b/>
          <w:bCs/>
          <w:color w:val="000000" w:themeColor="text1"/>
          <w:lang w:val="es-ES"/>
        </w:rPr>
        <w:t>expedida por el Secretario de Agricultura, la cual certifique que durante dicho año se dedicó a la explotación de una actividad que cualifica como un negocio agroindustrial, según dicha actividad se describe en el párrafo (2) del apartado (a) de la Sección 2081.01, y que derive el cincuenta y un por ciento (51%) o más de su ingreso bruto de un negocio agroindustrial como operador, dueño o arrendatario, según conste en su planilla de contribución sobre ingresos o cincuenta y un por ciento (51%) del valor de la producción y/o inversión de un negocio agroindustrial como operador, dueño o arrendatario.]</w:t>
      </w:r>
    </w:p>
    <w:p w14:paraId="43FA6973" w14:textId="77777777" w:rsidR="00225AE5" w:rsidRPr="006D10E4" w:rsidRDefault="00225AE5" w:rsidP="00225AE5">
      <w:pPr>
        <w:spacing w:line="480" w:lineRule="auto"/>
        <w:ind w:left="1080" w:hanging="360"/>
        <w:jc w:val="both"/>
        <w:rPr>
          <w:rFonts w:ascii="Book Antiqua" w:hAnsi="Book Antiqua"/>
          <w:color w:val="000000" w:themeColor="text1"/>
          <w:lang w:val="es-ES"/>
        </w:rPr>
      </w:pPr>
      <w:r w:rsidRPr="006D10E4">
        <w:rPr>
          <w:rFonts w:ascii="Book Antiqua" w:hAnsi="Book Antiqua"/>
          <w:color w:val="000000" w:themeColor="text1"/>
          <w:lang w:val="es-ES"/>
        </w:rPr>
        <w:t>(2) …</w:t>
      </w:r>
    </w:p>
    <w:p w14:paraId="78AC287B" w14:textId="77777777" w:rsidR="00225AE5" w:rsidRPr="006D10E4" w:rsidRDefault="00225AE5" w:rsidP="00225AE5">
      <w:pPr>
        <w:spacing w:line="480" w:lineRule="auto"/>
        <w:ind w:left="1080" w:hanging="360"/>
        <w:jc w:val="both"/>
        <w:rPr>
          <w:rFonts w:ascii="Book Antiqua" w:hAnsi="Book Antiqua"/>
          <w:color w:val="000000" w:themeColor="text1"/>
          <w:lang w:val="es-ES"/>
        </w:rPr>
      </w:pPr>
      <w:r w:rsidRPr="006D10E4">
        <w:rPr>
          <w:rFonts w:ascii="Book Antiqua" w:hAnsi="Book Antiqua"/>
          <w:i/>
          <w:iCs/>
          <w:color w:val="000000" w:themeColor="text1"/>
          <w:lang w:val="es-ES"/>
        </w:rPr>
        <w:t xml:space="preserve">(3) Certificación de Agricultor Bona Fide. – Certificación expedida por el Secretario de Agricultura, la cual certifica que durante dicho año la persona se dedicó a la explotación de una actividad que cualifica como un negocio agroindustrial, según dicha actividad se describe en el párrafo (2) del apartado (a) de la Sección 2081.01 de este Código, y que derive el cincuenta y un por ciento (51%) o más de su ingreso bruto de un negocio agroindustrial como operador, dueño o arrendatario, según conste en su planilla de contribución sobre ingresos o cincuenta y un por ciento (51%) del valor de la producción y/o inversión de un negocio agroindustrial como operador, dueño o </w:t>
      </w:r>
      <w:r w:rsidRPr="006D10E4">
        <w:rPr>
          <w:rFonts w:ascii="Book Antiqua" w:hAnsi="Book Antiqua"/>
          <w:i/>
          <w:iCs/>
          <w:color w:val="000000" w:themeColor="text1"/>
          <w:lang w:val="es-ES"/>
        </w:rPr>
        <w:lastRenderedPageBreak/>
        <w:t>arrendatario. El Secretario de Agricultura tendrá la obligación y responsabilidad de expedir la Certificación cada cuatro (4) años, una vez los negocios agrícolas puedan validar, a satisfacción del Secretario de Agricultura, que han cumplido con los requisitos dispuestos en la Sección 2081.01 de este Código, así como otras disposiciones de este Código y el Reglamento.</w:t>
      </w:r>
      <w:r w:rsidRPr="006D10E4">
        <w:rPr>
          <w:rFonts w:ascii="Book Antiqua" w:hAnsi="Book Antiqua"/>
          <w:color w:val="000000" w:themeColor="text1"/>
          <w:lang w:val="es-ES"/>
        </w:rPr>
        <w:t>”</w:t>
      </w:r>
    </w:p>
    <w:p w14:paraId="7F99F05D" w14:textId="77777777" w:rsidR="00225AE5" w:rsidRPr="006D10E4" w:rsidRDefault="00225AE5" w:rsidP="00225AE5">
      <w:pPr>
        <w:pStyle w:val="Heading1"/>
        <w:rPr>
          <w:color w:val="000000" w:themeColor="text1"/>
        </w:rPr>
      </w:pPr>
      <w:r w:rsidRPr="006D10E4">
        <w:rPr>
          <w:color w:val="000000" w:themeColor="text1"/>
        </w:rPr>
        <w:t>Artículo 2.- Se enmienda el apartado (c) de la Sección 2082.02 de la Ley 60-2019, según enmendada, para que se lea como sigue:</w:t>
      </w:r>
    </w:p>
    <w:p w14:paraId="4FA71F63" w14:textId="77777777" w:rsidR="00225AE5" w:rsidRPr="006D10E4" w:rsidRDefault="00225AE5" w:rsidP="00225AE5">
      <w:pPr>
        <w:spacing w:line="480" w:lineRule="auto"/>
        <w:jc w:val="both"/>
        <w:rPr>
          <w:rFonts w:ascii="Book Antiqua" w:hAnsi="Book Antiqua"/>
          <w:color w:val="000000" w:themeColor="text1"/>
        </w:rPr>
      </w:pPr>
      <w:r w:rsidRPr="006D10E4">
        <w:rPr>
          <w:rFonts w:ascii="Book Antiqua" w:hAnsi="Book Antiqua"/>
          <w:color w:val="000000" w:themeColor="text1"/>
        </w:rPr>
        <w:t xml:space="preserve">“Sección 2082.02. — Contribución sobre Ingresos de Agricultores Bona Fide. </w:t>
      </w:r>
    </w:p>
    <w:p w14:paraId="596BFFB1" w14:textId="77777777" w:rsidR="00225AE5" w:rsidRPr="006D10E4" w:rsidRDefault="00225AE5" w:rsidP="00225AE5">
      <w:pPr>
        <w:spacing w:line="480" w:lineRule="auto"/>
        <w:ind w:left="540" w:hanging="360"/>
        <w:jc w:val="both"/>
        <w:rPr>
          <w:rFonts w:ascii="Book Antiqua" w:hAnsi="Book Antiqua"/>
          <w:color w:val="000000" w:themeColor="text1"/>
        </w:rPr>
      </w:pPr>
      <w:r w:rsidRPr="006D10E4">
        <w:rPr>
          <w:rFonts w:ascii="Book Antiqua" w:hAnsi="Book Antiqua"/>
          <w:color w:val="000000" w:themeColor="text1"/>
        </w:rPr>
        <w:t>(a) …</w:t>
      </w:r>
    </w:p>
    <w:p w14:paraId="1F3D0444" w14:textId="77777777" w:rsidR="00225AE5" w:rsidRPr="006D10E4" w:rsidRDefault="00225AE5" w:rsidP="00225AE5">
      <w:pPr>
        <w:spacing w:line="480" w:lineRule="auto"/>
        <w:ind w:left="180"/>
        <w:jc w:val="both"/>
        <w:rPr>
          <w:rFonts w:ascii="Book Antiqua" w:hAnsi="Book Antiqua"/>
          <w:color w:val="000000" w:themeColor="text1"/>
          <w:lang w:val="es-ES"/>
        </w:rPr>
      </w:pPr>
      <w:r w:rsidRPr="006D10E4">
        <w:rPr>
          <w:rFonts w:ascii="Book Antiqua" w:hAnsi="Book Antiqua"/>
          <w:color w:val="000000" w:themeColor="text1"/>
          <w:lang w:val="es-ES"/>
        </w:rPr>
        <w:t>…</w:t>
      </w:r>
    </w:p>
    <w:p w14:paraId="02D96BD0" w14:textId="77777777" w:rsidR="00225AE5" w:rsidRPr="006D10E4" w:rsidRDefault="00225AE5" w:rsidP="00225AE5">
      <w:pPr>
        <w:spacing w:line="480" w:lineRule="auto"/>
        <w:ind w:left="540" w:hanging="360"/>
        <w:jc w:val="both"/>
        <w:rPr>
          <w:rFonts w:ascii="Book Antiqua" w:hAnsi="Book Antiqua"/>
          <w:color w:val="000000" w:themeColor="text1"/>
          <w:lang w:val="es-ES"/>
        </w:rPr>
      </w:pPr>
      <w:r w:rsidRPr="006D10E4">
        <w:rPr>
          <w:rFonts w:ascii="Book Antiqua" w:hAnsi="Book Antiqua"/>
          <w:color w:val="000000" w:themeColor="text1"/>
          <w:lang w:val="es-ES"/>
        </w:rPr>
        <w:t>(c) Los accionistas o socios de un Negocio Exento que posea</w:t>
      </w:r>
      <w:r w:rsidRPr="006D10E4">
        <w:rPr>
          <w:rFonts w:ascii="Book Antiqua" w:hAnsi="Book Antiqua"/>
          <w:i/>
          <w:iCs/>
          <w:color w:val="000000" w:themeColor="text1"/>
          <w:lang w:val="es-ES"/>
        </w:rPr>
        <w:t xml:space="preserve"> un Certificación de Agricultor Bona Fide o </w:t>
      </w:r>
      <w:r w:rsidRPr="006D10E4">
        <w:rPr>
          <w:rFonts w:ascii="Book Antiqua" w:hAnsi="Book Antiqua"/>
          <w:color w:val="000000" w:themeColor="text1"/>
          <w:lang w:val="es-ES"/>
        </w:rPr>
        <w:t>un Decreto bajo las disposiciones de este Capítulo y que se dediquen a las actividades que se describen en el párrafo (2) del apartado (a) de la Sección 2081.01 de este Código, estarán sujetos a la contribución sobre ingresos que se dispone en el Código de Rentas Internas de Puerto Rico sobre las distribuciones de dividendos o beneficios del ingreso neto de tal Negocio Exento.”</w:t>
      </w:r>
    </w:p>
    <w:p w14:paraId="6A09CC7F" w14:textId="77777777" w:rsidR="00225AE5" w:rsidRPr="006D10E4" w:rsidRDefault="00225AE5" w:rsidP="00225AE5">
      <w:pPr>
        <w:pStyle w:val="Heading1"/>
        <w:rPr>
          <w:color w:val="000000" w:themeColor="text1"/>
        </w:rPr>
      </w:pPr>
      <w:r w:rsidRPr="006D10E4">
        <w:rPr>
          <w:color w:val="000000" w:themeColor="text1"/>
        </w:rPr>
        <w:t>Artículo 3.- Se enmienda la Sección 2082.03 de la Ley 60-2019, según enmendada, para que se lea como sigue:</w:t>
      </w:r>
    </w:p>
    <w:p w14:paraId="14F71E5A" w14:textId="77777777" w:rsidR="00225AE5" w:rsidRPr="006D10E4" w:rsidRDefault="00225AE5" w:rsidP="00225AE5">
      <w:pPr>
        <w:spacing w:line="480" w:lineRule="auto"/>
        <w:jc w:val="both"/>
        <w:rPr>
          <w:rFonts w:ascii="Book Antiqua" w:hAnsi="Book Antiqua"/>
          <w:color w:val="000000" w:themeColor="text1"/>
        </w:rPr>
      </w:pPr>
      <w:r w:rsidRPr="006D10E4">
        <w:rPr>
          <w:rFonts w:ascii="Book Antiqua" w:hAnsi="Book Antiqua"/>
          <w:color w:val="000000" w:themeColor="text1"/>
        </w:rPr>
        <w:t xml:space="preserve">“Sección 2082.03. — Contribuciones sobre la propiedad mueble e inmueble. </w:t>
      </w:r>
    </w:p>
    <w:p w14:paraId="675410A0" w14:textId="77777777" w:rsidR="00225AE5" w:rsidRPr="006D10E4" w:rsidRDefault="00225AE5" w:rsidP="00225AE5">
      <w:pPr>
        <w:spacing w:line="480" w:lineRule="auto"/>
        <w:ind w:firstLine="720"/>
        <w:jc w:val="both"/>
        <w:rPr>
          <w:rFonts w:ascii="Book Antiqua" w:hAnsi="Book Antiqua"/>
          <w:color w:val="000000" w:themeColor="text1"/>
        </w:rPr>
      </w:pPr>
      <w:r w:rsidRPr="006D10E4">
        <w:rPr>
          <w:rFonts w:ascii="Book Antiqua" w:hAnsi="Book Antiqua"/>
          <w:color w:val="000000" w:themeColor="text1"/>
        </w:rPr>
        <w:t xml:space="preserve">Los Agricultores Bona Fide que se dediquen a las actividades que se disponen en el párrafo (2) del apartado (a) de la Sección 2080.01 de este Código, y que a su vez posean un Decreto  otorgado bajo este Código </w:t>
      </w:r>
      <w:r w:rsidRPr="006D10E4">
        <w:rPr>
          <w:rFonts w:ascii="Book Antiqua" w:hAnsi="Book Antiqua"/>
          <w:i/>
          <w:iCs/>
          <w:color w:val="000000" w:themeColor="text1"/>
        </w:rPr>
        <w:t>o una Certificación de Agricultor Bona Fide</w:t>
      </w:r>
      <w:r w:rsidRPr="006D10E4">
        <w:rPr>
          <w:rFonts w:ascii="Book Antiqua" w:hAnsi="Book Antiqua"/>
          <w:color w:val="000000" w:themeColor="text1"/>
        </w:rPr>
        <w:t xml:space="preserve">, estarán </w:t>
      </w:r>
      <w:r w:rsidRPr="006D10E4">
        <w:rPr>
          <w:rFonts w:ascii="Book Antiqua" w:hAnsi="Book Antiqua"/>
          <w:color w:val="000000" w:themeColor="text1"/>
        </w:rPr>
        <w:lastRenderedPageBreak/>
        <w:t>exentas de la imposición de contribuciones sobre la propiedad que impone</w:t>
      </w:r>
      <w:r>
        <w:rPr>
          <w:rFonts w:ascii="Book Antiqua" w:hAnsi="Book Antiqua"/>
          <w:color w:val="000000" w:themeColor="text1"/>
        </w:rPr>
        <w:t xml:space="preserve"> el</w:t>
      </w:r>
      <w:r w:rsidRPr="006D10E4">
        <w:rPr>
          <w:rFonts w:ascii="Book Antiqua" w:hAnsi="Book Antiqua"/>
          <w:color w:val="000000" w:themeColor="text1"/>
        </w:rPr>
        <w:t xml:space="preserve"> </w:t>
      </w:r>
      <w:r w:rsidRPr="00B42F30">
        <w:rPr>
          <w:rFonts w:ascii="Book Antiqua" w:hAnsi="Book Antiqua"/>
          <w:b/>
          <w:bCs/>
          <w:color w:val="000000" w:themeColor="text1"/>
        </w:rPr>
        <w:t>[la “Ley de</w:t>
      </w:r>
      <w:r w:rsidRPr="006D10E4">
        <w:rPr>
          <w:rFonts w:ascii="Book Antiqua" w:hAnsi="Book Antiqua"/>
          <w:b/>
          <w:bCs/>
          <w:color w:val="000000" w:themeColor="text1"/>
        </w:rPr>
        <w:t xml:space="preserve"> Contribución Municipal sobre la Propiedad”]</w:t>
      </w:r>
      <w:r w:rsidRPr="006D10E4">
        <w:rPr>
          <w:rFonts w:ascii="Book Antiqua" w:hAnsi="Book Antiqua"/>
          <w:color w:val="000000" w:themeColor="text1"/>
        </w:rPr>
        <w:t xml:space="preserve"> </w:t>
      </w:r>
      <w:r w:rsidRPr="006D10E4">
        <w:rPr>
          <w:rFonts w:ascii="Book Antiqua" w:hAnsi="Book Antiqua"/>
          <w:i/>
          <w:iCs/>
          <w:color w:val="000000" w:themeColor="text1"/>
        </w:rPr>
        <w:t>Capitulo II del Libro VII del</w:t>
      </w:r>
      <w:r w:rsidRPr="006D10E4">
        <w:rPr>
          <w:rFonts w:ascii="Book Antiqua" w:hAnsi="Book Antiqua"/>
          <w:color w:val="000000" w:themeColor="text1"/>
        </w:rPr>
        <w:t xml:space="preserve"> </w:t>
      </w:r>
      <w:r w:rsidRPr="006D10E4">
        <w:rPr>
          <w:rFonts w:ascii="Book Antiqua" w:hAnsi="Book Antiqua"/>
          <w:i/>
          <w:iCs/>
          <w:color w:val="000000" w:themeColor="text1"/>
        </w:rPr>
        <w:t>Código Municipal de Puerto Rico</w:t>
      </w:r>
      <w:r w:rsidRPr="006D10E4">
        <w:rPr>
          <w:rFonts w:ascii="Book Antiqua" w:hAnsi="Book Antiqua"/>
          <w:color w:val="000000" w:themeColor="text1"/>
        </w:rPr>
        <w:t>, incluyendo los bienes muebles e inmuebles, tangibles e intangibles, como lo son los terrenos, edificios, equipos, accesorios y vehículos, siempre que sean de su propiedad o los tengan bajo arrendamiento o usufructo, y que se usen en un treinta y cinco por ciento (35%) o más en tales actividades cubiertas por e</w:t>
      </w:r>
      <w:r w:rsidRPr="006D10E4">
        <w:rPr>
          <w:rFonts w:ascii="Book Antiqua" w:hAnsi="Book Antiqua"/>
          <w:i/>
          <w:iCs/>
          <w:color w:val="000000" w:themeColor="text1"/>
        </w:rPr>
        <w:t>ste Capítulo</w:t>
      </w:r>
      <w:r w:rsidRPr="006D10E4">
        <w:rPr>
          <w:rFonts w:ascii="Book Antiqua" w:hAnsi="Book Antiqua"/>
          <w:color w:val="000000" w:themeColor="text1"/>
        </w:rPr>
        <w:t xml:space="preserve"> </w:t>
      </w:r>
      <w:r w:rsidRPr="006D10E4">
        <w:rPr>
          <w:rFonts w:ascii="Book Antiqua" w:hAnsi="Book Antiqua"/>
          <w:b/>
          <w:bCs/>
          <w:color w:val="000000" w:themeColor="text1"/>
        </w:rPr>
        <w:t>[el Decreto]</w:t>
      </w:r>
      <w:r w:rsidRPr="006D10E4">
        <w:rPr>
          <w:rFonts w:ascii="Book Antiqua" w:hAnsi="Book Antiqua"/>
          <w:color w:val="000000" w:themeColor="text1"/>
        </w:rPr>
        <w:t>.”</w:t>
      </w:r>
    </w:p>
    <w:p w14:paraId="1F0EB13B" w14:textId="77777777" w:rsidR="00225AE5" w:rsidRPr="006D10E4" w:rsidRDefault="00225AE5" w:rsidP="00225AE5">
      <w:pPr>
        <w:pStyle w:val="Heading1"/>
        <w:rPr>
          <w:color w:val="000000" w:themeColor="text1"/>
        </w:rPr>
      </w:pPr>
      <w:r w:rsidRPr="006D10E4">
        <w:rPr>
          <w:color w:val="000000" w:themeColor="text1"/>
        </w:rPr>
        <w:t>Artículo 4.- Se enmienda la Sección 2082.04 de la Ley 60-2019, según enmendada, para que se lea como sigue:</w:t>
      </w:r>
    </w:p>
    <w:p w14:paraId="11B1D584" w14:textId="77777777" w:rsidR="00225AE5" w:rsidRPr="006D10E4" w:rsidRDefault="00225AE5" w:rsidP="00225AE5">
      <w:pPr>
        <w:spacing w:line="480" w:lineRule="auto"/>
        <w:jc w:val="both"/>
        <w:rPr>
          <w:rFonts w:ascii="Book Antiqua" w:hAnsi="Book Antiqua"/>
          <w:color w:val="000000" w:themeColor="text1"/>
        </w:rPr>
      </w:pPr>
      <w:r w:rsidRPr="006D10E4">
        <w:rPr>
          <w:rFonts w:ascii="Book Antiqua" w:hAnsi="Book Antiqua"/>
          <w:color w:val="000000" w:themeColor="text1"/>
        </w:rPr>
        <w:t xml:space="preserve">“Sección 2082.04. — Contribuciones Municipales. </w:t>
      </w:r>
    </w:p>
    <w:p w14:paraId="6E58DB74" w14:textId="77777777" w:rsidR="00225AE5" w:rsidRPr="006D10E4" w:rsidRDefault="00225AE5" w:rsidP="00225AE5">
      <w:pPr>
        <w:spacing w:line="480" w:lineRule="auto"/>
        <w:ind w:firstLine="720"/>
        <w:jc w:val="both"/>
        <w:rPr>
          <w:rFonts w:ascii="Book Antiqua" w:hAnsi="Book Antiqua"/>
          <w:color w:val="000000" w:themeColor="text1"/>
          <w:highlight w:val="cyan"/>
        </w:rPr>
      </w:pPr>
      <w:r w:rsidRPr="006D10E4">
        <w:rPr>
          <w:rFonts w:ascii="Book Antiqua" w:hAnsi="Book Antiqua"/>
          <w:color w:val="000000" w:themeColor="text1"/>
        </w:rPr>
        <w:t>Los Agricultores Bona Fide que se dediquen a las actividades que se disponen en el párrafo (2) del apartado (a) de la Sección 2080.01 de este Código, y que a su vez posean un Decreto otorgado bajo este Código</w:t>
      </w:r>
      <w:r w:rsidRPr="006D10E4">
        <w:rPr>
          <w:rFonts w:ascii="Book Antiqua" w:hAnsi="Book Antiqua"/>
          <w:i/>
          <w:iCs/>
          <w:color w:val="000000" w:themeColor="text1"/>
        </w:rPr>
        <w:t xml:space="preserve"> o una Certificación de Agricultor Bona Fide</w:t>
      </w:r>
      <w:r w:rsidRPr="006D10E4">
        <w:rPr>
          <w:rFonts w:ascii="Book Antiqua" w:hAnsi="Book Antiqua"/>
          <w:color w:val="000000" w:themeColor="text1"/>
        </w:rPr>
        <w:t xml:space="preserve">, estarán exentos del pago de patentes municipales impuesto por la </w:t>
      </w:r>
      <w:r w:rsidRPr="006D10E4">
        <w:rPr>
          <w:rFonts w:ascii="Book Antiqua" w:hAnsi="Book Antiqua"/>
          <w:b/>
          <w:bCs/>
          <w:color w:val="000000" w:themeColor="text1"/>
        </w:rPr>
        <w:t>[“Ley de Contribución Municipal sobre la Propiedad”]</w:t>
      </w:r>
      <w:r w:rsidRPr="006D10E4">
        <w:rPr>
          <w:rFonts w:ascii="Book Antiqua" w:hAnsi="Book Antiqua"/>
          <w:color w:val="000000" w:themeColor="text1"/>
        </w:rPr>
        <w:t xml:space="preserve"> </w:t>
      </w:r>
      <w:r w:rsidRPr="006D10E4">
        <w:rPr>
          <w:rFonts w:ascii="Book Antiqua" w:hAnsi="Book Antiqua"/>
          <w:i/>
          <w:iCs/>
          <w:color w:val="000000" w:themeColor="text1"/>
        </w:rPr>
        <w:t>Capitulo III del Libro VII del</w:t>
      </w:r>
      <w:r w:rsidRPr="006D10E4">
        <w:rPr>
          <w:rFonts w:ascii="Book Antiqua" w:hAnsi="Book Antiqua"/>
          <w:color w:val="000000" w:themeColor="text1"/>
        </w:rPr>
        <w:t xml:space="preserve"> </w:t>
      </w:r>
      <w:r w:rsidRPr="006D10E4">
        <w:rPr>
          <w:rFonts w:ascii="Book Antiqua" w:hAnsi="Book Antiqua"/>
          <w:i/>
          <w:iCs/>
          <w:color w:val="000000" w:themeColor="text1"/>
        </w:rPr>
        <w:t>Código Municipal de Puerto Rico</w:t>
      </w:r>
      <w:r w:rsidRPr="006D10E4">
        <w:rPr>
          <w:rFonts w:ascii="Book Antiqua" w:hAnsi="Book Antiqua"/>
          <w:color w:val="000000" w:themeColor="text1"/>
        </w:rPr>
        <w:t xml:space="preserve"> sobre tales actividades cubiertas por </w:t>
      </w:r>
      <w:r w:rsidRPr="006D10E4">
        <w:rPr>
          <w:rFonts w:ascii="Book Antiqua" w:hAnsi="Book Antiqua"/>
          <w:i/>
          <w:iCs/>
          <w:color w:val="000000" w:themeColor="text1"/>
        </w:rPr>
        <w:t>este Capítulo</w:t>
      </w:r>
      <w:r w:rsidRPr="006D10E4">
        <w:rPr>
          <w:rFonts w:ascii="Book Antiqua" w:hAnsi="Book Antiqua"/>
          <w:color w:val="000000" w:themeColor="text1"/>
        </w:rPr>
        <w:t xml:space="preserve"> </w:t>
      </w:r>
      <w:r w:rsidRPr="006D10E4">
        <w:rPr>
          <w:rFonts w:ascii="Book Antiqua" w:hAnsi="Book Antiqua"/>
          <w:b/>
          <w:bCs/>
          <w:color w:val="000000" w:themeColor="text1"/>
        </w:rPr>
        <w:t>[el Decreto]</w:t>
      </w:r>
      <w:r w:rsidRPr="006D10E4">
        <w:rPr>
          <w:rFonts w:ascii="Book Antiqua" w:hAnsi="Book Antiqua"/>
          <w:color w:val="000000" w:themeColor="text1"/>
        </w:rPr>
        <w:t>.”</w:t>
      </w:r>
      <w:r w:rsidRPr="006D10E4">
        <w:rPr>
          <w:rFonts w:ascii="Book Antiqua" w:hAnsi="Book Antiqua"/>
          <w:color w:val="000000" w:themeColor="text1"/>
          <w:highlight w:val="cyan"/>
        </w:rPr>
        <w:t xml:space="preserve"> </w:t>
      </w:r>
    </w:p>
    <w:p w14:paraId="61E7DB50" w14:textId="77777777" w:rsidR="00225AE5" w:rsidRPr="006D10E4" w:rsidRDefault="00225AE5" w:rsidP="00225AE5">
      <w:pPr>
        <w:pStyle w:val="Heading1"/>
        <w:rPr>
          <w:color w:val="000000" w:themeColor="text1"/>
        </w:rPr>
      </w:pPr>
      <w:r w:rsidRPr="006D10E4">
        <w:rPr>
          <w:color w:val="000000" w:themeColor="text1"/>
        </w:rPr>
        <w:t>Artículo 5.- Se enmienda la Sección 2082.05 de la Ley 60-2019, según enmendada, para que se lea como sigue:</w:t>
      </w:r>
    </w:p>
    <w:p w14:paraId="16D574BD" w14:textId="77777777" w:rsidR="00225AE5" w:rsidRPr="006D10E4" w:rsidRDefault="00225AE5" w:rsidP="00225AE5">
      <w:pPr>
        <w:spacing w:line="480" w:lineRule="auto"/>
        <w:ind w:firstLine="720"/>
        <w:jc w:val="both"/>
        <w:rPr>
          <w:rFonts w:ascii="Book Antiqua" w:hAnsi="Book Antiqua"/>
          <w:color w:val="000000" w:themeColor="text1"/>
        </w:rPr>
      </w:pPr>
      <w:r w:rsidRPr="006D10E4">
        <w:rPr>
          <w:rFonts w:ascii="Book Antiqua" w:hAnsi="Book Antiqua"/>
          <w:color w:val="000000" w:themeColor="text1"/>
        </w:rPr>
        <w:t xml:space="preserve">“Sección 2082.05. — Exención del Pago de Arbitrios e Impuesto </w:t>
      </w:r>
      <w:r w:rsidRPr="006D10E4">
        <w:rPr>
          <w:rFonts w:ascii="Book Antiqua" w:hAnsi="Book Antiqua"/>
          <w:b/>
          <w:bCs/>
          <w:color w:val="000000" w:themeColor="text1"/>
        </w:rPr>
        <w:t>[Sobre]</w:t>
      </w:r>
      <w:r w:rsidRPr="006D10E4">
        <w:rPr>
          <w:rFonts w:ascii="Book Antiqua" w:hAnsi="Book Antiqua"/>
          <w:color w:val="000000" w:themeColor="text1"/>
        </w:rPr>
        <w:t xml:space="preserve"> </w:t>
      </w:r>
      <w:r w:rsidRPr="006D10E4">
        <w:rPr>
          <w:rFonts w:ascii="Book Antiqua" w:hAnsi="Book Antiqua"/>
          <w:i/>
          <w:iCs/>
          <w:color w:val="000000" w:themeColor="text1"/>
        </w:rPr>
        <w:t>sobre</w:t>
      </w:r>
      <w:r w:rsidRPr="006D10E4">
        <w:rPr>
          <w:rFonts w:ascii="Book Antiqua" w:hAnsi="Book Antiqua"/>
          <w:color w:val="000000" w:themeColor="text1"/>
        </w:rPr>
        <w:t xml:space="preserve"> Ventas y Uso. </w:t>
      </w:r>
    </w:p>
    <w:p w14:paraId="15EC46FC" w14:textId="77777777" w:rsidR="00225AE5" w:rsidRPr="006D10E4" w:rsidRDefault="00225AE5" w:rsidP="00225AE5">
      <w:pPr>
        <w:spacing w:line="480" w:lineRule="auto"/>
        <w:ind w:left="540" w:hanging="360"/>
        <w:jc w:val="both"/>
        <w:rPr>
          <w:rFonts w:ascii="Book Antiqua" w:hAnsi="Book Antiqua"/>
          <w:color w:val="000000" w:themeColor="text1"/>
        </w:rPr>
      </w:pPr>
      <w:r w:rsidRPr="006D10E4">
        <w:rPr>
          <w:rFonts w:ascii="Book Antiqua" w:hAnsi="Book Antiqua"/>
          <w:color w:val="000000" w:themeColor="text1"/>
        </w:rPr>
        <w:lastRenderedPageBreak/>
        <w:t xml:space="preserve">(a) Se exime a todo Agricultor Bona Fide que se dedique a las actividades que se disponen en el párrafo (2) del apartado (a) de la Sección 2080.01 de este Código, y que a su vez posea un Decreto otorgado bajo este Código </w:t>
      </w:r>
      <w:r w:rsidRPr="006D10E4">
        <w:rPr>
          <w:rFonts w:ascii="Book Antiqua" w:hAnsi="Book Antiqua"/>
          <w:i/>
          <w:iCs/>
          <w:color w:val="000000" w:themeColor="text1"/>
        </w:rPr>
        <w:t>o una Certificación de Agricultor Bona Fide,</w:t>
      </w:r>
      <w:r w:rsidRPr="006D10E4">
        <w:rPr>
          <w:rFonts w:ascii="Book Antiqua" w:hAnsi="Book Antiqua"/>
          <w:color w:val="000000" w:themeColor="text1"/>
        </w:rPr>
        <w:t xml:space="preserve"> del pago de arbitrios e </w:t>
      </w:r>
      <w:r w:rsidRPr="006D10E4">
        <w:rPr>
          <w:rFonts w:ascii="Book Antiqua" w:hAnsi="Book Antiqua"/>
          <w:b/>
          <w:bCs/>
          <w:color w:val="000000" w:themeColor="text1"/>
        </w:rPr>
        <w:t>[impuesto sobre ventas y uso]</w:t>
      </w:r>
      <w:r w:rsidRPr="006D10E4">
        <w:rPr>
          <w:rFonts w:ascii="Book Antiqua" w:hAnsi="Book Antiqua"/>
          <w:color w:val="000000" w:themeColor="text1"/>
        </w:rPr>
        <w:t xml:space="preserve"> </w:t>
      </w:r>
      <w:r w:rsidRPr="006D10E4">
        <w:rPr>
          <w:rFonts w:ascii="Book Antiqua" w:hAnsi="Book Antiqua"/>
          <w:i/>
          <w:iCs/>
          <w:color w:val="000000" w:themeColor="text1"/>
        </w:rPr>
        <w:t>Impuesto sobre Ventas y Uso</w:t>
      </w:r>
      <w:r w:rsidRPr="006D10E4">
        <w:rPr>
          <w:rFonts w:ascii="Book Antiqua" w:hAnsi="Book Antiqua"/>
          <w:color w:val="000000" w:themeColor="text1"/>
        </w:rPr>
        <w:t>, de ser aplicables, según se dispone en los Subtítulos C, D y DDD del Código de Rentas Internas de Puerto Rico, siempre que cumplan con los requisitos que se dispone en la Sección 2083.05 de este Código, sobre los siguientes artículos cuando se introduzcan o adquieran directa o indirectamente por ellos para uso en tales actividades:</w:t>
      </w:r>
    </w:p>
    <w:p w14:paraId="246C0099" w14:textId="77777777" w:rsidR="00225AE5" w:rsidRPr="006D10E4" w:rsidRDefault="00225AE5" w:rsidP="00225AE5">
      <w:pPr>
        <w:spacing w:line="480" w:lineRule="auto"/>
        <w:ind w:left="990" w:hanging="270"/>
        <w:jc w:val="both"/>
        <w:rPr>
          <w:rFonts w:ascii="Book Antiqua" w:hAnsi="Book Antiqua"/>
          <w:color w:val="000000" w:themeColor="text1"/>
        </w:rPr>
      </w:pPr>
      <w:r w:rsidRPr="006D10E4">
        <w:rPr>
          <w:rFonts w:ascii="Book Antiqua" w:hAnsi="Book Antiqua"/>
          <w:color w:val="000000" w:themeColor="text1"/>
        </w:rPr>
        <w:t xml:space="preserve">(1) … </w:t>
      </w:r>
    </w:p>
    <w:p w14:paraId="5E5FB942" w14:textId="77777777" w:rsidR="00225AE5" w:rsidRPr="006D10E4" w:rsidRDefault="00225AE5" w:rsidP="00225AE5">
      <w:pPr>
        <w:spacing w:line="480" w:lineRule="auto"/>
        <w:ind w:left="540" w:hanging="360"/>
        <w:jc w:val="both"/>
        <w:rPr>
          <w:rFonts w:ascii="Book Antiqua" w:hAnsi="Book Antiqua"/>
          <w:color w:val="000000" w:themeColor="text1"/>
        </w:rPr>
      </w:pPr>
      <w:r w:rsidRPr="006D10E4">
        <w:rPr>
          <w:rFonts w:ascii="Book Antiqua" w:hAnsi="Book Antiqua"/>
          <w:color w:val="000000" w:themeColor="text1"/>
        </w:rPr>
        <w:t>(b) …”</w:t>
      </w:r>
    </w:p>
    <w:p w14:paraId="1953045A" w14:textId="77777777" w:rsidR="00225AE5" w:rsidRPr="006D10E4" w:rsidRDefault="00225AE5" w:rsidP="00225AE5">
      <w:pPr>
        <w:pStyle w:val="Heading1"/>
        <w:rPr>
          <w:color w:val="000000" w:themeColor="text1"/>
          <w:highlight w:val="yellow"/>
        </w:rPr>
      </w:pPr>
      <w:r w:rsidRPr="006D10E4">
        <w:rPr>
          <w:color w:val="000000" w:themeColor="text1"/>
        </w:rPr>
        <w:t>Artículo 6.-</w:t>
      </w:r>
      <w:r w:rsidRPr="006D10E4">
        <w:rPr>
          <w:b/>
          <w:bCs/>
          <w:color w:val="000000" w:themeColor="text1"/>
        </w:rPr>
        <w:t xml:space="preserve"> </w:t>
      </w:r>
      <w:r w:rsidRPr="006D10E4">
        <w:rPr>
          <w:color w:val="000000" w:themeColor="text1"/>
        </w:rPr>
        <w:t xml:space="preserve">Se enmienda el apartado (a) de la Sección 2083.01 </w:t>
      </w:r>
      <w:bookmarkStart w:id="0" w:name="_Hlk124948936"/>
      <w:r w:rsidRPr="006D10E4">
        <w:rPr>
          <w:color w:val="000000" w:themeColor="text1"/>
        </w:rPr>
        <w:t>de la Ley 60-2019,”</w:t>
      </w:r>
      <w:bookmarkEnd w:id="0"/>
      <w:r w:rsidRPr="006D10E4">
        <w:rPr>
          <w:color w:val="000000" w:themeColor="text1"/>
        </w:rPr>
        <w:t>, para que se lea como sigue:</w:t>
      </w:r>
    </w:p>
    <w:p w14:paraId="20DAAF56" w14:textId="77777777" w:rsidR="00225AE5" w:rsidRPr="006D10E4" w:rsidRDefault="00225AE5" w:rsidP="00225AE5">
      <w:pPr>
        <w:spacing w:line="480" w:lineRule="auto"/>
        <w:jc w:val="both"/>
        <w:rPr>
          <w:rFonts w:ascii="Book Antiqua" w:hAnsi="Book Antiqua"/>
          <w:color w:val="000000" w:themeColor="text1"/>
        </w:rPr>
      </w:pPr>
      <w:r w:rsidRPr="006D10E4">
        <w:rPr>
          <w:rFonts w:ascii="Book Antiqua" w:hAnsi="Book Antiqua"/>
          <w:color w:val="000000" w:themeColor="text1"/>
        </w:rPr>
        <w:t>“Sección 2083.01. — Requisitos para las Solicitudes de Decretos.</w:t>
      </w:r>
    </w:p>
    <w:p w14:paraId="00854A64" w14:textId="77777777" w:rsidR="00225AE5" w:rsidRPr="006D10E4" w:rsidRDefault="00225AE5" w:rsidP="00225AE5">
      <w:pPr>
        <w:spacing w:line="480" w:lineRule="auto"/>
        <w:ind w:left="540" w:hanging="360"/>
        <w:jc w:val="both"/>
        <w:rPr>
          <w:rFonts w:ascii="Book Antiqua" w:hAnsi="Book Antiqua"/>
          <w:color w:val="000000" w:themeColor="text1"/>
          <w:lang w:val="es-ES"/>
        </w:rPr>
      </w:pPr>
      <w:r w:rsidRPr="006D10E4">
        <w:rPr>
          <w:rFonts w:ascii="Book Antiqua" w:hAnsi="Book Antiqua"/>
          <w:color w:val="000000" w:themeColor="text1"/>
          <w:lang w:val="es-ES"/>
        </w:rPr>
        <w:t xml:space="preserve">(a) Cualquier persona que ha establecido o propone establecer en Puerto Rico un Negocio Elegible bajo las disposiciones de este Capítulo, podrá solicitar </w:t>
      </w:r>
      <w:r w:rsidRPr="006D10E4">
        <w:rPr>
          <w:rFonts w:ascii="Book Antiqua" w:hAnsi="Book Antiqua"/>
          <w:b/>
          <w:bCs/>
          <w:color w:val="000000" w:themeColor="text1"/>
          <w:lang w:val="es-ES"/>
        </w:rPr>
        <w:t xml:space="preserve">[al Secretario del DDEC, mediando recomendación previa del] </w:t>
      </w:r>
      <w:r w:rsidRPr="006D10E4">
        <w:rPr>
          <w:rFonts w:ascii="Book Antiqua" w:hAnsi="Book Antiqua"/>
          <w:color w:val="000000" w:themeColor="text1"/>
          <w:lang w:val="es-ES"/>
        </w:rPr>
        <w:t xml:space="preserve">al Secretario de Agricultura </w:t>
      </w:r>
      <w:r w:rsidRPr="006D10E4">
        <w:rPr>
          <w:rFonts w:ascii="Book Antiqua" w:hAnsi="Book Antiqua"/>
          <w:i/>
          <w:iCs/>
          <w:color w:val="000000" w:themeColor="text1"/>
          <w:lang w:val="es-ES"/>
        </w:rPr>
        <w:t>que emita</w:t>
      </w:r>
      <w:r w:rsidRPr="006D10E4">
        <w:rPr>
          <w:rFonts w:ascii="Book Antiqua" w:hAnsi="Book Antiqua"/>
          <w:color w:val="000000" w:themeColor="text1"/>
          <w:lang w:val="es-ES"/>
        </w:rPr>
        <w:t xml:space="preserve"> </w:t>
      </w:r>
      <w:r w:rsidRPr="006D10E4">
        <w:rPr>
          <w:rFonts w:ascii="Book Antiqua" w:hAnsi="Book Antiqua"/>
          <w:i/>
          <w:iCs/>
          <w:color w:val="000000" w:themeColor="text1"/>
          <w:lang w:val="es-ES"/>
        </w:rPr>
        <w:t>una Certificación de Agricultor Bona Fide</w:t>
      </w:r>
      <w:r w:rsidRPr="006D10E4">
        <w:rPr>
          <w:rFonts w:ascii="Book Antiqua" w:hAnsi="Book Antiqua"/>
          <w:color w:val="000000" w:themeColor="text1"/>
          <w:lang w:val="es-ES"/>
        </w:rPr>
        <w:t xml:space="preserve">, </w:t>
      </w:r>
      <w:r w:rsidRPr="006D10E4">
        <w:rPr>
          <w:rFonts w:ascii="Book Antiqua" w:hAnsi="Book Antiqua"/>
          <w:i/>
          <w:iCs/>
          <w:color w:val="000000" w:themeColor="text1"/>
          <w:lang w:val="es-ES"/>
        </w:rPr>
        <w:t>lo que le dará derecho a</w:t>
      </w:r>
      <w:r w:rsidRPr="006D10E4">
        <w:rPr>
          <w:rFonts w:ascii="Book Antiqua" w:hAnsi="Book Antiqua"/>
          <w:color w:val="000000" w:themeColor="text1"/>
          <w:lang w:val="es-ES"/>
        </w:rPr>
        <w:t xml:space="preserve"> los beneficios de este Capítulo</w:t>
      </w:r>
      <w:r>
        <w:rPr>
          <w:rFonts w:ascii="Book Antiqua" w:hAnsi="Book Antiqua"/>
          <w:i/>
          <w:iCs/>
          <w:color w:val="000000" w:themeColor="text1"/>
          <w:lang w:val="es-ES"/>
        </w:rPr>
        <w:t>, efectivo al 1 de enero del año contributivo para el cual se ha emitido dicha Certificación.</w:t>
      </w:r>
      <w:r w:rsidRPr="006D10E4">
        <w:rPr>
          <w:rFonts w:ascii="Book Antiqua" w:hAnsi="Book Antiqua"/>
          <w:color w:val="000000" w:themeColor="text1"/>
          <w:lang w:val="es-ES"/>
        </w:rPr>
        <w:t xml:space="preserve"> </w:t>
      </w:r>
      <w:r w:rsidRPr="006D10E4">
        <w:rPr>
          <w:rFonts w:ascii="Book Antiqua" w:hAnsi="Book Antiqua"/>
          <w:b/>
          <w:bCs/>
          <w:color w:val="000000" w:themeColor="text1"/>
          <w:lang w:val="es-ES"/>
        </w:rPr>
        <w:t>[mediante la presentación de la solicitud conforme a lo dispuesto en el Subtítulo F de este Código]</w:t>
      </w:r>
      <w:r w:rsidRPr="006D10E4">
        <w:rPr>
          <w:rFonts w:ascii="Book Antiqua" w:hAnsi="Book Antiqua"/>
          <w:color w:val="000000" w:themeColor="text1"/>
          <w:lang w:val="es-ES"/>
        </w:rPr>
        <w:t>.</w:t>
      </w:r>
    </w:p>
    <w:p w14:paraId="14839122" w14:textId="77777777" w:rsidR="00225AE5" w:rsidRPr="006D10E4" w:rsidRDefault="00225AE5" w:rsidP="00225AE5">
      <w:pPr>
        <w:spacing w:line="480" w:lineRule="auto"/>
        <w:ind w:left="540" w:hanging="360"/>
        <w:jc w:val="both"/>
        <w:rPr>
          <w:rFonts w:ascii="Book Antiqua" w:hAnsi="Book Antiqua"/>
          <w:color w:val="000000" w:themeColor="text1"/>
          <w:lang w:val="es-ES"/>
        </w:rPr>
      </w:pPr>
      <w:r w:rsidRPr="006D10E4">
        <w:rPr>
          <w:rFonts w:ascii="Book Antiqua" w:hAnsi="Book Antiqua"/>
          <w:color w:val="000000" w:themeColor="text1"/>
          <w:lang w:val="es-ES"/>
        </w:rPr>
        <w:lastRenderedPageBreak/>
        <w:t>(b) ….</w:t>
      </w:r>
    </w:p>
    <w:p w14:paraId="16637EAD" w14:textId="77777777" w:rsidR="00225AE5" w:rsidRPr="006D10E4" w:rsidRDefault="00225AE5" w:rsidP="00225AE5">
      <w:pPr>
        <w:spacing w:line="480" w:lineRule="auto"/>
        <w:ind w:left="540" w:hanging="360"/>
        <w:jc w:val="both"/>
        <w:rPr>
          <w:rFonts w:ascii="Book Antiqua" w:hAnsi="Book Antiqua"/>
          <w:color w:val="000000" w:themeColor="text1"/>
          <w:lang w:val="es-ES"/>
        </w:rPr>
      </w:pPr>
      <w:r w:rsidRPr="006D10E4">
        <w:rPr>
          <w:rFonts w:ascii="Book Antiqua" w:hAnsi="Book Antiqua"/>
          <w:color w:val="000000" w:themeColor="text1"/>
          <w:lang w:val="es-ES"/>
        </w:rPr>
        <w:t xml:space="preserve">(c) </w:t>
      </w:r>
      <w:r w:rsidRPr="006D10E4">
        <w:rPr>
          <w:rFonts w:ascii="Book Antiqua" w:hAnsi="Book Antiqua"/>
          <w:i/>
          <w:iCs/>
          <w:color w:val="000000" w:themeColor="text1"/>
          <w:lang w:val="es-ES"/>
        </w:rPr>
        <w:t>Todo Agricultor Bona Fide podrá solicitar un Decreto bajo este Capítulo para los fines dispuestos en este apartado. Durante el término de vigencia del Decreto, el Agricultor Bona Fide tendrá derecho a los beneficios disponibles bajo este Capítulo vigentes a la fecha de la firma del Decreto, independientemente de futuras enmiendas a este Código, sujeto a que el Agricultor Bona Fide cumpla con los términos y condiciones de este Código, el Decreto y reglamentación aplicable.</w:t>
      </w:r>
      <w:r w:rsidRPr="006D10E4">
        <w:rPr>
          <w:rFonts w:ascii="Book Antiqua" w:hAnsi="Book Antiqua"/>
          <w:color w:val="000000" w:themeColor="text1"/>
          <w:lang w:val="es-ES"/>
        </w:rPr>
        <w:t xml:space="preserve"> </w:t>
      </w:r>
      <w:r w:rsidRPr="006D10E4">
        <w:rPr>
          <w:rFonts w:ascii="Book Antiqua" w:hAnsi="Book Antiqua"/>
          <w:b/>
          <w:bCs/>
          <w:color w:val="000000" w:themeColor="text1"/>
          <w:lang w:val="es-ES"/>
        </w:rPr>
        <w:t>[Un Agricultor Bonafide que al momento de presentar una solicitud de Decreto conforme lo dispuesto en el Subtítulo F de este Código, cuente con una certificación vigente de agricultor Bonafide expedida por el Secretario de Agricultura, será acreedor de los beneficios contributivos contenidos en las secciones 2082.02, 2082.03, 2082.04, 2082.05, a partir del primer día del Año Contributivo durante el cual presentó la aludida solicitud de Decreto, aun cuando la solicitud se encuentre en etapa de evaluación ante la Oficina de Incentivos. En caso de que el Secretario del de DDEC, tras su evaluación, deniegue la solicitud de Decreto, el solicitante tendrá que devolver los beneficios contributivos disfrutados durante el periodo antes descrito al Gobierno, con las penalidades correspondientes, según aplique por virtud de ley, reglamentación, carta circular o documento legal análogo.</w:t>
      </w:r>
      <w:r w:rsidRPr="006D10E4">
        <w:rPr>
          <w:rFonts w:ascii="Book Antiqua" w:hAnsi="Book Antiqua"/>
          <w:color w:val="000000" w:themeColor="text1"/>
          <w:lang w:val="es-ES"/>
        </w:rPr>
        <w:t>]”</w:t>
      </w:r>
    </w:p>
    <w:p w14:paraId="01FF701B" w14:textId="77777777" w:rsidR="00225AE5" w:rsidRPr="006D10E4" w:rsidRDefault="00225AE5" w:rsidP="00225AE5">
      <w:pPr>
        <w:pStyle w:val="Heading1"/>
        <w:rPr>
          <w:color w:val="000000" w:themeColor="text1"/>
        </w:rPr>
      </w:pPr>
      <w:r w:rsidRPr="006D10E4">
        <w:rPr>
          <w:color w:val="000000" w:themeColor="text1"/>
        </w:rPr>
        <w:t>Artículo 7.- Cláusula de Separabilidad.</w:t>
      </w:r>
    </w:p>
    <w:p w14:paraId="3F7C6EF3" w14:textId="77777777" w:rsidR="00225AE5" w:rsidRPr="006D10E4" w:rsidRDefault="00225AE5" w:rsidP="00225AE5">
      <w:pPr>
        <w:pStyle w:val="Heading1"/>
        <w:rPr>
          <w:color w:val="000000" w:themeColor="text1"/>
        </w:rPr>
      </w:pPr>
      <w:r w:rsidRPr="006D10E4">
        <w:rPr>
          <w:color w:val="000000" w:themeColor="text1"/>
        </w:rPr>
        <w:t>Si cualquier artículo, disposición, párrafo, inciso o parte de esta Ley fuere declarada nula o inconstitucional por cualquier Tribunal con competencia, se entenderá que el resto de sus disposiciones mantendrá su validez y vigencia.</w:t>
      </w:r>
    </w:p>
    <w:p w14:paraId="23B925C7" w14:textId="77777777" w:rsidR="00225AE5" w:rsidRPr="006D10E4" w:rsidRDefault="00225AE5" w:rsidP="00225AE5">
      <w:pPr>
        <w:pStyle w:val="Heading1"/>
        <w:rPr>
          <w:color w:val="000000" w:themeColor="text1"/>
        </w:rPr>
      </w:pPr>
      <w:r w:rsidRPr="006D10E4">
        <w:rPr>
          <w:color w:val="000000" w:themeColor="text1"/>
        </w:rPr>
        <w:lastRenderedPageBreak/>
        <w:t>Artículo 8.- Vigencia.</w:t>
      </w:r>
    </w:p>
    <w:p w14:paraId="3932C625" w14:textId="4F3D8E09" w:rsidR="0074471F" w:rsidRPr="00557579" w:rsidRDefault="00225AE5" w:rsidP="00225AE5">
      <w:pPr>
        <w:pStyle w:val="Heading1"/>
        <w:rPr>
          <w:color w:val="000000" w:themeColor="text1"/>
        </w:rPr>
      </w:pPr>
      <w:r w:rsidRPr="006D10E4">
        <w:rPr>
          <w:color w:val="000000" w:themeColor="text1"/>
        </w:rPr>
        <w:t xml:space="preserve">Esta Ley entrará en vigor inmediatamente después de su aprobación. </w:t>
      </w:r>
    </w:p>
    <w:sectPr w:rsidR="0074471F" w:rsidRPr="00557579" w:rsidSect="00BE518F">
      <w:headerReference w:type="even" r:id="rId12"/>
      <w:headerReference w:type="default" r:id="rId13"/>
      <w:head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A63D5" w14:textId="77777777" w:rsidR="00803B74" w:rsidRPr="007F2135" w:rsidRDefault="00803B74">
      <w:r w:rsidRPr="007F2135">
        <w:separator/>
      </w:r>
    </w:p>
  </w:endnote>
  <w:endnote w:type="continuationSeparator" w:id="0">
    <w:p w14:paraId="6362B6F3" w14:textId="77777777" w:rsidR="00803B74" w:rsidRPr="007F2135" w:rsidRDefault="00803B74">
      <w:r w:rsidRPr="007F2135">
        <w:continuationSeparator/>
      </w:r>
    </w:p>
  </w:endnote>
  <w:endnote w:type="continuationNotice" w:id="1">
    <w:p w14:paraId="002FDC17" w14:textId="77777777" w:rsidR="00803B74" w:rsidRPr="007F2135" w:rsidRDefault="0080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43650B71-854D-4D53-BCD1-42BAB9AE1DC6}"/>
    <w:embedBold r:id="rId2" w:fontKey="{D952F344-E820-4CF4-AF55-AAFD3D816317}"/>
    <w:embedItalic r:id="rId3" w:fontKey="{00DDE195-535B-464E-B3D2-99EC94BFBAF9}"/>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4" w:fontKey="{03D49100-28BE-4D61-B0BB-A6B9D238A609}"/>
  </w:font>
  <w:font w:name="Georgia">
    <w:panose1 w:val="02040502050405020303"/>
    <w:charset w:val="00"/>
    <w:family w:val="roman"/>
    <w:pitch w:val="variable"/>
    <w:sig w:usb0="00000287" w:usb1="00000000" w:usb2="00000000" w:usb3="00000000" w:csb0="0000009F" w:csb1="00000000"/>
    <w:embedRegular r:id="rId5" w:fontKey="{EA544F15-3BDC-4135-A950-53765D2CB840}"/>
    <w:embedItalic r:id="rId6" w:fontKey="{9018337A-4EEB-4BCA-A5E0-55498D688609}"/>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517D5AD0-4F84-4DA6-A3A0-9692E4CA22FF}"/>
    <w:embedItalic r:id="rId8" w:fontKey="{8F1840F5-96F2-42AC-B668-7E39882F9A83}"/>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E9732BDB-0E3A-4966-9DB2-3CFD7FF28891}"/>
  </w:font>
  <w:font w:name="Calibri">
    <w:panose1 w:val="020F0502020204030204"/>
    <w:charset w:val="00"/>
    <w:family w:val="swiss"/>
    <w:pitch w:val="variable"/>
    <w:sig w:usb0="E4002EFF" w:usb1="C200247B" w:usb2="00000009" w:usb3="00000000" w:csb0="000001FF" w:csb1="00000000"/>
    <w:embedRegular r:id="rId10" w:fontKey="{49336F7F-8B52-4D4F-8C52-8CFE3D6FCF31}"/>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099F" w14:textId="77777777" w:rsidR="00803B74" w:rsidRPr="007F2135" w:rsidRDefault="00803B74">
      <w:r w:rsidRPr="007F2135">
        <w:separator/>
      </w:r>
    </w:p>
  </w:footnote>
  <w:footnote w:type="continuationSeparator" w:id="0">
    <w:p w14:paraId="444628A6" w14:textId="77777777" w:rsidR="00803B74" w:rsidRPr="007F2135" w:rsidRDefault="00803B74">
      <w:r w:rsidRPr="007F2135">
        <w:continuationSeparator/>
      </w:r>
    </w:p>
  </w:footnote>
  <w:footnote w:type="continuationNotice" w:id="1">
    <w:p w14:paraId="52141F30" w14:textId="77777777" w:rsidR="00803B74" w:rsidRPr="007F2135" w:rsidRDefault="00803B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6B683C3" w:rsidR="00FF2214" w:rsidRPr="007F2135" w:rsidRDefault="00850770">
    <w:pPr>
      <w:tabs>
        <w:tab w:val="center" w:pos="4320"/>
        <w:tab w:val="right" w:pos="8640"/>
      </w:tabs>
      <w:jc w:val="right"/>
      <w:rPr>
        <w:color w:val="000000"/>
      </w:rPr>
    </w:pPr>
    <w:r w:rsidRPr="007F2135">
      <w:rPr>
        <w:color w:val="000000"/>
      </w:rPr>
      <w:t>A-0</w:t>
    </w:r>
    <w:r w:rsidR="001B4A1E">
      <w:rPr>
        <w:color w:val="000000"/>
      </w:rPr>
      <w:t>53</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ED554" w14:textId="12CC36E2" w:rsidR="00BE518F" w:rsidRDefault="00BE518F">
    <w:pPr>
      <w:pStyle w:val="Header"/>
    </w:pPr>
    <w:r>
      <w:rPr>
        <w:noProof/>
      </w:rPr>
      <mc:AlternateContent>
        <mc:Choice Requires="wps">
          <w:drawing>
            <wp:anchor distT="0" distB="0" distL="114300" distR="114300" simplePos="0" relativeHeight="251659264" behindDoc="1" locked="0" layoutInCell="0" allowOverlap="1" wp14:anchorId="0AB962E2" wp14:editId="189121D9">
              <wp:simplePos x="0" y="0"/>
              <wp:positionH relativeFrom="margin">
                <wp:align>center</wp:align>
              </wp:positionH>
              <wp:positionV relativeFrom="margin">
                <wp:align>center</wp:align>
              </wp:positionV>
              <wp:extent cx="6703695" cy="1675765"/>
              <wp:effectExtent l="0" t="1714500" r="0" b="1848485"/>
              <wp:wrapNone/>
              <wp:docPr id="98525568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04A74C0"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0AB962E2" id="_x0000_t202" coordsize="21600,21600" o:spt="202" path="m,l,21600r21600,l21600,xe">
              <v:stroke joinstyle="miter"/>
              <v:path gradientshapeok="t" o:connecttype="rect"/>
            </v:shapetype>
            <v:shape id="Text Box 1" o:spid="_x0000_s1026" type="#_x0000_t202" style="position:absolute;margin-left:0;margin-top:0;width:527.85pt;height:131.9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Mg9AEAAMU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" o:allowincell="f" filled="f" stroked="f">
              <v:stroke joinstyle="round"/>
              <o:lock v:ext="edit" shapetype="t"/>
              <v:textbox style="mso-fit-shape-to-text:t">
                <w:txbxContent>
                  <w:p w14:paraId="304A74C0"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p>
  <w:p w14:paraId="21CAD16F" w14:textId="77777777" w:rsidR="00BE518F" w:rsidRDefault="00BE518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FBABB" w14:textId="590A06EB" w:rsidR="00BE518F" w:rsidRDefault="00BE518F" w:rsidP="007D325A">
    <w:pPr>
      <w:pStyle w:val="Header"/>
      <w:jc w:val="center"/>
    </w:pPr>
    <w:r>
      <w:rPr>
        <w:noProof/>
      </w:rPr>
      <mc:AlternateContent>
        <mc:Choice Requires="wps">
          <w:drawing>
            <wp:anchor distT="0" distB="0" distL="114300" distR="114300" simplePos="0" relativeHeight="251660288" behindDoc="1" locked="0" layoutInCell="0" allowOverlap="1" wp14:anchorId="05131E52" wp14:editId="268E8C9B">
              <wp:simplePos x="0" y="0"/>
              <wp:positionH relativeFrom="margin">
                <wp:align>center</wp:align>
              </wp:positionH>
              <wp:positionV relativeFrom="margin">
                <wp:align>center</wp:align>
              </wp:positionV>
              <wp:extent cx="6703695" cy="1675765"/>
              <wp:effectExtent l="0" t="1714500" r="0" b="1848485"/>
              <wp:wrapNone/>
              <wp:docPr id="1057241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1047F1"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05131E52" id="_x0000_t202" coordsize="21600,21600" o:spt="202" path="m,l,21600r21600,l21600,xe">
              <v:stroke joinstyle="miter"/>
              <v:path gradientshapeok="t" o:connecttype="rect"/>
            </v:shapetype>
            <v:shape id="Text Box 2" o:spid="_x0000_s1027" type="#_x0000_t202" style="position:absolute;left:0;text-align:left;margin-left:0;margin-top:0;width:527.85pt;height:131.9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M9wEAAMw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" o:allowincell="f" filled="f" stroked="f">
              <v:stroke joinstyle="round"/>
              <o:lock v:ext="edit" shapetype="t"/>
              <v:textbox style="mso-fit-shape-to-text:t">
                <w:txbxContent>
                  <w:p w14:paraId="671047F1" w14:textId="77777777" w:rsidR="00BE518F" w:rsidRDefault="00BE518F" w:rsidP="00BE518F">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Pr>
      <w:b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BC7F2" w14:textId="77777777" w:rsidR="00BE518F" w:rsidRDefault="00BE518F" w:rsidP="00B36D83">
    <w:pPr>
      <w:pStyle w:val="Header"/>
      <w:jc w:val="right"/>
    </w:pPr>
    <w:r>
      <w:t>A-049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C43"/>
    <w:multiLevelType w:val="hybridMultilevel"/>
    <w:tmpl w:val="44200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B0C6F38"/>
    <w:multiLevelType w:val="multilevel"/>
    <w:tmpl w:val="035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514543333">
    <w:abstractNumId w:val="11"/>
  </w:num>
  <w:num w:numId="2" w16cid:durableId="1844394367">
    <w:abstractNumId w:val="5"/>
  </w:num>
  <w:num w:numId="3" w16cid:durableId="48185947">
    <w:abstractNumId w:val="21"/>
  </w:num>
  <w:num w:numId="4" w16cid:durableId="1783574521">
    <w:abstractNumId w:val="16"/>
  </w:num>
  <w:num w:numId="5" w16cid:durableId="443111931">
    <w:abstractNumId w:val="14"/>
  </w:num>
  <w:num w:numId="6" w16cid:durableId="1153910825">
    <w:abstractNumId w:val="2"/>
  </w:num>
  <w:num w:numId="7" w16cid:durableId="281156772">
    <w:abstractNumId w:val="17"/>
  </w:num>
  <w:num w:numId="8" w16cid:durableId="2092505804">
    <w:abstractNumId w:val="1"/>
  </w:num>
  <w:num w:numId="9" w16cid:durableId="1241595162">
    <w:abstractNumId w:val="4"/>
  </w:num>
  <w:num w:numId="10" w16cid:durableId="1333600705">
    <w:abstractNumId w:val="7"/>
  </w:num>
  <w:num w:numId="11" w16cid:durableId="384835755">
    <w:abstractNumId w:val="8"/>
  </w:num>
  <w:num w:numId="12" w16cid:durableId="1844976573">
    <w:abstractNumId w:val="12"/>
  </w:num>
  <w:num w:numId="13" w16cid:durableId="1566984903">
    <w:abstractNumId w:val="10"/>
  </w:num>
  <w:num w:numId="14" w16cid:durableId="2070571449">
    <w:abstractNumId w:val="18"/>
  </w:num>
  <w:num w:numId="15" w16cid:durableId="486555809">
    <w:abstractNumId w:val="9"/>
  </w:num>
  <w:num w:numId="16" w16cid:durableId="549342782">
    <w:abstractNumId w:val="20"/>
  </w:num>
  <w:num w:numId="17" w16cid:durableId="1839929571">
    <w:abstractNumId w:val="3"/>
  </w:num>
  <w:num w:numId="18" w16cid:durableId="1698197307">
    <w:abstractNumId w:val="6"/>
  </w:num>
  <w:num w:numId="19" w16cid:durableId="2127237579">
    <w:abstractNumId w:val="13"/>
  </w:num>
  <w:num w:numId="20" w16cid:durableId="1307661653">
    <w:abstractNumId w:val="15"/>
  </w:num>
  <w:num w:numId="21" w16cid:durableId="1707103882">
    <w:abstractNumId w:val="19"/>
  </w:num>
  <w:num w:numId="22" w16cid:durableId="365444660">
    <w:abstractNumId w:val="22"/>
  </w:num>
  <w:num w:numId="23" w16cid:durableId="728652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502AE"/>
    <w:rsid w:val="00052113"/>
    <w:rsid w:val="00056D71"/>
    <w:rsid w:val="00057EF4"/>
    <w:rsid w:val="00066DD3"/>
    <w:rsid w:val="0007036F"/>
    <w:rsid w:val="000741B3"/>
    <w:rsid w:val="0008657D"/>
    <w:rsid w:val="00091F49"/>
    <w:rsid w:val="00093558"/>
    <w:rsid w:val="00094484"/>
    <w:rsid w:val="0009603C"/>
    <w:rsid w:val="000A1DC3"/>
    <w:rsid w:val="000A33B9"/>
    <w:rsid w:val="000B33EC"/>
    <w:rsid w:val="000B7038"/>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16E1C"/>
    <w:rsid w:val="001216F2"/>
    <w:rsid w:val="0012419B"/>
    <w:rsid w:val="001255FB"/>
    <w:rsid w:val="001275A9"/>
    <w:rsid w:val="001336EE"/>
    <w:rsid w:val="00133D83"/>
    <w:rsid w:val="001433C2"/>
    <w:rsid w:val="001437B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B4A1E"/>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5AE5"/>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131"/>
    <w:rsid w:val="002A4F4F"/>
    <w:rsid w:val="002B2FBB"/>
    <w:rsid w:val="002B5618"/>
    <w:rsid w:val="002B62EE"/>
    <w:rsid w:val="002B7906"/>
    <w:rsid w:val="002C1726"/>
    <w:rsid w:val="002C5A5A"/>
    <w:rsid w:val="002D6159"/>
    <w:rsid w:val="002F21CF"/>
    <w:rsid w:val="002F48BA"/>
    <w:rsid w:val="002F5B16"/>
    <w:rsid w:val="00302E03"/>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1790E"/>
    <w:rsid w:val="004221C5"/>
    <w:rsid w:val="004246A8"/>
    <w:rsid w:val="00425710"/>
    <w:rsid w:val="0042619D"/>
    <w:rsid w:val="00432896"/>
    <w:rsid w:val="00437135"/>
    <w:rsid w:val="00437DC4"/>
    <w:rsid w:val="004403A8"/>
    <w:rsid w:val="00444257"/>
    <w:rsid w:val="00447F1B"/>
    <w:rsid w:val="00452649"/>
    <w:rsid w:val="00461FBD"/>
    <w:rsid w:val="00462353"/>
    <w:rsid w:val="00462BEA"/>
    <w:rsid w:val="00465256"/>
    <w:rsid w:val="004674AD"/>
    <w:rsid w:val="0048210C"/>
    <w:rsid w:val="0049425A"/>
    <w:rsid w:val="004A0EAF"/>
    <w:rsid w:val="004A5974"/>
    <w:rsid w:val="004A63FB"/>
    <w:rsid w:val="004A763E"/>
    <w:rsid w:val="004A7CA2"/>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732"/>
    <w:rsid w:val="00506CA0"/>
    <w:rsid w:val="00511693"/>
    <w:rsid w:val="00521CE8"/>
    <w:rsid w:val="005229AD"/>
    <w:rsid w:val="00524FBA"/>
    <w:rsid w:val="00526AC9"/>
    <w:rsid w:val="00527B13"/>
    <w:rsid w:val="00534596"/>
    <w:rsid w:val="005427F8"/>
    <w:rsid w:val="00543529"/>
    <w:rsid w:val="00546040"/>
    <w:rsid w:val="00552C7A"/>
    <w:rsid w:val="00556C43"/>
    <w:rsid w:val="00557579"/>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F54"/>
    <w:rsid w:val="005E3602"/>
    <w:rsid w:val="005E3680"/>
    <w:rsid w:val="005E4152"/>
    <w:rsid w:val="005E63C3"/>
    <w:rsid w:val="005E7EC5"/>
    <w:rsid w:val="005F0A2C"/>
    <w:rsid w:val="005F0E8D"/>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471F"/>
    <w:rsid w:val="00753E10"/>
    <w:rsid w:val="00755AEC"/>
    <w:rsid w:val="00755DDC"/>
    <w:rsid w:val="00760792"/>
    <w:rsid w:val="00764D63"/>
    <w:rsid w:val="0077017C"/>
    <w:rsid w:val="00773ABA"/>
    <w:rsid w:val="0078017D"/>
    <w:rsid w:val="00781480"/>
    <w:rsid w:val="00790693"/>
    <w:rsid w:val="00791FA9"/>
    <w:rsid w:val="00795BD6"/>
    <w:rsid w:val="007A346E"/>
    <w:rsid w:val="007A4745"/>
    <w:rsid w:val="007A5875"/>
    <w:rsid w:val="007B090C"/>
    <w:rsid w:val="007B5C75"/>
    <w:rsid w:val="007C7157"/>
    <w:rsid w:val="007D325A"/>
    <w:rsid w:val="007D76E0"/>
    <w:rsid w:val="007E368D"/>
    <w:rsid w:val="007F2135"/>
    <w:rsid w:val="00803B74"/>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720A6"/>
    <w:rsid w:val="00881D48"/>
    <w:rsid w:val="008863D7"/>
    <w:rsid w:val="0089008A"/>
    <w:rsid w:val="00890C4D"/>
    <w:rsid w:val="00891773"/>
    <w:rsid w:val="008925BB"/>
    <w:rsid w:val="008A1F5E"/>
    <w:rsid w:val="008A5641"/>
    <w:rsid w:val="008B1AF6"/>
    <w:rsid w:val="008B3680"/>
    <w:rsid w:val="008B718E"/>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4C44"/>
    <w:rsid w:val="0093744C"/>
    <w:rsid w:val="009416EA"/>
    <w:rsid w:val="00942E06"/>
    <w:rsid w:val="00950505"/>
    <w:rsid w:val="00950A46"/>
    <w:rsid w:val="00952875"/>
    <w:rsid w:val="00954675"/>
    <w:rsid w:val="00962C3E"/>
    <w:rsid w:val="00963E17"/>
    <w:rsid w:val="00965195"/>
    <w:rsid w:val="00970540"/>
    <w:rsid w:val="00971D18"/>
    <w:rsid w:val="00975B0E"/>
    <w:rsid w:val="009807A4"/>
    <w:rsid w:val="009833D3"/>
    <w:rsid w:val="009927E5"/>
    <w:rsid w:val="009A0ED5"/>
    <w:rsid w:val="009A608A"/>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58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9F1"/>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44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1EF6"/>
    <w:rsid w:val="00BD4F99"/>
    <w:rsid w:val="00BE14D9"/>
    <w:rsid w:val="00BE2036"/>
    <w:rsid w:val="00BE4BBF"/>
    <w:rsid w:val="00BE518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72FDE"/>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468EE"/>
    <w:rsid w:val="00D50765"/>
    <w:rsid w:val="00D50CD3"/>
    <w:rsid w:val="00D70D0B"/>
    <w:rsid w:val="00D84992"/>
    <w:rsid w:val="00D937E3"/>
    <w:rsid w:val="00D938F9"/>
    <w:rsid w:val="00D95879"/>
    <w:rsid w:val="00D962FB"/>
    <w:rsid w:val="00DA5EB9"/>
    <w:rsid w:val="00DD225A"/>
    <w:rsid w:val="00DD27A7"/>
    <w:rsid w:val="00DD392D"/>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384C"/>
    <w:rsid w:val="00EA5801"/>
    <w:rsid w:val="00EA6377"/>
    <w:rsid w:val="00EB087E"/>
    <w:rsid w:val="00EB0D65"/>
    <w:rsid w:val="00EB506F"/>
    <w:rsid w:val="00EC1C10"/>
    <w:rsid w:val="00EC2169"/>
    <w:rsid w:val="00EC31D3"/>
    <w:rsid w:val="00EC69F6"/>
    <w:rsid w:val="00ED3996"/>
    <w:rsid w:val="00ED3D87"/>
    <w:rsid w:val="00ED5A58"/>
    <w:rsid w:val="00EE009B"/>
    <w:rsid w:val="00EE1D75"/>
    <w:rsid w:val="00EF0A9E"/>
    <w:rsid w:val="00EF2711"/>
    <w:rsid w:val="00EF2D8D"/>
    <w:rsid w:val="00F026C9"/>
    <w:rsid w:val="00F07C7D"/>
    <w:rsid w:val="00F16B71"/>
    <w:rsid w:val="00F16C58"/>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D59D9"/>
    <w:rsid w:val="00FE2D53"/>
    <w:rsid w:val="00FF2214"/>
    <w:rsid w:val="00FF7C2C"/>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550656"/>
  <w15:docId w15:val="{31EE50A7-F005-43BD-9F6D-5D63C61CA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985890094">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784016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90">
          <w:marLeft w:val="0"/>
          <w:marRight w:val="0"/>
          <w:marTop w:val="0"/>
          <w:marBottom w:val="0"/>
          <w:divBdr>
            <w:top w:val="none" w:sz="0" w:space="0" w:color="auto"/>
            <w:left w:val="none" w:sz="0" w:space="0" w:color="auto"/>
            <w:bottom w:val="none" w:sz="0" w:space="0" w:color="auto"/>
            <w:right w:val="none" w:sz="0" w:space="0" w:color="auto"/>
          </w:divBdr>
          <w:divsChild>
            <w:div w:id="82334990">
              <w:marLeft w:val="0"/>
              <w:marRight w:val="0"/>
              <w:marTop w:val="0"/>
              <w:marBottom w:val="0"/>
              <w:divBdr>
                <w:top w:val="none" w:sz="0" w:space="0" w:color="auto"/>
                <w:left w:val="none" w:sz="0" w:space="0" w:color="auto"/>
                <w:bottom w:val="none" w:sz="0" w:space="0" w:color="auto"/>
                <w:right w:val="none" w:sz="0" w:space="0" w:color="auto"/>
              </w:divBdr>
            </w:div>
          </w:divsChild>
        </w:div>
        <w:div w:id="705981687">
          <w:marLeft w:val="0"/>
          <w:marRight w:val="0"/>
          <w:marTop w:val="0"/>
          <w:marBottom w:val="0"/>
          <w:divBdr>
            <w:top w:val="none" w:sz="0" w:space="0" w:color="auto"/>
            <w:left w:val="none" w:sz="0" w:space="0" w:color="auto"/>
            <w:bottom w:val="none" w:sz="0" w:space="0" w:color="auto"/>
            <w:right w:val="none" w:sz="0" w:space="0" w:color="auto"/>
          </w:divBdr>
          <w:divsChild>
            <w:div w:id="1468159046">
              <w:marLeft w:val="0"/>
              <w:marRight w:val="0"/>
              <w:marTop w:val="0"/>
              <w:marBottom w:val="0"/>
              <w:divBdr>
                <w:top w:val="none" w:sz="0" w:space="0" w:color="auto"/>
                <w:left w:val="none" w:sz="0" w:space="0" w:color="auto"/>
                <w:bottom w:val="none" w:sz="0" w:space="0" w:color="auto"/>
                <w:right w:val="none" w:sz="0" w:space="0" w:color="auto"/>
              </w:divBdr>
              <w:divsChild>
                <w:div w:id="3016631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2914033">
          <w:marLeft w:val="0"/>
          <w:marRight w:val="0"/>
          <w:marTop w:val="0"/>
          <w:marBottom w:val="0"/>
          <w:divBdr>
            <w:top w:val="none" w:sz="0" w:space="0" w:color="auto"/>
            <w:left w:val="none" w:sz="0" w:space="0" w:color="auto"/>
            <w:bottom w:val="none" w:sz="0" w:space="0" w:color="auto"/>
            <w:right w:val="none" w:sz="0" w:space="0" w:color="auto"/>
          </w:divBdr>
          <w:divsChild>
            <w:div w:id="1295792478">
              <w:marLeft w:val="0"/>
              <w:marRight w:val="0"/>
              <w:marTop w:val="0"/>
              <w:marBottom w:val="0"/>
              <w:divBdr>
                <w:top w:val="none" w:sz="0" w:space="0" w:color="auto"/>
                <w:left w:val="none" w:sz="0" w:space="0" w:color="auto"/>
                <w:bottom w:val="none" w:sz="0" w:space="0" w:color="auto"/>
                <w:right w:val="none" w:sz="0" w:space="0" w:color="auto"/>
              </w:divBdr>
              <w:divsChild>
                <w:div w:id="4403392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2892863">
      <w:bodyDiv w:val="1"/>
      <w:marLeft w:val="0"/>
      <w:marRight w:val="0"/>
      <w:marTop w:val="0"/>
      <w:marBottom w:val="0"/>
      <w:divBdr>
        <w:top w:val="none" w:sz="0" w:space="0" w:color="auto"/>
        <w:left w:val="none" w:sz="0" w:space="0" w:color="auto"/>
        <w:bottom w:val="none" w:sz="0" w:space="0" w:color="auto"/>
        <w:right w:val="none" w:sz="0" w:space="0" w:color="auto"/>
      </w:divBdr>
      <w:divsChild>
        <w:div w:id="289943278">
          <w:marLeft w:val="0"/>
          <w:marRight w:val="0"/>
          <w:marTop w:val="0"/>
          <w:marBottom w:val="0"/>
          <w:divBdr>
            <w:top w:val="none" w:sz="0" w:space="0" w:color="auto"/>
            <w:left w:val="none" w:sz="0" w:space="0" w:color="auto"/>
            <w:bottom w:val="none" w:sz="0" w:space="0" w:color="auto"/>
            <w:right w:val="none" w:sz="0" w:space="0" w:color="auto"/>
          </w:divBdr>
          <w:divsChild>
            <w:div w:id="1949577013">
              <w:marLeft w:val="0"/>
              <w:marRight w:val="0"/>
              <w:marTop w:val="0"/>
              <w:marBottom w:val="0"/>
              <w:divBdr>
                <w:top w:val="none" w:sz="0" w:space="0" w:color="auto"/>
                <w:left w:val="none" w:sz="0" w:space="0" w:color="auto"/>
                <w:bottom w:val="none" w:sz="0" w:space="0" w:color="auto"/>
                <w:right w:val="none" w:sz="0" w:space="0" w:color="auto"/>
              </w:divBdr>
            </w:div>
          </w:divsChild>
        </w:div>
        <w:div w:id="1063452766">
          <w:marLeft w:val="0"/>
          <w:marRight w:val="0"/>
          <w:marTop w:val="0"/>
          <w:marBottom w:val="0"/>
          <w:divBdr>
            <w:top w:val="none" w:sz="0" w:space="0" w:color="auto"/>
            <w:left w:val="none" w:sz="0" w:space="0" w:color="auto"/>
            <w:bottom w:val="none" w:sz="0" w:space="0" w:color="auto"/>
            <w:right w:val="none" w:sz="0" w:space="0" w:color="auto"/>
          </w:divBdr>
          <w:divsChild>
            <w:div w:id="1370497011">
              <w:marLeft w:val="0"/>
              <w:marRight w:val="0"/>
              <w:marTop w:val="0"/>
              <w:marBottom w:val="0"/>
              <w:divBdr>
                <w:top w:val="none" w:sz="0" w:space="0" w:color="auto"/>
                <w:left w:val="none" w:sz="0" w:space="0" w:color="auto"/>
                <w:bottom w:val="none" w:sz="0" w:space="0" w:color="auto"/>
                <w:right w:val="none" w:sz="0" w:space="0" w:color="auto"/>
              </w:divBdr>
              <w:divsChild>
                <w:div w:id="11464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4718089">
          <w:marLeft w:val="0"/>
          <w:marRight w:val="0"/>
          <w:marTop w:val="0"/>
          <w:marBottom w:val="0"/>
          <w:divBdr>
            <w:top w:val="none" w:sz="0" w:space="0" w:color="auto"/>
            <w:left w:val="none" w:sz="0" w:space="0" w:color="auto"/>
            <w:bottom w:val="none" w:sz="0" w:space="0" w:color="auto"/>
            <w:right w:val="none" w:sz="0" w:space="0" w:color="auto"/>
          </w:divBdr>
          <w:divsChild>
            <w:div w:id="148250925">
              <w:marLeft w:val="0"/>
              <w:marRight w:val="0"/>
              <w:marTop w:val="0"/>
              <w:marBottom w:val="0"/>
              <w:divBdr>
                <w:top w:val="none" w:sz="0" w:space="0" w:color="auto"/>
                <w:left w:val="none" w:sz="0" w:space="0" w:color="auto"/>
                <w:bottom w:val="none" w:sz="0" w:space="0" w:color="auto"/>
                <w:right w:val="none" w:sz="0" w:space="0" w:color="auto"/>
              </w:divBdr>
              <w:divsChild>
                <w:div w:id="6206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6599753">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1767</Words>
  <Characters>10077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2025-01-23T03:05:00Z</cp:lastPrinted>
  <dcterms:created xsi:type="dcterms:W3CDTF">2025-04-04T21:32:00Z</dcterms:created>
  <dcterms:modified xsi:type="dcterms:W3CDTF">2025-04-07T14:02:00Z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