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4748BD" w:rsidRDefault="00850770">
      <w:pPr>
        <w:jc w:val="center"/>
        <w:rPr>
          <w:rFonts w:ascii="Book Antiqua" w:eastAsia="Book Antiqua" w:hAnsi="Book Antiqua" w:cs="Book Antiqua"/>
          <w:bCs/>
          <w:color w:val="000000" w:themeColor="text1"/>
          <w:sz w:val="28"/>
          <w:szCs w:val="28"/>
        </w:rPr>
      </w:pPr>
      <w:r w:rsidRPr="004748BD">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4748BD">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5735D8A2"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390B52">
        <w:rPr>
          <w:rFonts w:ascii="Book Antiqua" w:hAnsi="Book Antiqua"/>
          <w:b/>
          <w:color w:val="000000" w:themeColor="text1"/>
          <w:sz w:val="52"/>
          <w:szCs w:val="52"/>
        </w:rPr>
        <w:t xml:space="preserve"> 509</w:t>
      </w:r>
    </w:p>
    <w:p w14:paraId="4A8A7A6F" w14:textId="77777777" w:rsidR="00950505" w:rsidRPr="007F2135" w:rsidRDefault="00950505" w:rsidP="00950505">
      <w:pPr>
        <w:jc w:val="center"/>
        <w:rPr>
          <w:rFonts w:ascii="Book Antiqua" w:hAnsi="Book Antiqua"/>
          <w:color w:val="000000" w:themeColor="text1"/>
        </w:rPr>
      </w:pPr>
    </w:p>
    <w:p w14:paraId="3D87D176" w14:textId="5CAC89C3" w:rsidR="00950505" w:rsidRPr="007F2135" w:rsidRDefault="00390B52"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33EA8D3E" w:rsidR="00950505" w:rsidRPr="007F2135" w:rsidRDefault="005C4B0B" w:rsidP="00950505">
      <w:pPr>
        <w:jc w:val="center"/>
        <w:rPr>
          <w:rFonts w:ascii="Book Antiqua" w:hAnsi="Book Antiqua"/>
          <w:color w:val="000000" w:themeColor="text1"/>
        </w:rPr>
      </w:pPr>
      <w:r w:rsidRPr="005C4B0B">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026EAB11" w14:textId="6DA781C4" w:rsidR="00EE63CA" w:rsidRDefault="00850770" w:rsidP="00401D25">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401D25" w:rsidRPr="00FF65CB">
        <w:rPr>
          <w:rFonts w:ascii="Book Antiqua" w:hAnsi="Book Antiqua"/>
          <w:color w:val="000000"/>
          <w:lang w:val="es-ES"/>
        </w:rPr>
        <w:t xml:space="preserve">enmendar </w:t>
      </w:r>
      <w:r w:rsidR="00401D25" w:rsidRPr="00270E7A">
        <w:rPr>
          <w:rFonts w:ascii="Book Antiqua" w:hAnsi="Book Antiqua"/>
        </w:rPr>
        <w:t>la Sección 2 de la Ley 132-2010, según enmendada, conocida como la “Ley de Estímulo al Mercado de Propiedades Inmuebles”</w:t>
      </w:r>
      <w:r w:rsidR="00401D25">
        <w:rPr>
          <w:rFonts w:ascii="Book Antiqua" w:hAnsi="Book Antiqua"/>
        </w:rPr>
        <w:t xml:space="preserve"> para extender la exención de contribución sobre ingresos en los ingresos de arrendamiento de propiedad residencial localizada en Puerto Rico</w:t>
      </w:r>
      <w:r w:rsidR="00401D25" w:rsidRPr="009860AE">
        <w:rPr>
          <w:rFonts w:ascii="Book Antiqua" w:hAnsi="Book Antiqua"/>
          <w:color w:val="000000" w:themeColor="text1"/>
        </w:rPr>
        <w:t>.</w:t>
      </w:r>
    </w:p>
    <w:p w14:paraId="5B3009AE" w14:textId="77777777" w:rsidR="00401D25" w:rsidRPr="007F2135" w:rsidRDefault="00401D25" w:rsidP="00401D25">
      <w:pPr>
        <w:suppressLineNumbers/>
        <w:ind w:left="540" w:hanging="540"/>
        <w:jc w:val="both"/>
        <w:rPr>
          <w:rFonts w:ascii="Book Antiqua" w:eastAsia="Aptos" w:hAnsi="Book Antiqua"/>
          <w:color w:val="000000" w:themeColor="text1"/>
          <w:kern w:val="2"/>
          <w14:ligatures w14:val="standardContextual"/>
        </w:rPr>
      </w:pPr>
    </w:p>
    <w:p w14:paraId="3D851F5B" w14:textId="49317F2C" w:rsidR="00867C30" w:rsidRDefault="00850770" w:rsidP="00867C30">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779F623" w14:textId="77777777" w:rsidR="00867C30" w:rsidRDefault="00867C30" w:rsidP="00401D25">
      <w:pPr>
        <w:ind w:left="540" w:hanging="540"/>
        <w:jc w:val="center"/>
        <w:rPr>
          <w:rFonts w:ascii="Book Antiqua" w:eastAsia="Book Antiqua" w:hAnsi="Book Antiqua" w:cs="Book Antiqua"/>
          <w:bCs/>
          <w:color w:val="000000" w:themeColor="text1"/>
        </w:rPr>
      </w:pPr>
    </w:p>
    <w:p w14:paraId="0E69A071" w14:textId="445FC4AA" w:rsidR="00401D25" w:rsidRDefault="00401D25" w:rsidP="00401D25">
      <w:pPr>
        <w:suppressLineNumbers/>
        <w:ind w:firstLine="540"/>
        <w:jc w:val="both"/>
        <w:rPr>
          <w:rFonts w:ascii="Book Antiqua" w:hAnsi="Book Antiqua"/>
          <w:color w:val="000000" w:themeColor="text1"/>
        </w:rPr>
      </w:pPr>
      <w:r>
        <w:rPr>
          <w:rFonts w:ascii="Book Antiqua" w:hAnsi="Book Antiqua"/>
          <w:color w:val="000000" w:themeColor="text1"/>
        </w:rPr>
        <w:t xml:space="preserve">Desde el 2010 el Gobierno de Puerto Rico </w:t>
      </w:r>
      <w:r w:rsidRPr="00DF7D11">
        <w:rPr>
          <w:rFonts w:ascii="Book Antiqua" w:hAnsi="Book Antiqua"/>
          <w:color w:val="000000" w:themeColor="text1"/>
        </w:rPr>
        <w:t>tiene un compromiso de fomentar el desarrollo económico y la protección y generación de empleos, así como el facilitar la obtención de una vivienda digna y segura para todos los puertorriqueños. En virtud de lo anterior, se establec</w:t>
      </w:r>
      <w:r>
        <w:rPr>
          <w:rFonts w:ascii="Book Antiqua" w:hAnsi="Book Antiqua"/>
          <w:color w:val="000000" w:themeColor="text1"/>
        </w:rPr>
        <w:t>ió en ese año</w:t>
      </w:r>
      <w:r w:rsidR="00E1579A">
        <w:rPr>
          <w:rFonts w:ascii="Book Antiqua" w:hAnsi="Book Antiqua"/>
          <w:color w:val="000000" w:themeColor="text1"/>
        </w:rPr>
        <w:t xml:space="preserve"> la</w:t>
      </w:r>
      <w:r w:rsidRPr="00DF7D11">
        <w:rPr>
          <w:rFonts w:ascii="Book Antiqua" w:hAnsi="Book Antiqua"/>
          <w:color w:val="000000" w:themeColor="text1"/>
        </w:rPr>
        <w:t xml:space="preserve"> “Ley de Estímulo al Mercado de Propiedades Inmuebles”, a los fines de crear un programa de incentivos para la adquisición y arrendamientos de viviendas, construcción de viviendas prediseñadas y para la adquisición de ciertas propiedades inmuebles no residenciales. </w:t>
      </w:r>
    </w:p>
    <w:p w14:paraId="43809143" w14:textId="77777777" w:rsidR="00401D25" w:rsidRDefault="00401D25" w:rsidP="00401D25">
      <w:pPr>
        <w:suppressLineNumbers/>
        <w:ind w:firstLine="720"/>
        <w:jc w:val="both"/>
        <w:rPr>
          <w:rFonts w:ascii="Book Antiqua" w:hAnsi="Book Antiqua"/>
          <w:color w:val="000000" w:themeColor="text1"/>
        </w:rPr>
      </w:pPr>
      <w:r w:rsidRPr="00DF7D11">
        <w:rPr>
          <w:rFonts w:ascii="Book Antiqua" w:hAnsi="Book Antiqua"/>
          <w:color w:val="000000" w:themeColor="text1"/>
        </w:rPr>
        <w:lastRenderedPageBreak/>
        <w:t xml:space="preserve">En particular, mediante </w:t>
      </w:r>
      <w:r>
        <w:rPr>
          <w:rFonts w:ascii="Book Antiqua" w:hAnsi="Book Antiqua"/>
          <w:color w:val="000000" w:themeColor="text1"/>
        </w:rPr>
        <w:t xml:space="preserve">dicha </w:t>
      </w:r>
      <w:r w:rsidRPr="00DF7D11">
        <w:rPr>
          <w:rFonts w:ascii="Book Antiqua" w:hAnsi="Book Antiqua"/>
          <w:color w:val="000000" w:themeColor="text1"/>
        </w:rPr>
        <w:t xml:space="preserve">presente Ley se </w:t>
      </w:r>
      <w:r>
        <w:rPr>
          <w:rFonts w:ascii="Book Antiqua" w:hAnsi="Book Antiqua"/>
          <w:color w:val="000000" w:themeColor="text1"/>
        </w:rPr>
        <w:t xml:space="preserve">quiso </w:t>
      </w:r>
      <w:r w:rsidRPr="00DF7D11">
        <w:rPr>
          <w:rFonts w:ascii="Book Antiqua" w:hAnsi="Book Antiqua"/>
          <w:color w:val="000000" w:themeColor="text1"/>
        </w:rPr>
        <w:t>incentivar la compra de propiedad inmueble residencial de nueva construcción, apta para la convivencia familiar que no haya sido objeto de ocupación, sin limitar su aplicación a inmuebles adquiridos para constituir la residencia principal del adquirente.</w:t>
      </w:r>
    </w:p>
    <w:p w14:paraId="053CBE69" w14:textId="51945B54" w:rsidR="00401D25" w:rsidRDefault="00401D25" w:rsidP="00401D25">
      <w:pPr>
        <w:suppressLineNumbers/>
        <w:ind w:firstLine="720"/>
        <w:jc w:val="both"/>
        <w:rPr>
          <w:rFonts w:ascii="Book Antiqua" w:hAnsi="Book Antiqua"/>
          <w:color w:val="000000" w:themeColor="text1"/>
        </w:rPr>
      </w:pPr>
      <w:r w:rsidRPr="00DF7D11">
        <w:rPr>
          <w:rFonts w:ascii="Book Antiqua" w:hAnsi="Book Antiqua"/>
          <w:color w:val="000000" w:themeColor="text1"/>
        </w:rPr>
        <w:t xml:space="preserve"> </w:t>
      </w:r>
    </w:p>
    <w:p w14:paraId="06616DD5" w14:textId="77777777" w:rsidR="00401D25" w:rsidRDefault="00401D25" w:rsidP="00401D25">
      <w:pPr>
        <w:suppressLineNumbers/>
        <w:ind w:firstLine="720"/>
        <w:jc w:val="both"/>
        <w:rPr>
          <w:rFonts w:ascii="Book Antiqua" w:hAnsi="Book Antiqua"/>
          <w:color w:val="000000" w:themeColor="text1"/>
        </w:rPr>
      </w:pPr>
      <w:r>
        <w:rPr>
          <w:rFonts w:ascii="Book Antiqua" w:hAnsi="Book Antiqua"/>
          <w:color w:val="000000" w:themeColor="text1"/>
        </w:rPr>
        <w:t>Quince (15) años después l</w:t>
      </w:r>
      <w:r w:rsidRPr="00486332">
        <w:rPr>
          <w:rFonts w:ascii="Book Antiqua" w:hAnsi="Book Antiqua"/>
          <w:color w:val="000000" w:themeColor="text1"/>
        </w:rPr>
        <w:t xml:space="preserve">a situación económica de Puerto Rico tiene un impacto directo en el mercado de viviendas. Los desafíos económicos han afectado la capacidad de las personas para </w:t>
      </w:r>
      <w:r>
        <w:rPr>
          <w:rFonts w:ascii="Book Antiqua" w:hAnsi="Book Antiqua"/>
          <w:color w:val="000000" w:themeColor="text1"/>
        </w:rPr>
        <w:t xml:space="preserve">comprar y </w:t>
      </w:r>
      <w:r w:rsidRPr="00486332">
        <w:rPr>
          <w:rFonts w:ascii="Book Antiqua" w:hAnsi="Book Antiqua"/>
          <w:color w:val="000000" w:themeColor="text1"/>
        </w:rPr>
        <w:t>acceder a viviendas.</w:t>
      </w:r>
      <w:r>
        <w:rPr>
          <w:rFonts w:ascii="Book Antiqua" w:hAnsi="Book Antiqua"/>
          <w:color w:val="000000" w:themeColor="text1"/>
        </w:rPr>
        <w:t xml:space="preserve"> Los</w:t>
      </w:r>
      <w:r w:rsidRPr="00486332">
        <w:rPr>
          <w:rFonts w:ascii="Book Antiqua" w:hAnsi="Book Antiqua"/>
          <w:color w:val="000000" w:themeColor="text1"/>
        </w:rPr>
        <w:t xml:space="preserve"> precios de las viviendas </w:t>
      </w:r>
      <w:r>
        <w:rPr>
          <w:rFonts w:ascii="Book Antiqua" w:hAnsi="Book Antiqua"/>
          <w:color w:val="000000" w:themeColor="text1"/>
        </w:rPr>
        <w:t>se ven</w:t>
      </w:r>
      <w:r w:rsidRPr="00486332">
        <w:rPr>
          <w:rFonts w:ascii="Book Antiqua" w:hAnsi="Book Antiqua"/>
          <w:color w:val="000000" w:themeColor="text1"/>
        </w:rPr>
        <w:t xml:space="preserve"> afectados por la oferta y la demanda.</w:t>
      </w:r>
      <w:r>
        <w:rPr>
          <w:rFonts w:ascii="Book Antiqua" w:hAnsi="Book Antiqua"/>
          <w:color w:val="000000" w:themeColor="text1"/>
        </w:rPr>
        <w:t xml:space="preserve"> En conformidad, esta medida tendrá los siguientes objetivos fundamentales: </w:t>
      </w:r>
    </w:p>
    <w:p w14:paraId="1BFA8C57" w14:textId="77777777" w:rsidR="008F3537" w:rsidRDefault="008F3537" w:rsidP="00401D25">
      <w:pPr>
        <w:suppressLineNumbers/>
        <w:ind w:firstLine="720"/>
        <w:jc w:val="both"/>
        <w:rPr>
          <w:rFonts w:ascii="Book Antiqua" w:hAnsi="Book Antiqua"/>
          <w:color w:val="000000" w:themeColor="text1"/>
        </w:rPr>
      </w:pPr>
    </w:p>
    <w:p w14:paraId="62BF33E2" w14:textId="77777777" w:rsidR="00401D25" w:rsidRPr="00A37398" w:rsidRDefault="00401D25" w:rsidP="00401D25">
      <w:pPr>
        <w:pStyle w:val="ListParagraph"/>
        <w:numPr>
          <w:ilvl w:val="0"/>
          <w:numId w:val="23"/>
        </w:numPr>
        <w:suppressLineNumbers/>
        <w:jc w:val="both"/>
        <w:rPr>
          <w:rFonts w:ascii="Book Antiqua" w:hAnsi="Book Antiqua"/>
          <w:color w:val="000000" w:themeColor="text1"/>
        </w:rPr>
      </w:pPr>
      <w:r w:rsidRPr="00A37398">
        <w:rPr>
          <w:rFonts w:ascii="Book Antiqua" w:hAnsi="Book Antiqua"/>
          <w:color w:val="000000" w:themeColor="text1"/>
        </w:rPr>
        <w:t>Fomentar la inversión en propiedades residenciales mediante</w:t>
      </w:r>
      <w:r w:rsidRPr="00486332">
        <w:rPr>
          <w:rFonts w:ascii="Book Antiqua" w:hAnsi="Book Antiqua"/>
          <w:color w:val="000000" w:themeColor="text1"/>
        </w:rPr>
        <w:t xml:space="preserve"> la </w:t>
      </w:r>
      <w:r w:rsidRPr="00A37398">
        <w:rPr>
          <w:rFonts w:ascii="Book Antiqua" w:hAnsi="Book Antiqua"/>
          <w:color w:val="000000" w:themeColor="text1"/>
        </w:rPr>
        <w:t>continuidad de beneficios contributivos atractivos para arrendadores.</w:t>
      </w:r>
    </w:p>
    <w:p w14:paraId="5C364515" w14:textId="77777777" w:rsidR="00401D25" w:rsidRPr="00A37398" w:rsidRDefault="00401D25" w:rsidP="00401D25">
      <w:pPr>
        <w:pStyle w:val="ListParagraph"/>
        <w:numPr>
          <w:ilvl w:val="0"/>
          <w:numId w:val="23"/>
        </w:numPr>
        <w:suppressLineNumbers/>
        <w:jc w:val="both"/>
        <w:rPr>
          <w:rFonts w:ascii="Book Antiqua" w:hAnsi="Book Antiqua"/>
          <w:color w:val="000000" w:themeColor="text1"/>
        </w:rPr>
      </w:pPr>
      <w:r w:rsidRPr="00A37398">
        <w:rPr>
          <w:rFonts w:ascii="Book Antiqua" w:hAnsi="Book Antiqua"/>
          <w:color w:val="000000" w:themeColor="text1"/>
        </w:rPr>
        <w:t>Estimular el mercado inmobiliario.</w:t>
      </w:r>
    </w:p>
    <w:p w14:paraId="29052A9F" w14:textId="77777777" w:rsidR="00401D25" w:rsidRPr="00A37398" w:rsidRDefault="00401D25" w:rsidP="00401D25">
      <w:pPr>
        <w:pStyle w:val="ListParagraph"/>
        <w:numPr>
          <w:ilvl w:val="0"/>
          <w:numId w:val="23"/>
        </w:numPr>
        <w:suppressLineNumbers/>
        <w:jc w:val="both"/>
        <w:rPr>
          <w:rFonts w:ascii="Book Antiqua" w:hAnsi="Book Antiqua"/>
          <w:color w:val="000000" w:themeColor="text1"/>
        </w:rPr>
      </w:pPr>
      <w:r w:rsidRPr="00A37398">
        <w:rPr>
          <w:rFonts w:ascii="Book Antiqua" w:hAnsi="Book Antiqua"/>
          <w:color w:val="000000" w:themeColor="text1"/>
        </w:rPr>
        <w:t>Contribuir al desarrollo económico</w:t>
      </w:r>
      <w:r w:rsidRPr="00486332">
        <w:rPr>
          <w:rFonts w:ascii="Book Antiqua" w:hAnsi="Book Antiqua"/>
          <w:color w:val="000000" w:themeColor="text1"/>
        </w:rPr>
        <w:t xml:space="preserve"> de </w:t>
      </w:r>
      <w:r w:rsidRPr="00A37398">
        <w:rPr>
          <w:rFonts w:ascii="Book Antiqua" w:hAnsi="Book Antiqua"/>
          <w:color w:val="000000" w:themeColor="text1"/>
        </w:rPr>
        <w:t>Puerto Rico y apoyar el acceso a vivienda segura y digna mediante medidas que incentiven la oferta de alquiler.</w:t>
      </w:r>
    </w:p>
    <w:p w14:paraId="4640D021" w14:textId="77777777" w:rsidR="00401D25" w:rsidRDefault="00401D25" w:rsidP="00401D25">
      <w:pPr>
        <w:pStyle w:val="ListParagraph"/>
        <w:numPr>
          <w:ilvl w:val="0"/>
          <w:numId w:val="23"/>
        </w:numPr>
        <w:suppressLineNumbers/>
        <w:jc w:val="both"/>
        <w:rPr>
          <w:rFonts w:ascii="Book Antiqua" w:hAnsi="Book Antiqua"/>
          <w:color w:val="000000" w:themeColor="text1"/>
        </w:rPr>
      </w:pPr>
      <w:r w:rsidRPr="00A37398">
        <w:rPr>
          <w:rFonts w:ascii="Book Antiqua" w:hAnsi="Book Antiqua"/>
          <w:color w:val="000000" w:themeColor="text1"/>
        </w:rPr>
        <w:t>Reafirmar el compromiso del Gobierno con la estabilidad del sector vivienda y la calidad de vida de los ciudadanos</w:t>
      </w:r>
      <w:r>
        <w:rPr>
          <w:rFonts w:ascii="Book Antiqua" w:hAnsi="Book Antiqua"/>
          <w:color w:val="000000" w:themeColor="text1"/>
        </w:rPr>
        <w:t>.</w:t>
      </w:r>
    </w:p>
    <w:p w14:paraId="34B7B57A" w14:textId="77777777" w:rsidR="00401D25" w:rsidRDefault="00401D25" w:rsidP="00401D25">
      <w:pPr>
        <w:pStyle w:val="ListParagraph"/>
        <w:suppressLineNumbers/>
        <w:ind w:left="1080"/>
        <w:jc w:val="both"/>
        <w:rPr>
          <w:rFonts w:ascii="Book Antiqua" w:hAnsi="Book Antiqua"/>
          <w:color w:val="000000" w:themeColor="text1"/>
        </w:rPr>
      </w:pPr>
    </w:p>
    <w:p w14:paraId="3F7D6EEF" w14:textId="77777777" w:rsidR="00401D25" w:rsidRDefault="00401D25" w:rsidP="00401D25">
      <w:pPr>
        <w:suppressLineNumbers/>
        <w:ind w:firstLine="720"/>
        <w:jc w:val="both"/>
        <w:rPr>
          <w:rFonts w:ascii="Book Antiqua" w:hAnsi="Book Antiqua"/>
          <w:color w:val="000000" w:themeColor="text1"/>
        </w:rPr>
      </w:pPr>
      <w:r>
        <w:rPr>
          <w:rFonts w:ascii="Book Antiqua" w:hAnsi="Book Antiqua"/>
          <w:color w:val="000000" w:themeColor="text1"/>
        </w:rPr>
        <w:t xml:space="preserve">Los contribuyentes que no tienen suficientes ingresos o capital para poder ser los dueños de sus propias estructuras, pero que trabajan y buscan el sustento constante para sus familias, están obligados a pagar alquiler para poder satisfacer sus necesidades de vivienda. Sin embargo, la gran mayoría está sujeta a unas tasas contributivas de 15% con muy pocas opciones de deducción. Es por esto que la intención específica de este proyecto de ley es poder proteger a este gran segmento de nuestra población. </w:t>
      </w:r>
    </w:p>
    <w:p w14:paraId="477D2DB1" w14:textId="77777777" w:rsidR="00401D25" w:rsidRDefault="00401D25" w:rsidP="00401D25">
      <w:pPr>
        <w:suppressLineNumbers/>
        <w:ind w:firstLine="720"/>
        <w:jc w:val="both"/>
        <w:rPr>
          <w:rFonts w:ascii="Book Antiqua" w:hAnsi="Book Antiqua"/>
          <w:color w:val="000000" w:themeColor="text1"/>
        </w:rPr>
      </w:pPr>
    </w:p>
    <w:p w14:paraId="757DA61C" w14:textId="4A15A4B6" w:rsidR="000474CF" w:rsidRDefault="00401D25" w:rsidP="00401D25">
      <w:pPr>
        <w:ind w:firstLine="720"/>
        <w:rPr>
          <w:rFonts w:ascii="Book Antiqua" w:hAnsi="Book Antiqua"/>
          <w:color w:val="000000" w:themeColor="text1"/>
        </w:rPr>
      </w:pPr>
      <w:r>
        <w:rPr>
          <w:rFonts w:ascii="Book Antiqua" w:hAnsi="Book Antiqua"/>
          <w:color w:val="000000" w:themeColor="text1"/>
        </w:rPr>
        <w:t xml:space="preserve">Por todo lo anterior, esta Administración busca permitir que residentes no propietarios, pero que tengan ingresos, puedan tener unas condiciones contributivas que equitativas, en comparación con los contribuyentes propietarios. De esa manera continuaremos desarrollando normas tributarias que permitan mejorar la calidad de vida de todos en Puerto Rico.  </w:t>
      </w:r>
    </w:p>
    <w:p w14:paraId="56FDB99E" w14:textId="77777777" w:rsidR="00401D25" w:rsidRPr="00867C30" w:rsidRDefault="00401D25" w:rsidP="00401D25">
      <w:pPr>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6F70F383" w14:textId="77777777" w:rsidR="00401D25" w:rsidRPr="00206DEC" w:rsidRDefault="00401D25" w:rsidP="00401D25">
      <w:pPr>
        <w:pStyle w:val="Heading1"/>
      </w:pPr>
      <w:r w:rsidRPr="001558E0">
        <w:t xml:space="preserve">Artículo </w:t>
      </w:r>
      <w:r>
        <w:t>1</w:t>
      </w:r>
      <w:r w:rsidRPr="001558E0">
        <w:t xml:space="preserve">.- </w:t>
      </w:r>
      <w:r w:rsidRPr="00206DEC">
        <w:t>Se enmienda el apartado (b) de la Sección 2 de la Ley 132-2010, según enmendada, para que</w:t>
      </w:r>
      <w:r>
        <w:t xml:space="preserve"> se</w:t>
      </w:r>
      <w:r w:rsidRPr="00206DEC">
        <w:t xml:space="preserve"> lea como sigue: </w:t>
      </w:r>
    </w:p>
    <w:p w14:paraId="5B3ADD1A" w14:textId="77777777" w:rsidR="00401D25" w:rsidRPr="00206DEC" w:rsidRDefault="00401D25" w:rsidP="00401D25">
      <w:pPr>
        <w:spacing w:line="480" w:lineRule="auto"/>
        <w:jc w:val="both"/>
        <w:rPr>
          <w:rFonts w:ascii="Book Antiqua" w:hAnsi="Book Antiqua"/>
          <w:b/>
        </w:rPr>
      </w:pPr>
      <w:r w:rsidRPr="00206DEC">
        <w:rPr>
          <w:rFonts w:ascii="Book Antiqua" w:hAnsi="Book Antiqua"/>
        </w:rPr>
        <w:t>“Sección 2.- Exención Contributiva Aplicable al Ingreso Devengado por Concepto de Renta de Propiedad Residencial.-</w:t>
      </w:r>
    </w:p>
    <w:p w14:paraId="7C4119AA" w14:textId="77777777" w:rsidR="00401D25" w:rsidRPr="00206DEC" w:rsidRDefault="00401D25" w:rsidP="00401D25">
      <w:pPr>
        <w:spacing w:line="480" w:lineRule="auto"/>
        <w:ind w:left="720" w:hanging="360"/>
        <w:jc w:val="both"/>
        <w:rPr>
          <w:rFonts w:ascii="Book Antiqua" w:hAnsi="Book Antiqua"/>
        </w:rPr>
      </w:pPr>
      <w:r w:rsidRPr="00206DEC">
        <w:rPr>
          <w:rFonts w:ascii="Book Antiqua" w:hAnsi="Book Antiqua"/>
        </w:rPr>
        <w:lastRenderedPageBreak/>
        <w:t>(a) …</w:t>
      </w:r>
    </w:p>
    <w:p w14:paraId="68828C30" w14:textId="77777777" w:rsidR="00401D25" w:rsidRPr="00206DEC" w:rsidRDefault="00401D25" w:rsidP="00401D25">
      <w:pPr>
        <w:spacing w:line="480" w:lineRule="auto"/>
        <w:ind w:left="720" w:hanging="360"/>
        <w:jc w:val="both"/>
        <w:rPr>
          <w:rFonts w:ascii="Book Antiqua" w:hAnsi="Book Antiqua"/>
        </w:rPr>
      </w:pPr>
      <w:r w:rsidRPr="00206DEC">
        <w:rPr>
          <w:rFonts w:ascii="Book Antiqua" w:hAnsi="Book Antiqua"/>
        </w:rPr>
        <w:t>(b)</w:t>
      </w:r>
      <w:r w:rsidRPr="005C3AD9">
        <w:rPr>
          <w:rFonts w:ascii="Book Antiqua" w:hAnsi="Book Antiqua"/>
          <w:color w:val="000000"/>
          <w:shd w:val="clear" w:color="auto" w:fill="FFFFFF"/>
        </w:rPr>
        <w:t xml:space="preserve"> </w:t>
      </w:r>
      <w:r w:rsidRPr="005C3AD9">
        <w:rPr>
          <w:rFonts w:ascii="Book Antiqua" w:hAnsi="Book Antiqua"/>
        </w:rPr>
        <w:t xml:space="preserve">Término de la Exención. - La exención contributiva aquí provista sólo aplicará </w:t>
      </w:r>
      <w:r w:rsidRPr="005C3AD9">
        <w:rPr>
          <w:rFonts w:ascii="Book Antiqua" w:hAnsi="Book Antiqua"/>
          <w:b/>
          <w:bCs/>
        </w:rPr>
        <w:t>[por un periodo de hasta [quince (15)]</w:t>
      </w:r>
      <w:r w:rsidRPr="005C3AD9">
        <w:rPr>
          <w:rFonts w:ascii="Book Antiqua" w:hAnsi="Book Antiqua"/>
        </w:rPr>
        <w:t xml:space="preserve"> </w:t>
      </w:r>
      <w:r w:rsidRPr="005C3AD9">
        <w:rPr>
          <w:rFonts w:ascii="Book Antiqua" w:hAnsi="Book Antiqua"/>
          <w:i/>
          <w:iCs/>
        </w:rPr>
        <w:t xml:space="preserve">para </w:t>
      </w:r>
      <w:r w:rsidRPr="005C3AD9">
        <w:rPr>
          <w:rFonts w:ascii="Book Antiqua" w:hAnsi="Book Antiqua"/>
        </w:rPr>
        <w:t>años contributivos</w:t>
      </w:r>
      <w:r w:rsidRPr="005C3AD9">
        <w:rPr>
          <w:rFonts w:ascii="Book Antiqua" w:hAnsi="Book Antiqua"/>
          <w:b/>
          <w:bCs/>
        </w:rPr>
        <w:t>[, comenzando el]</w:t>
      </w:r>
      <w:r w:rsidRPr="005C3AD9">
        <w:rPr>
          <w:rFonts w:ascii="Book Antiqua" w:hAnsi="Book Antiqua"/>
        </w:rPr>
        <w:t xml:space="preserve"> </w:t>
      </w:r>
      <w:r w:rsidRPr="005C3AD9">
        <w:rPr>
          <w:rFonts w:ascii="Book Antiqua" w:hAnsi="Book Antiqua"/>
          <w:i/>
          <w:iCs/>
        </w:rPr>
        <w:t>comenzados luego de</w:t>
      </w:r>
      <w:r w:rsidRPr="005C3AD9">
        <w:rPr>
          <w:rFonts w:ascii="Book Antiqua" w:hAnsi="Book Antiqua"/>
        </w:rPr>
        <w:t xml:space="preserve"> 1 de enero de 2011</w:t>
      </w:r>
      <w:r w:rsidRPr="005C3AD9">
        <w:rPr>
          <w:rFonts w:ascii="Book Antiqua" w:hAnsi="Book Antiqua"/>
          <w:b/>
          <w:bCs/>
        </w:rPr>
        <w:t>[y terminando el 31 de diciembre de</w:t>
      </w:r>
      <w:r w:rsidRPr="005C3AD9">
        <w:rPr>
          <w:rFonts w:ascii="Book Antiqua" w:hAnsi="Book Antiqua"/>
        </w:rPr>
        <w:t xml:space="preserve"> </w:t>
      </w:r>
      <w:r w:rsidRPr="005C3AD9">
        <w:rPr>
          <w:rFonts w:ascii="Book Antiqua" w:hAnsi="Book Antiqua"/>
          <w:b/>
          <w:bCs/>
        </w:rPr>
        <w:t>2025]</w:t>
      </w:r>
      <w:r w:rsidRPr="00206DEC">
        <w:rPr>
          <w:rFonts w:ascii="Book Antiqua" w:hAnsi="Book Antiqua"/>
        </w:rPr>
        <w:t xml:space="preserve">. </w:t>
      </w:r>
    </w:p>
    <w:p w14:paraId="7348E9F9" w14:textId="77777777" w:rsidR="00401D25" w:rsidRPr="00206DEC" w:rsidRDefault="00401D25" w:rsidP="00401D25">
      <w:pPr>
        <w:spacing w:line="480" w:lineRule="auto"/>
        <w:ind w:left="720" w:hanging="360"/>
        <w:jc w:val="both"/>
        <w:rPr>
          <w:rFonts w:ascii="Book Antiqua" w:hAnsi="Book Antiqua"/>
        </w:rPr>
      </w:pPr>
      <w:r w:rsidRPr="00206DEC">
        <w:rPr>
          <w:rFonts w:ascii="Book Antiqua" w:hAnsi="Book Antiqua"/>
        </w:rPr>
        <w:t>(c) …</w:t>
      </w:r>
    </w:p>
    <w:p w14:paraId="4F44DBCF" w14:textId="77777777" w:rsidR="00401D25" w:rsidRPr="0036579A" w:rsidRDefault="00401D25" w:rsidP="00401D25">
      <w:pPr>
        <w:spacing w:line="480" w:lineRule="auto"/>
        <w:ind w:left="720" w:hanging="360"/>
        <w:jc w:val="both"/>
        <w:rPr>
          <w:rFonts w:ascii="Book Antiqua" w:hAnsi="Book Antiqua"/>
        </w:rPr>
      </w:pPr>
      <w:r w:rsidRPr="00206DEC">
        <w:rPr>
          <w:rFonts w:ascii="Book Antiqua" w:hAnsi="Book Antiqua"/>
        </w:rPr>
        <w:t>…”</w:t>
      </w:r>
    </w:p>
    <w:p w14:paraId="1FB172D6" w14:textId="77777777" w:rsidR="00401D25" w:rsidRPr="00E15C97" w:rsidRDefault="00401D25" w:rsidP="00401D25">
      <w:pPr>
        <w:pStyle w:val="Heading1"/>
        <w:rPr>
          <w:color w:val="000000" w:themeColor="text1"/>
        </w:rPr>
      </w:pPr>
      <w:r w:rsidRPr="007E73D3">
        <w:t>Artículo</w:t>
      </w:r>
      <w:r w:rsidRPr="00E15C97">
        <w:t xml:space="preserve"> </w:t>
      </w:r>
      <w:r>
        <w:t>2</w:t>
      </w:r>
      <w:r w:rsidRPr="00E15C97">
        <w:t xml:space="preserve">.- </w:t>
      </w:r>
      <w:r w:rsidRPr="00E15C97">
        <w:rPr>
          <w:color w:val="000000" w:themeColor="text1"/>
        </w:rPr>
        <w:t>Vigencia.</w:t>
      </w:r>
    </w:p>
    <w:p w14:paraId="79550695" w14:textId="1B0DA49F" w:rsidR="00FF2214" w:rsidRPr="00D27900" w:rsidRDefault="00401D25" w:rsidP="00401D25">
      <w:pPr>
        <w:pStyle w:val="Heading1"/>
        <w:rPr>
          <w:color w:val="000000" w:themeColor="text1"/>
        </w:rPr>
      </w:pPr>
      <w:r w:rsidRPr="00E15C97">
        <w:rPr>
          <w:color w:val="000000" w:themeColor="text1"/>
        </w:rPr>
        <w:t xml:space="preserve">Esta Ley entrará en vigor inmediatamente después de su aprobación. </w:t>
      </w:r>
    </w:p>
    <w:sectPr w:rsidR="00FF2214" w:rsidRPr="00D27900" w:rsidSect="00D27900">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187B65E-303A-4061-A5C0-C216C930CB63}"/>
    <w:embedBold r:id="rId2" w:fontKey="{63B1E215-4551-47D2-AFC3-4C085D8B8852}"/>
    <w:embedItalic r:id="rId3" w:fontKey="{9AB9A984-7539-4FF4-9A0A-335F63A9241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748CF59-FED1-46B9-900D-B54B5E36840F}"/>
  </w:font>
  <w:font w:name="Georgia">
    <w:panose1 w:val="02040502050405020303"/>
    <w:charset w:val="00"/>
    <w:family w:val="roman"/>
    <w:pitch w:val="variable"/>
    <w:sig w:usb0="00000287" w:usb1="00000000" w:usb2="00000000" w:usb3="00000000" w:csb0="0000009F" w:csb1="00000000"/>
    <w:embedRegular r:id="rId5" w:fontKey="{3C701DB3-8CF8-40C4-86B4-69C8888DE166}"/>
    <w:embedItalic r:id="rId6" w:fontKey="{10494EB6-9588-4E5C-9A34-BAFD20D4925D}"/>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embedRegular r:id="rId7" w:fontKey="{EF0620E5-FD4A-4951-A358-24D97DF4EFB0}"/>
    <w:embedItalic r:id="rId8" w:fontKey="{4EC1C261-8F80-458D-BBE1-4E219CB99C0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7F7DF81C-2D29-4BC0-AA53-83A36D401194}"/>
  </w:font>
  <w:font w:name="Calibri">
    <w:panose1 w:val="020F0502020204030204"/>
    <w:charset w:val="00"/>
    <w:family w:val="swiss"/>
    <w:pitch w:val="variable"/>
    <w:sig w:usb0="E4002EFF" w:usb1="C200247B" w:usb2="00000009" w:usb3="00000000" w:csb0="000001FF" w:csb1="00000000"/>
    <w:embedRegular r:id="rId10" w:fontKey="{7943579C-7ADE-4653-A3E7-3F76DDBCCEA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E58C264" w:rsidR="00FF2214" w:rsidRPr="007F2135" w:rsidRDefault="00850770">
    <w:pPr>
      <w:tabs>
        <w:tab w:val="center" w:pos="4320"/>
        <w:tab w:val="right" w:pos="8640"/>
      </w:tabs>
      <w:jc w:val="right"/>
      <w:rPr>
        <w:color w:val="000000"/>
      </w:rPr>
    </w:pPr>
    <w:r w:rsidRPr="007F2135">
      <w:rPr>
        <w:color w:val="000000"/>
      </w:rPr>
      <w:t>A-0</w:t>
    </w:r>
    <w:r w:rsidR="00401D25">
      <w:rPr>
        <w:color w:val="000000"/>
      </w:rPr>
      <w:t>5</w:t>
    </w:r>
    <w:r w:rsidR="00D27900">
      <w:rPr>
        <w:color w:val="000000"/>
      </w:rPr>
      <w:t>5</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4B44B" w14:textId="58A7392E" w:rsidR="00D27900" w:rsidRDefault="00D27900">
    <w:pPr>
      <w:pStyle w:val="Header"/>
    </w:pPr>
    <w:r>
      <w:rPr>
        <w:noProof/>
      </w:rPr>
      <mc:AlternateContent>
        <mc:Choice Requires="wps">
          <w:drawing>
            <wp:anchor distT="0" distB="0" distL="114300" distR="114300" simplePos="0" relativeHeight="251656704" behindDoc="1" locked="0" layoutInCell="0" allowOverlap="1" wp14:anchorId="432F52E3" wp14:editId="7BDC9759">
              <wp:simplePos x="0" y="0"/>
              <wp:positionH relativeFrom="margin">
                <wp:align>center</wp:align>
              </wp:positionH>
              <wp:positionV relativeFrom="margin">
                <wp:align>center</wp:align>
              </wp:positionV>
              <wp:extent cx="6703695" cy="1675765"/>
              <wp:effectExtent l="0" t="1714500" r="0" b="1848485"/>
              <wp:wrapNone/>
              <wp:docPr id="1803202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432F52E3"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49191AFA"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1B45862D" w14:textId="77777777" w:rsidR="00D27900" w:rsidRDefault="00D279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2846" w14:textId="222AA98E" w:rsidR="00D27900" w:rsidRDefault="00D27900" w:rsidP="004748BD">
    <w:pPr>
      <w:pStyle w:val="Header"/>
      <w:jc w:val="center"/>
    </w:pPr>
    <w:r>
      <w:rPr>
        <w:noProof/>
      </w:rPr>
      <mc:AlternateContent>
        <mc:Choice Requires="wps">
          <w:drawing>
            <wp:anchor distT="0" distB="0" distL="114300" distR="114300" simplePos="0" relativeHeight="251657728" behindDoc="1" locked="0" layoutInCell="0" allowOverlap="1" wp14:anchorId="098BB485" wp14:editId="535A99ED">
              <wp:simplePos x="0" y="0"/>
              <wp:positionH relativeFrom="margin">
                <wp:align>center</wp:align>
              </wp:positionH>
              <wp:positionV relativeFrom="margin">
                <wp:align>center</wp:align>
              </wp:positionV>
              <wp:extent cx="6703695" cy="1675765"/>
              <wp:effectExtent l="0" t="1714500" r="0" b="1848485"/>
              <wp:wrapNone/>
              <wp:docPr id="56011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98BB485"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2BFBDC82" w14:textId="77777777" w:rsidR="00D27900" w:rsidRDefault="00D27900" w:rsidP="00D27900">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0440" w14:textId="77777777" w:rsidR="00D27900" w:rsidRDefault="005C4B0B" w:rsidP="001B73B1">
    <w:pPr>
      <w:pStyle w:val="Header"/>
      <w:jc w:val="right"/>
    </w:pPr>
    <w:r>
      <w:rPr>
        <w:noProof/>
      </w:rPr>
      <w:pict w14:anchorId="4F9914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left:0;text-align:left;margin-left:0;margin-top:0;width:527.85pt;height:131.95pt;rotation:315;z-index:-251657728;mso-position-horizontal:center;mso-position-horizontal-relative:margin;mso-position-vertical:center;mso-position-vertical-relative:margin" o:allowincell="f" fillcolor="silver" stroked="f">
          <v:fill opacity=".5"/>
          <v:textpath style="font-family:&quot;Times New Roman&quot;;font-size:1pt" string="Borrador"/>
          <w10:wrap anchorx="margin" anchory="margin"/>
        </v:shape>
      </w:pict>
    </w:r>
    <w:r w:rsidR="00D27900">
      <w:t>A-045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8A73FA8"/>
    <w:multiLevelType w:val="hybridMultilevel"/>
    <w:tmpl w:val="862CC2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1"/>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9"/>
  </w:num>
  <w:num w:numId="15" w16cid:durableId="478498451">
    <w:abstractNumId w:val="9"/>
  </w:num>
  <w:num w:numId="16" w16cid:durableId="46998239">
    <w:abstractNumId w:val="20"/>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 w:numId="22" w16cid:durableId="1120614885">
    <w:abstractNumId w:val="22"/>
  </w:num>
  <w:num w:numId="23" w16cid:durableId="8966678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474CF"/>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C95"/>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789"/>
    <w:rsid w:val="002A1D65"/>
    <w:rsid w:val="002A23EE"/>
    <w:rsid w:val="002A4F4F"/>
    <w:rsid w:val="002B2FBB"/>
    <w:rsid w:val="002B5618"/>
    <w:rsid w:val="002B62EE"/>
    <w:rsid w:val="002B7906"/>
    <w:rsid w:val="002C1726"/>
    <w:rsid w:val="002C47C3"/>
    <w:rsid w:val="002D6159"/>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0B52"/>
    <w:rsid w:val="00391B13"/>
    <w:rsid w:val="003A2100"/>
    <w:rsid w:val="003A7B1A"/>
    <w:rsid w:val="003B17EE"/>
    <w:rsid w:val="003B2357"/>
    <w:rsid w:val="003B6F6C"/>
    <w:rsid w:val="003C79D6"/>
    <w:rsid w:val="003D3B08"/>
    <w:rsid w:val="003D42BF"/>
    <w:rsid w:val="003D4499"/>
    <w:rsid w:val="003E0CF2"/>
    <w:rsid w:val="003E2D11"/>
    <w:rsid w:val="003E30F3"/>
    <w:rsid w:val="003F18AA"/>
    <w:rsid w:val="003F352A"/>
    <w:rsid w:val="00401D25"/>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748B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4B0B"/>
    <w:rsid w:val="005C7524"/>
    <w:rsid w:val="005D0923"/>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67C30"/>
    <w:rsid w:val="008720A6"/>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3537"/>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3B27"/>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27900"/>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1579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63CA"/>
    <w:rsid w:val="00EF2711"/>
    <w:rsid w:val="00EF2D8D"/>
    <w:rsid w:val="00F026C9"/>
    <w:rsid w:val="00F10901"/>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 w:type="paragraph" w:customStyle="1" w:styleId="BodyA">
    <w:name w:val="Body A"/>
    <w:rsid w:val="00867C30"/>
    <w:pPr>
      <w:pBdr>
        <w:top w:val="nil"/>
        <w:left w:val="nil"/>
        <w:bottom w:val="nil"/>
        <w:right w:val="nil"/>
        <w:between w:val="nil"/>
        <w:bar w:val="nil"/>
      </w:pBdr>
    </w:pPr>
    <w:rPr>
      <w:rFonts w:eastAsia="Arial Unicode MS" w:cs="Arial Unicode MS"/>
      <w:color w:val="000000"/>
      <w:sz w:val="24"/>
      <w:szCs w:val="24"/>
      <w:u w:color="000000"/>
      <w:bdr w:val="nil"/>
      <w:lang w:val="es-ES_tradn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2025-04-04T20:19:00Z</cp:lastPrinted>
  <dcterms:created xsi:type="dcterms:W3CDTF">2025-04-04T21:46:00Z</dcterms:created>
  <dcterms:modified xsi:type="dcterms:W3CDTF">2025-04-07T14:03:00Z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