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E3FD6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E3FD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E3FD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E3FD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6E3FD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E3FD6">
        <w:rPr>
          <w:rFonts w:ascii="Book Antiqua" w:hAnsi="Book Antiqua"/>
          <w:szCs w:val="24"/>
          <w:lang w:val="es-ES_tradnl"/>
        </w:rPr>
        <w:t>20m</w:t>
      </w:r>
      <w:r w:rsidR="002670C1" w:rsidRPr="006E3FD6">
        <w:rPr>
          <w:rFonts w:ascii="Book Antiqua" w:hAnsi="Book Antiqua"/>
          <w:szCs w:val="24"/>
          <w:lang w:val="es-ES_tradnl"/>
        </w:rPr>
        <w:t>a. Asamblea</w:t>
      </w:r>
      <w:r w:rsidR="002670C1" w:rsidRPr="006E3FD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E3FD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E3FD6">
        <w:rPr>
          <w:rFonts w:ascii="Book Antiqua" w:hAnsi="Book Antiqua"/>
          <w:szCs w:val="24"/>
          <w:lang w:val="es-ES_tradnl"/>
        </w:rPr>
        <w:t xml:space="preserve">  </w:t>
      </w:r>
      <w:r w:rsidR="003D1498" w:rsidRPr="006E3FD6">
        <w:rPr>
          <w:rFonts w:ascii="Book Antiqua" w:hAnsi="Book Antiqua"/>
          <w:szCs w:val="24"/>
          <w:lang w:val="es-ES_tradnl"/>
        </w:rPr>
        <w:t>2d</w:t>
      </w:r>
      <w:r w:rsidR="002670C1" w:rsidRPr="006E3FD6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E3FD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E3FD6">
        <w:rPr>
          <w:rFonts w:ascii="Book Antiqua" w:hAnsi="Book Antiqua"/>
          <w:szCs w:val="24"/>
          <w:lang w:val="es-ES_tradnl"/>
        </w:rPr>
        <w:tab/>
        <w:t>Legislativa</w:t>
      </w:r>
      <w:r w:rsidRPr="006E3FD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E3FD6">
        <w:rPr>
          <w:rFonts w:ascii="Book Antiqua" w:hAnsi="Book Antiqua"/>
          <w:szCs w:val="24"/>
          <w:lang w:val="es-ES_tradnl"/>
        </w:rPr>
        <w:t xml:space="preserve">       </w:t>
      </w:r>
      <w:r w:rsidRPr="006E3FD6">
        <w:rPr>
          <w:rFonts w:ascii="Book Antiqua" w:hAnsi="Book Antiqua"/>
          <w:szCs w:val="24"/>
          <w:lang w:val="es-ES_tradnl"/>
        </w:rPr>
        <w:t xml:space="preserve"> </w:t>
      </w:r>
      <w:r w:rsidR="00632DBA" w:rsidRPr="006E3FD6">
        <w:rPr>
          <w:rFonts w:ascii="Book Antiqua" w:hAnsi="Book Antiqua"/>
          <w:szCs w:val="24"/>
          <w:lang w:val="es-ES_tradnl"/>
        </w:rPr>
        <w:t xml:space="preserve"> </w:t>
      </w:r>
      <w:r w:rsidRPr="006E3FD6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E3FD6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E3FD6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E3FD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E3FD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E3FD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AC842CA" w:rsidR="002670C1" w:rsidRPr="006E3FD6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E3FD6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E3FD6" w:rsidRPr="006E3FD6">
        <w:rPr>
          <w:rFonts w:ascii="Book Antiqua" w:hAnsi="Book Antiqua" w:cs="Tahoma"/>
          <w:b/>
          <w:sz w:val="52"/>
          <w:szCs w:val="52"/>
          <w:lang w:val="es-ES_tradnl"/>
        </w:rPr>
        <w:t>253</w:t>
      </w:r>
    </w:p>
    <w:p w14:paraId="2AB71EBC" w14:textId="77777777" w:rsidR="001A14B6" w:rsidRPr="006E3FD6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E3FD6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E3FD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E3FD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E3FD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FB7018C" w:rsidR="002670C1" w:rsidRPr="006E3FD6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6E3FD6">
        <w:rPr>
          <w:rFonts w:ascii="Book Antiqua" w:hAnsi="Book Antiqua" w:cs="Tahoma"/>
          <w:lang w:val="es-ES_tradnl"/>
        </w:rPr>
        <w:t xml:space="preserve"> </w:t>
      </w:r>
      <w:r w:rsidR="006E3FD6" w:rsidRPr="006E3FD6">
        <w:rPr>
          <w:rFonts w:ascii="Book Antiqua" w:hAnsi="Book Antiqua" w:cs="Tahoma"/>
          <w:lang w:val="es-ES_tradnl"/>
        </w:rPr>
        <w:t>15</w:t>
      </w:r>
      <w:r w:rsidRPr="006E3FD6">
        <w:rPr>
          <w:rFonts w:ascii="Book Antiqua" w:hAnsi="Book Antiqua" w:cs="Tahoma"/>
          <w:lang w:val="es-ES_tradnl"/>
        </w:rPr>
        <w:t xml:space="preserve"> de </w:t>
      </w:r>
      <w:r w:rsidR="004F2CCF" w:rsidRPr="006E3FD6">
        <w:rPr>
          <w:rFonts w:ascii="Book Antiqua" w:hAnsi="Book Antiqua" w:cs="Tahoma"/>
          <w:lang w:val="es-ES_tradnl"/>
        </w:rPr>
        <w:t>octubre</w:t>
      </w:r>
      <w:r w:rsidRPr="006E3FD6">
        <w:rPr>
          <w:rFonts w:ascii="Book Antiqua" w:hAnsi="Book Antiqua" w:cs="Tahoma"/>
          <w:lang w:val="es-ES_tradnl"/>
        </w:rPr>
        <w:t xml:space="preserve"> de </w:t>
      </w:r>
      <w:r w:rsidR="00333864" w:rsidRPr="006E3FD6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E3FD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E3FD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E3FD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E3FD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E3FD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9D2BA2E" w:rsidR="00682883" w:rsidRPr="006E3FD6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E3FD6">
        <w:rPr>
          <w:rFonts w:ascii="Book Antiqua" w:hAnsi="Book Antiqua" w:cs="Tahoma"/>
          <w:lang w:val="es-ES_tradnl"/>
        </w:rPr>
        <w:tab/>
      </w:r>
      <w:r w:rsidR="008A4022" w:rsidRPr="006E3FD6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E3FD6">
        <w:rPr>
          <w:rFonts w:ascii="Book Antiqua" w:hAnsi="Book Antiqua" w:cs="Tahoma"/>
          <w:lang w:val="es-ES_tradnl"/>
        </w:rPr>
        <w:t>sideración de la R. de la C.</w:t>
      </w:r>
      <w:r w:rsidR="006E3FD6" w:rsidRPr="006E3FD6">
        <w:rPr>
          <w:rFonts w:ascii="Book Antiqua" w:hAnsi="Book Antiqua" w:cs="Tahoma"/>
          <w:lang w:val="es-ES_tradnl"/>
        </w:rPr>
        <w:t xml:space="preserve"> 253</w:t>
      </w:r>
      <w:r w:rsidR="00FA5F29" w:rsidRPr="006E3FD6">
        <w:rPr>
          <w:rFonts w:ascii="Book Antiqua" w:hAnsi="Book Antiqua" w:cs="Tahoma"/>
          <w:lang w:val="es-ES_tradnl"/>
        </w:rPr>
        <w:t xml:space="preserve">, </w:t>
      </w:r>
      <w:r w:rsidR="00682883" w:rsidRPr="006E3FD6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6E3FD6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6E3FD6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6E3FD6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2F43A97" w:rsidR="008D4A0A" w:rsidRPr="00AD4B72" w:rsidRDefault="00BC1CB2" w:rsidP="006E3FD6">
      <w:pPr>
        <w:ind w:left="567" w:hanging="567"/>
        <w:jc w:val="both"/>
        <w:rPr>
          <w:rFonts w:ascii="Book Antiqua" w:hAnsi="Book Antiqua"/>
          <w:lang w:val="es-ES_tradnl"/>
        </w:rPr>
      </w:pPr>
      <w:r w:rsidRPr="006E3FD6">
        <w:rPr>
          <w:rFonts w:ascii="Book Antiqua" w:hAnsi="Book Antiqua" w:cs="Tahoma"/>
          <w:lang w:val="es-ES_tradnl"/>
        </w:rPr>
        <w:t xml:space="preserve"> </w:t>
      </w:r>
      <w:r w:rsidR="00E86FF9" w:rsidRPr="006E3FD6">
        <w:rPr>
          <w:rFonts w:ascii="Book Antiqua" w:hAnsi="Book Antiqua" w:cs="Tahoma"/>
          <w:lang w:val="es-ES_tradnl"/>
        </w:rPr>
        <w:t>“</w:t>
      </w:r>
      <w:r w:rsidR="00E86FF9" w:rsidRPr="006E3FD6">
        <w:rPr>
          <w:rFonts w:ascii="Book Antiqua" w:hAnsi="Book Antiqua"/>
          <w:lang w:val="es-ES_tradnl"/>
        </w:rPr>
        <w:t>Para</w:t>
      </w:r>
      <w:r w:rsidR="00E86FF9" w:rsidRPr="006E3FD6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6E3FD6">
        <w:rPr>
          <w:rFonts w:ascii="Book Antiqua" w:hAnsi="Book Antiqua"/>
          <w:lang w:val="es-ES_tradnl"/>
        </w:rPr>
        <w:t xml:space="preserve">ordenar </w:t>
      </w:r>
      <w:bookmarkEnd w:id="0"/>
      <w:bookmarkEnd w:id="1"/>
      <w:bookmarkEnd w:id="2"/>
      <w:r w:rsidR="006E3FD6" w:rsidRPr="006E3FD6">
        <w:rPr>
          <w:rFonts w:ascii="Book Antiqua" w:hAnsi="Book Antiqua"/>
          <w:lang w:val="es-ES_tradnl"/>
        </w:rPr>
        <w:t>a las comisiones de Asuntos de la Mujer</w:t>
      </w:r>
      <w:r w:rsidR="00AD4B72">
        <w:rPr>
          <w:rFonts w:ascii="Book Antiqua" w:hAnsi="Book Antiqua"/>
          <w:lang w:val="es-ES_tradnl"/>
        </w:rPr>
        <w:t>;</w:t>
      </w:r>
      <w:r w:rsidR="006E3FD6" w:rsidRPr="006E3FD6">
        <w:rPr>
          <w:rFonts w:ascii="Book Antiqua" w:hAnsi="Book Antiqua"/>
          <w:lang w:val="es-ES_tradnl"/>
        </w:rPr>
        <w:t xml:space="preserve"> y de Salud de la Cámara de </w:t>
      </w:r>
      <w:r w:rsidR="006E3FD6" w:rsidRPr="00AD4B72">
        <w:rPr>
          <w:rFonts w:ascii="Book Antiqua" w:hAnsi="Book Antiqua"/>
          <w:lang w:val="es-ES_tradnl"/>
        </w:rPr>
        <w:t xml:space="preserve">Representantes de Puerto Rico, realizar una investigación exhaustiva sobre los protocolos existentes en las facilidades de salud públicas y privadas para atender a las víctimas y sobrevivientes de violencia doméstica; </w:t>
      </w:r>
      <w:r w:rsidR="006E3FD6" w:rsidRPr="00AD4B72">
        <w:rPr>
          <w:rFonts w:ascii="Book Antiqua" w:hAnsi="Book Antiqua"/>
          <w:bCs/>
          <w:lang w:val="es-ES_tradnl"/>
        </w:rPr>
        <w:t>la respuesta que proveen dichas facilidades ante estos casos; la efectividad de las medidas implantadas en dichos protocolos; la capacitación del personal y la orientación y los servicios ofrecidos a las víctimas; así como la deseabilidad de establecer medidas adicionales que fortalezcan la intervención médica y el seguimiento a las personas afectadas</w:t>
      </w:r>
      <w:r w:rsidR="006E3FD6" w:rsidRPr="00AD4B72">
        <w:rPr>
          <w:rFonts w:ascii="Book Antiqua" w:hAnsi="Book Antiqua"/>
          <w:lang w:val="es-ES_tradnl"/>
        </w:rPr>
        <w:t>; y para otros fines relacionados.</w:t>
      </w:r>
      <w:r w:rsidR="00FA5F29" w:rsidRPr="00AD4B72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E3FD6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E3FD6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E3FD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E3FD6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F7D2B1F" w14:textId="28F36A8A" w:rsidR="006E3FD6" w:rsidRPr="006E3FD6" w:rsidRDefault="00CC4336" w:rsidP="006E3FD6">
      <w:pPr>
        <w:jc w:val="both"/>
        <w:rPr>
          <w:rFonts w:ascii="Book Antiqua" w:hAnsi="Book Antiqua"/>
          <w:lang w:val="es-ES_tradnl"/>
        </w:rPr>
      </w:pPr>
      <w:r w:rsidRPr="006E3FD6">
        <w:rPr>
          <w:rFonts w:ascii="Book Antiqua" w:eastAsiaTheme="minorHAnsi" w:hAnsi="Book Antiqua"/>
          <w:lang w:val="es-ES_tradnl"/>
        </w:rPr>
        <w:t xml:space="preserve">     </w:t>
      </w:r>
      <w:r w:rsidR="00DE02EB" w:rsidRPr="006E3FD6">
        <w:rPr>
          <w:rFonts w:ascii="Book Antiqua" w:hAnsi="Book Antiqua"/>
          <w:lang w:val="es-ES_tradnl"/>
        </w:rPr>
        <w:t>La</w:t>
      </w:r>
      <w:r w:rsidR="00194744" w:rsidRPr="006E3FD6">
        <w:rPr>
          <w:rFonts w:ascii="Book Antiqua" w:hAnsi="Book Antiqua"/>
          <w:lang w:val="es-ES_tradnl"/>
        </w:rPr>
        <w:t xml:space="preserve"> Resolución de la Cámara Núm.</w:t>
      </w:r>
      <w:r w:rsidR="000F1167" w:rsidRPr="006E3FD6">
        <w:rPr>
          <w:rFonts w:ascii="Book Antiqua" w:hAnsi="Book Antiqua"/>
          <w:lang w:val="es-ES_tradnl"/>
        </w:rPr>
        <w:t xml:space="preserve"> </w:t>
      </w:r>
      <w:r w:rsidR="006E3FD6" w:rsidRPr="006E3FD6">
        <w:rPr>
          <w:rFonts w:ascii="Book Antiqua" w:hAnsi="Book Antiqua"/>
          <w:lang w:val="es-ES_tradnl"/>
        </w:rPr>
        <w:t xml:space="preserve">253 </w:t>
      </w:r>
      <w:r w:rsidR="00DF3E6F" w:rsidRPr="006E3FD6">
        <w:rPr>
          <w:rFonts w:ascii="Book Antiqua" w:hAnsi="Book Antiqua"/>
          <w:lang w:val="es-ES_tradnl"/>
        </w:rPr>
        <w:t xml:space="preserve">tiene el propósito de </w:t>
      </w:r>
      <w:r w:rsidR="006E3FD6" w:rsidRPr="006E3FD6">
        <w:rPr>
          <w:rFonts w:ascii="Book Antiqua" w:hAnsi="Book Antiqua"/>
          <w:lang w:val="es-ES_tradnl"/>
        </w:rPr>
        <w:t xml:space="preserve">ordenar un </w:t>
      </w:r>
      <w:r w:rsidR="006E3FD6" w:rsidRPr="006E3FD6">
        <w:rPr>
          <w:rFonts w:ascii="Book Antiqua" w:hAnsi="Book Antiqua"/>
          <w:bCs/>
          <w:lang w:val="es-ES_tradnl"/>
        </w:rPr>
        <w:t>examen legislativo</w:t>
      </w:r>
      <w:r w:rsidR="006E3FD6" w:rsidRPr="006E3FD6">
        <w:rPr>
          <w:rFonts w:ascii="Book Antiqua" w:hAnsi="Book Antiqua"/>
          <w:lang w:val="es-ES_tradnl"/>
        </w:rPr>
        <w:t xml:space="preserve"> sobre la atención que ofrecen las facilidades de salud, tanto públicas como privadas, a las víctimas y sobrevivientes de violencia doméstica. La medida busca además evaluar la efectividad de los protocolos implantados, la capacitación del personal médico y administrativo, la orientación y los servicios ofrecidos a las víctimas, así como la posibilidad de establecer nuevas medidas que fortalezcan la respuesta del sistema de salud ante estos casos.</w:t>
      </w:r>
    </w:p>
    <w:p w14:paraId="1D4B06E7" w14:textId="77777777" w:rsidR="006E3FD6" w:rsidRPr="006E3FD6" w:rsidRDefault="006E3FD6" w:rsidP="006E3FD6">
      <w:pPr>
        <w:jc w:val="both"/>
        <w:rPr>
          <w:rFonts w:ascii="Book Antiqua" w:hAnsi="Book Antiqua"/>
          <w:lang w:val="es-ES_tradnl"/>
        </w:rPr>
      </w:pPr>
    </w:p>
    <w:p w14:paraId="3FEC0A18" w14:textId="609C40DC" w:rsidR="006E3FD6" w:rsidRPr="006E3FD6" w:rsidRDefault="006E3FD6" w:rsidP="006E3FD6">
      <w:pPr>
        <w:jc w:val="both"/>
        <w:rPr>
          <w:rFonts w:ascii="Book Antiqua" w:hAnsi="Book Antiqua"/>
          <w:lang w:val="es-ES_tradnl"/>
        </w:rPr>
      </w:pPr>
      <w:r w:rsidRPr="006E3FD6">
        <w:rPr>
          <w:rFonts w:ascii="Book Antiqua" w:hAnsi="Book Antiqua"/>
          <w:lang w:val="es-ES_tradnl"/>
        </w:rPr>
        <w:t xml:space="preserve">     En su Exposición de Motivos, la autora establece que la violencia doméstica es una </w:t>
      </w:r>
      <w:r w:rsidRPr="006E3FD6">
        <w:rPr>
          <w:rFonts w:ascii="Book Antiqua" w:hAnsi="Book Antiqua"/>
          <w:bCs/>
          <w:lang w:val="es-ES_tradnl"/>
        </w:rPr>
        <w:t>violación de los derechos humanos</w:t>
      </w:r>
      <w:r w:rsidRPr="006E3FD6">
        <w:rPr>
          <w:rFonts w:ascii="Book Antiqua" w:hAnsi="Book Antiqua"/>
          <w:lang w:val="es-ES_tradnl"/>
        </w:rPr>
        <w:t xml:space="preserve">, contraria al </w:t>
      </w:r>
      <w:r w:rsidRPr="006E3FD6">
        <w:rPr>
          <w:rFonts w:ascii="Book Antiqua" w:hAnsi="Book Antiqua"/>
          <w:bCs/>
          <w:lang w:val="es-ES_tradnl"/>
        </w:rPr>
        <w:t>Artículo II de la Constitución de Puerto Rico</w:t>
      </w:r>
      <w:r w:rsidRPr="006E3FD6">
        <w:rPr>
          <w:rFonts w:ascii="Book Antiqua" w:hAnsi="Book Antiqua"/>
          <w:lang w:val="es-ES_tradnl"/>
        </w:rPr>
        <w:t>, que protege la dignidad y la igualdad de las personas. Se resalta que este fenómeno constituye un grave problema de salud pública que requiere atención integral y coordinada entre agencias e instituciones médicas.</w:t>
      </w:r>
    </w:p>
    <w:p w14:paraId="65711D26" w14:textId="77777777" w:rsidR="006E3FD6" w:rsidRPr="006E3FD6" w:rsidRDefault="006E3FD6" w:rsidP="006E3FD6">
      <w:pPr>
        <w:jc w:val="both"/>
        <w:rPr>
          <w:rFonts w:ascii="Book Antiqua" w:hAnsi="Book Antiqua"/>
          <w:lang w:val="es-ES_tradnl"/>
        </w:rPr>
      </w:pPr>
    </w:p>
    <w:p w14:paraId="5D4C1FA5" w14:textId="3E807BB7" w:rsidR="006E3FD6" w:rsidRPr="006E3FD6" w:rsidRDefault="006E3FD6" w:rsidP="006E3FD6">
      <w:pPr>
        <w:jc w:val="both"/>
        <w:rPr>
          <w:rFonts w:ascii="Book Antiqua" w:hAnsi="Book Antiqua"/>
          <w:lang w:val="es-ES_tradnl"/>
        </w:rPr>
      </w:pPr>
      <w:r w:rsidRPr="006E3FD6">
        <w:rPr>
          <w:rFonts w:ascii="Book Antiqua" w:hAnsi="Book Antiqua"/>
          <w:lang w:val="es-ES_tradnl"/>
        </w:rPr>
        <w:t xml:space="preserve">     La medida destaca además la evolución legislativa en la materia, partiendo de la </w:t>
      </w:r>
      <w:r w:rsidRPr="006E3FD6">
        <w:rPr>
          <w:rFonts w:ascii="Book Antiqua" w:hAnsi="Book Antiqua"/>
          <w:bCs/>
          <w:lang w:val="es-ES_tradnl"/>
        </w:rPr>
        <w:t>Ley 54-1989</w:t>
      </w:r>
      <w:r w:rsidRPr="006E3FD6">
        <w:rPr>
          <w:rFonts w:ascii="Book Antiqua" w:hAnsi="Book Antiqua"/>
          <w:lang w:val="es-ES_tradnl"/>
        </w:rPr>
        <w:t xml:space="preserve">, que define la política pública contra la violencia doméstica; la </w:t>
      </w:r>
      <w:r w:rsidRPr="006E3FD6">
        <w:rPr>
          <w:rFonts w:ascii="Book Antiqua" w:hAnsi="Book Antiqua"/>
          <w:bCs/>
          <w:lang w:val="es-ES_tradnl"/>
        </w:rPr>
        <w:t>Ley 226-1996</w:t>
      </w:r>
      <w:r w:rsidRPr="006E3FD6">
        <w:rPr>
          <w:rFonts w:ascii="Book Antiqua" w:hAnsi="Book Antiqua"/>
          <w:lang w:val="es-ES_tradnl"/>
        </w:rPr>
        <w:t xml:space="preserve">, que creó un programa piloto para uniformar la atención médica a las víctimas; y la </w:t>
      </w:r>
      <w:r w:rsidRPr="006E3FD6">
        <w:rPr>
          <w:rFonts w:ascii="Book Antiqua" w:hAnsi="Book Antiqua"/>
          <w:bCs/>
          <w:lang w:val="es-ES_tradnl"/>
        </w:rPr>
        <w:t>Ley 88-2005</w:t>
      </w:r>
      <w:r w:rsidRPr="006E3FD6">
        <w:rPr>
          <w:rFonts w:ascii="Book Antiqua" w:hAnsi="Book Antiqua"/>
          <w:lang w:val="es-ES_tradnl"/>
        </w:rPr>
        <w:t xml:space="preserve">, que dispuso la implantación del </w:t>
      </w:r>
      <w:r w:rsidRPr="006E3FD6">
        <w:rPr>
          <w:rFonts w:ascii="Book Antiqua" w:hAnsi="Book Antiqua"/>
          <w:i/>
          <w:iCs/>
          <w:lang w:val="es-ES_tradnl"/>
        </w:rPr>
        <w:t>Protocolo de Intervención con Víctimas/Sobrevivientes de Violencia Doméstica</w:t>
      </w:r>
      <w:r w:rsidRPr="006E3FD6">
        <w:rPr>
          <w:rFonts w:ascii="Book Antiqua" w:hAnsi="Book Antiqua"/>
          <w:lang w:val="es-ES_tradnl"/>
        </w:rPr>
        <w:t xml:space="preserve">. Asimismo, se menciona el </w:t>
      </w:r>
      <w:r w:rsidRPr="006E3FD6">
        <w:rPr>
          <w:rFonts w:ascii="Book Antiqua" w:hAnsi="Book Antiqua"/>
          <w:bCs/>
          <w:lang w:val="es-ES_tradnl"/>
        </w:rPr>
        <w:t>Protocolo Intergubernamental de 2022</w:t>
      </w:r>
      <w:r w:rsidRPr="006E3FD6">
        <w:rPr>
          <w:rFonts w:ascii="Book Antiqua" w:hAnsi="Book Antiqua"/>
          <w:lang w:val="es-ES_tradnl"/>
        </w:rPr>
        <w:t>, que detalla los procedimientos y servicios que deben brindarse en las salas de emergencia de las facilidades de salud.</w:t>
      </w:r>
    </w:p>
    <w:p w14:paraId="6216E954" w14:textId="77777777" w:rsidR="006E3FD6" w:rsidRPr="006E3FD6" w:rsidRDefault="006E3FD6" w:rsidP="006E3FD6">
      <w:pPr>
        <w:jc w:val="both"/>
        <w:rPr>
          <w:rFonts w:ascii="Book Antiqua" w:hAnsi="Book Antiqua"/>
          <w:lang w:val="es-ES_tradnl"/>
        </w:rPr>
      </w:pPr>
    </w:p>
    <w:p w14:paraId="05E78832" w14:textId="58978FE4" w:rsidR="00DF3E6F" w:rsidRPr="006E3FD6" w:rsidRDefault="006E3FD6" w:rsidP="00DF3E6F">
      <w:pPr>
        <w:jc w:val="both"/>
        <w:rPr>
          <w:rFonts w:ascii="Book Antiqua" w:hAnsi="Book Antiqua"/>
          <w:lang w:val="es-ES_tradnl"/>
        </w:rPr>
      </w:pPr>
      <w:r w:rsidRPr="006E3FD6">
        <w:rPr>
          <w:rFonts w:ascii="Book Antiqua" w:hAnsi="Book Antiqua"/>
          <w:lang w:val="es-ES_tradnl"/>
        </w:rPr>
        <w:t xml:space="preserve">     La medida, al ordenar este examen legislativo, busca asegurar que el cumplimiento con dichos protocolos sea efectivo y uniforme, así como garantizar que el Estado y las instituciones de salud cumplan su deber de proteger la vida, la seguridad y la dignidad de las personas afectadas por la violencia doméstica.</w:t>
      </w:r>
    </w:p>
    <w:p w14:paraId="7645A4CC" w14:textId="77777777" w:rsidR="006150BB" w:rsidRPr="006E3FD6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E3FD6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1B2B83DF" w:rsidR="008B1E7C" w:rsidRPr="006E3FD6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6E3FD6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6E3FD6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6E3FD6">
        <w:rPr>
          <w:rFonts w:ascii="Book Antiqua" w:hAnsi="Book Antiqua"/>
          <w:sz w:val="24"/>
          <w:szCs w:val="24"/>
          <w:lang w:val="es-ES_tradnl"/>
        </w:rPr>
        <w:t>e l</w:t>
      </w:r>
      <w:r w:rsidR="006E3FD6" w:rsidRPr="006E3FD6">
        <w:rPr>
          <w:rFonts w:ascii="Book Antiqua" w:hAnsi="Book Antiqua"/>
          <w:sz w:val="24"/>
          <w:szCs w:val="24"/>
          <w:lang w:val="es-ES_tradnl"/>
        </w:rPr>
        <w:t>a Resolución de la Cámara 253</w:t>
      </w:r>
      <w:r w:rsidR="008B1E7C" w:rsidRPr="006E3FD6">
        <w:rPr>
          <w:rFonts w:ascii="Book Antiqua" w:hAnsi="Book Antiqua"/>
          <w:sz w:val="24"/>
          <w:szCs w:val="24"/>
          <w:lang w:val="es-ES_tradnl"/>
        </w:rPr>
        <w:t xml:space="preserve">, con las enmiendas contenidas en el </w:t>
      </w:r>
      <w:proofErr w:type="spellStart"/>
      <w:r w:rsidR="008B1E7C" w:rsidRPr="006E3FD6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B1E7C" w:rsidRPr="006E3FD6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77777777" w:rsidR="006150BB" w:rsidRPr="006E3FD6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E3FD6">
        <w:rPr>
          <w:rFonts w:ascii="Book Antiqua" w:hAnsi="Book Antiqua" w:cs="Tahoma"/>
          <w:lang w:val="es-ES_tradnl"/>
        </w:rPr>
        <w:t>Respetuosamente sometido,</w:t>
      </w:r>
    </w:p>
    <w:p w14:paraId="4F07E142" w14:textId="302CE623" w:rsidR="003E29B3" w:rsidRPr="00AD4B72" w:rsidRDefault="003E29B3" w:rsidP="003F3D8D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0D4A074B" w14:textId="77777777" w:rsidR="003F3D8D" w:rsidRPr="006E3FD6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E3FD6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E3FD6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E3FD6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E3FD6">
        <w:rPr>
          <w:rFonts w:ascii="Book Antiqua" w:hAnsi="Book Antiqua" w:cs="Tahoma"/>
          <w:lang w:val="es-ES_tradnl"/>
        </w:rPr>
        <w:br/>
        <w:t>Presidente</w:t>
      </w:r>
      <w:r w:rsidRPr="006E3FD6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E3FD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40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7368430">
    <w:abstractNumId w:val="6"/>
  </w:num>
  <w:num w:numId="2" w16cid:durableId="1690839953">
    <w:abstractNumId w:val="12"/>
  </w:num>
  <w:num w:numId="3" w16cid:durableId="1180586113">
    <w:abstractNumId w:val="3"/>
  </w:num>
  <w:num w:numId="4" w16cid:durableId="187528831">
    <w:abstractNumId w:val="1"/>
  </w:num>
  <w:num w:numId="5" w16cid:durableId="1853181939">
    <w:abstractNumId w:val="7"/>
  </w:num>
  <w:num w:numId="6" w16cid:durableId="1097796698">
    <w:abstractNumId w:val="4"/>
  </w:num>
  <w:num w:numId="7" w16cid:durableId="1596748101">
    <w:abstractNumId w:val="5"/>
  </w:num>
  <w:num w:numId="8" w16cid:durableId="1030688867">
    <w:abstractNumId w:val="8"/>
  </w:num>
  <w:num w:numId="9" w16cid:durableId="124082373">
    <w:abstractNumId w:val="9"/>
  </w:num>
  <w:num w:numId="10" w16cid:durableId="334380110">
    <w:abstractNumId w:val="0"/>
  </w:num>
  <w:num w:numId="11" w16cid:durableId="1831019113">
    <w:abstractNumId w:val="2"/>
  </w:num>
  <w:num w:numId="12" w16cid:durableId="1951159347">
    <w:abstractNumId w:val="11"/>
  </w:num>
  <w:num w:numId="13" w16cid:durableId="15193928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401A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2CCF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E3FD6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057E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D4B7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5B0F1E3-BC4B-4553-8FE8-1D210348C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3</cp:revision>
  <cp:lastPrinted>2025-02-17T12:55:00Z</cp:lastPrinted>
  <dcterms:created xsi:type="dcterms:W3CDTF">2025-10-14T03:46:00Z</dcterms:created>
  <dcterms:modified xsi:type="dcterms:W3CDTF">2025-10-15T00:41:00Z</dcterms:modified>
</cp:coreProperties>
</file>