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B61934" w:rsidRDefault="00850770">
      <w:pPr>
        <w:jc w:val="center"/>
        <w:rPr>
          <w:rFonts w:ascii="Book Antiqua" w:eastAsia="Book Antiqua" w:hAnsi="Book Antiqua" w:cs="Book Antiqua"/>
          <w:bCs/>
          <w:color w:val="000000" w:themeColor="text1"/>
          <w:sz w:val="28"/>
          <w:szCs w:val="28"/>
          <w:lang w:val="es-PR"/>
        </w:rPr>
      </w:pPr>
      <w:r w:rsidRPr="00B61934">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B61934">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1344DCB1" w:rsidR="00FF2214" w:rsidRPr="008C4178" w:rsidRDefault="008C4178" w:rsidP="008C4178">
      <w:pPr>
        <w:rPr>
          <w:rFonts w:ascii="Book Antiqua" w:eastAsia="Book Antiqua" w:hAnsi="Book Antiqua" w:cs="Book Antiqua"/>
          <w:color w:val="000000" w:themeColor="text1"/>
          <w:lang w:val="it-IT"/>
        </w:rPr>
      </w:pPr>
      <w:r w:rsidRPr="008C4178">
        <w:rPr>
          <w:rFonts w:ascii="Book Antiqua" w:eastAsia="Book Antiqua" w:hAnsi="Book Antiqua" w:cs="Book Antiqua"/>
          <w:color w:val="000000" w:themeColor="text1"/>
          <w:lang w:val="it-IT"/>
        </w:rPr>
        <w:t>20ma.</w:t>
      </w:r>
      <w:r w:rsidR="00850770" w:rsidRPr="008C4178">
        <w:rPr>
          <w:rFonts w:ascii="Book Antiqua" w:eastAsia="Book Antiqua" w:hAnsi="Book Antiqua" w:cs="Book Antiqua"/>
          <w:color w:val="000000" w:themeColor="text1"/>
          <w:lang w:val="it-IT"/>
        </w:rPr>
        <w:tab/>
        <w:t>Asamblea</w:t>
      </w:r>
      <w:r w:rsidR="00850770"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Pr>
          <w:rFonts w:ascii="Book Antiqua" w:eastAsia="Book Antiqua" w:hAnsi="Book Antiqua" w:cs="Book Antiqua"/>
          <w:color w:val="000000" w:themeColor="text1"/>
          <w:lang w:val="it-IT"/>
        </w:rPr>
        <w:t xml:space="preserve">           </w:t>
      </w:r>
      <w:r w:rsidRPr="008C4178">
        <w:rPr>
          <w:rFonts w:ascii="Book Antiqua" w:eastAsia="Book Antiqua" w:hAnsi="Book Antiqua" w:cs="Book Antiqua"/>
          <w:color w:val="000000" w:themeColor="text1"/>
          <w:lang w:val="it-IT"/>
        </w:rPr>
        <w:t>1ra.</w:t>
      </w:r>
      <w:r w:rsidRPr="008C4178">
        <w:rPr>
          <w:rFonts w:ascii="Book Antiqua" w:eastAsia="Book Antiqua" w:hAnsi="Book Antiqua" w:cs="Book Antiqua"/>
          <w:color w:val="000000" w:themeColor="text1"/>
          <w:vertAlign w:val="superscript"/>
          <w:lang w:val="it-IT"/>
        </w:rPr>
        <w:t xml:space="preserve"> </w:t>
      </w:r>
      <w:r w:rsidR="00850770" w:rsidRPr="008C4178">
        <w:rPr>
          <w:rFonts w:ascii="Book Antiqua" w:eastAsia="Book Antiqua" w:hAnsi="Book Antiqua" w:cs="Book Antiqua"/>
          <w:color w:val="000000" w:themeColor="text1"/>
          <w:lang w:val="it-IT"/>
        </w:rPr>
        <w:t>Sesión</w:t>
      </w:r>
    </w:p>
    <w:p w14:paraId="79550659" w14:textId="7AACEEC7" w:rsidR="00FF2214" w:rsidRPr="008C4178" w:rsidRDefault="00850770" w:rsidP="008C4178">
      <w:pPr>
        <w:rPr>
          <w:rFonts w:ascii="Book Antiqua" w:eastAsia="Book Antiqua" w:hAnsi="Book Antiqua" w:cs="Book Antiqua"/>
          <w:color w:val="000000" w:themeColor="text1"/>
          <w:lang w:val="it-IT"/>
        </w:rPr>
      </w:pPr>
      <w:r w:rsidRPr="008C4178">
        <w:rPr>
          <w:rFonts w:ascii="Book Antiqua" w:eastAsia="Book Antiqua" w:hAnsi="Book Antiqua" w:cs="Book Antiqua"/>
          <w:color w:val="000000" w:themeColor="text1"/>
          <w:lang w:val="it-IT"/>
        </w:rPr>
        <w:tab/>
        <w:t>Legislativa</w:t>
      </w:r>
      <w:r w:rsidRPr="008C4178">
        <w:rPr>
          <w:rFonts w:ascii="Book Antiqua" w:eastAsia="Book Antiqua" w:hAnsi="Book Antiqua" w:cs="Book Antiqua"/>
          <w:color w:val="000000" w:themeColor="text1"/>
          <w:lang w:val="it-IT"/>
        </w:rPr>
        <w:tab/>
      </w:r>
      <w:r w:rsidRPr="008C4178">
        <w:rPr>
          <w:rFonts w:ascii="Book Antiqua" w:eastAsia="Book Antiqua" w:hAnsi="Book Antiqua" w:cs="Book Antiqua"/>
          <w:color w:val="000000" w:themeColor="text1"/>
          <w:lang w:val="it-IT"/>
        </w:rPr>
        <w:tab/>
      </w:r>
      <w:r w:rsidR="008C4178" w:rsidRPr="008C4178">
        <w:rPr>
          <w:rFonts w:ascii="Book Antiqua" w:eastAsia="Book Antiqua" w:hAnsi="Book Antiqua" w:cs="Book Antiqua"/>
          <w:color w:val="000000" w:themeColor="text1"/>
          <w:lang w:val="it-IT"/>
        </w:rPr>
        <w:t xml:space="preserve"> </w:t>
      </w:r>
      <w:r w:rsidR="008C4178">
        <w:rPr>
          <w:rFonts w:ascii="Book Antiqua" w:eastAsia="Book Antiqua" w:hAnsi="Book Antiqua" w:cs="Book Antiqua"/>
          <w:color w:val="000000" w:themeColor="text1"/>
          <w:lang w:val="it-IT"/>
        </w:rPr>
        <w:t xml:space="preserve">  </w:t>
      </w:r>
      <w:r w:rsidR="008C4178">
        <w:rPr>
          <w:rFonts w:ascii="Book Antiqua" w:eastAsia="Book Antiqua" w:hAnsi="Book Antiqua" w:cs="Book Antiqua"/>
          <w:color w:val="000000" w:themeColor="text1"/>
          <w:lang w:val="it-IT"/>
        </w:rPr>
        <w:tab/>
      </w:r>
      <w:r w:rsidR="008C4178">
        <w:rPr>
          <w:rFonts w:ascii="Book Antiqua" w:eastAsia="Book Antiqua" w:hAnsi="Book Antiqua" w:cs="Book Antiqua"/>
          <w:color w:val="000000" w:themeColor="text1"/>
          <w:lang w:val="it-IT"/>
        </w:rPr>
        <w:tab/>
      </w:r>
      <w:r w:rsidR="008C4178">
        <w:rPr>
          <w:rFonts w:ascii="Book Antiqua" w:eastAsia="Book Antiqua" w:hAnsi="Book Antiqua" w:cs="Book Antiqua"/>
          <w:color w:val="000000" w:themeColor="text1"/>
          <w:lang w:val="it-IT"/>
        </w:rPr>
        <w:tab/>
      </w:r>
      <w:r w:rsidR="008C4178">
        <w:rPr>
          <w:rFonts w:ascii="Book Antiqua" w:eastAsia="Book Antiqua" w:hAnsi="Book Antiqua" w:cs="Book Antiqua"/>
          <w:color w:val="000000" w:themeColor="text1"/>
          <w:lang w:val="it-IT"/>
        </w:rPr>
        <w:tab/>
      </w:r>
      <w:r w:rsidR="008C4178">
        <w:rPr>
          <w:rFonts w:ascii="Book Antiqua" w:eastAsia="Book Antiqua" w:hAnsi="Book Antiqua" w:cs="Book Antiqua"/>
          <w:color w:val="000000" w:themeColor="text1"/>
          <w:lang w:val="it-IT"/>
        </w:rPr>
        <w:tab/>
      </w:r>
      <w:r w:rsidR="008C4178">
        <w:rPr>
          <w:rFonts w:ascii="Book Antiqua" w:eastAsia="Book Antiqua" w:hAnsi="Book Antiqua" w:cs="Book Antiqua"/>
          <w:color w:val="000000" w:themeColor="text1"/>
          <w:lang w:val="it-IT"/>
        </w:rPr>
        <w:tab/>
      </w:r>
      <w:r w:rsidR="008C4178">
        <w:rPr>
          <w:rFonts w:ascii="Book Antiqua" w:eastAsia="Book Antiqua" w:hAnsi="Book Antiqua" w:cs="Book Antiqua"/>
          <w:color w:val="000000" w:themeColor="text1"/>
          <w:lang w:val="it-IT"/>
        </w:rPr>
        <w:tab/>
        <w:t xml:space="preserve">      </w:t>
      </w:r>
      <w:r w:rsidRPr="008C4178">
        <w:rPr>
          <w:rFonts w:ascii="Book Antiqua" w:eastAsia="Book Antiqua" w:hAnsi="Book Antiqua" w:cs="Book Antiqua"/>
          <w:color w:val="000000" w:themeColor="text1"/>
          <w:lang w:val="it-IT"/>
        </w:rPr>
        <w:t>Ordinaria</w:t>
      </w:r>
    </w:p>
    <w:p w14:paraId="7955065A" w14:textId="77777777" w:rsidR="00FF2214" w:rsidRPr="008C4178" w:rsidRDefault="00FF2214">
      <w:pPr>
        <w:rPr>
          <w:rFonts w:ascii="Book Antiqua" w:eastAsia="Book Antiqua" w:hAnsi="Book Antiqua" w:cs="Book Antiqua"/>
          <w:color w:val="000000" w:themeColor="text1"/>
          <w:lang w:val="it-IT"/>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69DE2D82"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B61934">
        <w:rPr>
          <w:rFonts w:ascii="Book Antiqua" w:hAnsi="Book Antiqua"/>
          <w:b/>
          <w:color w:val="000000" w:themeColor="text1"/>
          <w:sz w:val="52"/>
          <w:szCs w:val="52"/>
          <w:lang w:val="es-PR"/>
        </w:rPr>
        <w:t xml:space="preserve"> 519</w:t>
      </w:r>
    </w:p>
    <w:p w14:paraId="4A8A7A6F" w14:textId="77777777" w:rsidR="00950505" w:rsidRPr="00930E48" w:rsidRDefault="00950505" w:rsidP="00950505">
      <w:pPr>
        <w:jc w:val="center"/>
        <w:rPr>
          <w:rFonts w:ascii="Book Antiqua" w:hAnsi="Book Antiqua"/>
          <w:color w:val="000000" w:themeColor="text1"/>
          <w:lang w:val="es-PR"/>
        </w:rPr>
      </w:pPr>
    </w:p>
    <w:p w14:paraId="1E7B6D3E" w14:textId="14F37EB4" w:rsidR="00950505" w:rsidRDefault="00B61934" w:rsidP="00950505">
      <w:pPr>
        <w:jc w:val="center"/>
        <w:rPr>
          <w:rFonts w:ascii="Book Antiqua" w:hAnsi="Book Antiqua"/>
          <w:color w:val="000000" w:themeColor="text1"/>
          <w:lang w:val="es-PR"/>
        </w:rPr>
      </w:pPr>
      <w:r>
        <w:rPr>
          <w:rFonts w:ascii="Book Antiqua" w:hAnsi="Book Antiqua"/>
          <w:color w:val="000000" w:themeColor="text1"/>
          <w:lang w:val="es-PR"/>
        </w:rPr>
        <w:t xml:space="preserve">7 </w:t>
      </w:r>
      <w:r w:rsidRPr="180AD1F2">
        <w:rPr>
          <w:rFonts w:ascii="Book Antiqua" w:hAnsi="Book Antiqua"/>
          <w:color w:val="000000" w:themeColor="text1"/>
          <w:lang w:val="es-PR"/>
        </w:rPr>
        <w:t>DE ABRIL DE 2025</w:t>
      </w:r>
    </w:p>
    <w:p w14:paraId="17394A78" w14:textId="77777777" w:rsidR="00B61934" w:rsidRPr="00930E48" w:rsidRDefault="00B61934" w:rsidP="00950505">
      <w:pPr>
        <w:jc w:val="center"/>
        <w:rPr>
          <w:rFonts w:ascii="Book Antiqua" w:hAnsi="Book Antiqua"/>
          <w:color w:val="000000" w:themeColor="text1"/>
          <w:lang w:val="es-PR"/>
        </w:rPr>
      </w:pPr>
    </w:p>
    <w:p w14:paraId="001AA10B" w14:textId="4370D7FD" w:rsidR="00950505" w:rsidRPr="00B00227" w:rsidRDefault="00950505" w:rsidP="008C4178">
      <w:pPr>
        <w:ind w:left="720" w:hanging="72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w:t>
      </w:r>
      <w:r w:rsidR="00111BBD">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23D4CD54"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5303AF">
        <w:rPr>
          <w:rFonts w:ascii="Book Antiqua" w:hAnsi="Book Antiqua"/>
          <w:color w:val="000000" w:themeColor="text1"/>
          <w:lang w:val="es-PR"/>
        </w:rPr>
        <w:t xml:space="preserve"> la Comisión de lo Jurídico</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33FEB02B" w14:textId="0A182D6D" w:rsidR="000B0E9A" w:rsidRDefault="00850770" w:rsidP="004C1C7C">
      <w:pPr>
        <w:ind w:left="720" w:hanging="720"/>
        <w:jc w:val="both"/>
        <w:rPr>
          <w:rFonts w:ascii="Book Antiqua" w:hAnsi="Book Antiqua"/>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4C1C7C">
        <w:rPr>
          <w:rFonts w:ascii="Book Antiqua" w:hAnsi="Book Antiqua"/>
          <w:lang w:val="es-PR"/>
        </w:rPr>
        <w:t>establecer</w:t>
      </w:r>
      <w:r w:rsidR="004C1C7C" w:rsidRPr="002874CE">
        <w:rPr>
          <w:rFonts w:ascii="Book Antiqua" w:hAnsi="Book Antiqua"/>
          <w:lang w:val="es-PR"/>
        </w:rPr>
        <w:t xml:space="preserve"> la "</w:t>
      </w:r>
      <w:r w:rsidR="002B181B" w:rsidRPr="002B181B">
        <w:rPr>
          <w:rFonts w:ascii="Book Antiqua" w:hAnsi="Book Antiqua"/>
          <w:spacing w:val="-3"/>
          <w:lang w:val="es-PR"/>
        </w:rPr>
        <w:t xml:space="preserve">Ley </w:t>
      </w:r>
      <w:r w:rsidR="002B181B">
        <w:rPr>
          <w:rFonts w:ascii="Book Antiqua" w:hAnsi="Book Antiqua"/>
          <w:spacing w:val="-3"/>
          <w:lang w:val="es-PR"/>
        </w:rPr>
        <w:t xml:space="preserve">de </w:t>
      </w:r>
      <w:r w:rsidR="002B181B" w:rsidRPr="002B181B">
        <w:rPr>
          <w:rFonts w:ascii="Book Antiqua" w:hAnsi="Book Antiqua"/>
          <w:spacing w:val="-3"/>
          <w:lang w:val="es-PR"/>
        </w:rPr>
        <w:t>Fianza Segura"</w:t>
      </w:r>
      <w:r w:rsidR="004C1C7C" w:rsidRPr="002874CE">
        <w:rPr>
          <w:rFonts w:ascii="Book Antiqua" w:hAnsi="Book Antiqua"/>
          <w:lang w:val="es-PR"/>
        </w:rPr>
        <w:t xml:space="preserve"> a los fines de establecer </w:t>
      </w:r>
      <w:r w:rsidR="007F1D2B">
        <w:rPr>
          <w:rFonts w:ascii="Book Antiqua" w:hAnsi="Book Antiqua"/>
          <w:lang w:val="es-PR"/>
        </w:rPr>
        <w:t xml:space="preserve">la </w:t>
      </w:r>
      <w:r w:rsidR="004C1C7C" w:rsidRPr="002874CE">
        <w:rPr>
          <w:rFonts w:ascii="Book Antiqua" w:hAnsi="Book Antiqua"/>
          <w:lang w:val="es-PR"/>
        </w:rPr>
        <w:t>política pública</w:t>
      </w:r>
      <w:r w:rsidR="007F1D2B">
        <w:rPr>
          <w:rFonts w:ascii="Book Antiqua" w:hAnsi="Book Antiqua"/>
          <w:lang w:val="es-PR"/>
        </w:rPr>
        <w:t xml:space="preserve"> del Gobierno de Puerto Rico sobre la uniformidad</w:t>
      </w:r>
      <w:r w:rsidR="002D75E1">
        <w:rPr>
          <w:rFonts w:ascii="Book Antiqua" w:hAnsi="Book Antiqua"/>
          <w:lang w:val="es-PR"/>
        </w:rPr>
        <w:t xml:space="preserve"> </w:t>
      </w:r>
      <w:r w:rsidR="00F37EC1">
        <w:rPr>
          <w:rFonts w:ascii="Book Antiqua" w:hAnsi="Book Antiqua"/>
          <w:lang w:val="es-PR"/>
        </w:rPr>
        <w:t>requerida para la imposición de</w:t>
      </w:r>
      <w:r w:rsidR="004C1C7C" w:rsidRPr="002874CE">
        <w:rPr>
          <w:rFonts w:ascii="Book Antiqua" w:hAnsi="Book Antiqua"/>
          <w:lang w:val="es-PR"/>
        </w:rPr>
        <w:t xml:space="preserve"> fianzas en casos de delitos graves, salvaguardando </w:t>
      </w:r>
      <w:r w:rsidR="00577130">
        <w:rPr>
          <w:rFonts w:ascii="Book Antiqua" w:hAnsi="Book Antiqua"/>
          <w:lang w:val="es-PR"/>
        </w:rPr>
        <w:t xml:space="preserve">los derechos constitucionales sobre </w:t>
      </w:r>
      <w:r w:rsidR="004C1C7C" w:rsidRPr="002874CE">
        <w:rPr>
          <w:rFonts w:ascii="Book Antiqua" w:hAnsi="Book Antiqua"/>
          <w:lang w:val="es-PR"/>
        </w:rPr>
        <w:t>la presunción de inocencia</w:t>
      </w:r>
      <w:r w:rsidR="00577130">
        <w:rPr>
          <w:rFonts w:ascii="Book Antiqua" w:hAnsi="Book Antiqua"/>
          <w:lang w:val="es-PR"/>
        </w:rPr>
        <w:t xml:space="preserve">, </w:t>
      </w:r>
      <w:r w:rsidR="004C1C7C" w:rsidRPr="002874CE">
        <w:rPr>
          <w:rFonts w:ascii="Book Antiqua" w:hAnsi="Book Antiqua"/>
          <w:lang w:val="es-PR"/>
        </w:rPr>
        <w:t>la prohibición de fianzas excesivas</w:t>
      </w:r>
      <w:r w:rsidR="00577130">
        <w:rPr>
          <w:rFonts w:ascii="Book Antiqua" w:hAnsi="Book Antiqua"/>
          <w:lang w:val="es-PR"/>
        </w:rPr>
        <w:t xml:space="preserve"> y el debido proceso de ley; </w:t>
      </w:r>
      <w:r w:rsidR="001930DD">
        <w:rPr>
          <w:rFonts w:ascii="Book Antiqua" w:hAnsi="Book Antiqua"/>
          <w:lang w:val="es-PR"/>
        </w:rPr>
        <w:t xml:space="preserve">enmendar las </w:t>
      </w:r>
      <w:r w:rsidR="0046344B">
        <w:rPr>
          <w:rFonts w:ascii="Book Antiqua" w:hAnsi="Book Antiqua"/>
          <w:lang w:val="es-PR"/>
        </w:rPr>
        <w:t xml:space="preserve">Reglas 6.1, 218 y 228 de las Reglas de Procedimiento Criminal de 1963, según enmendadas, para atemperar su lenguaje a las disposiciones de la presente; para facultad de la Oficina de Administración de Tribunales para </w:t>
      </w:r>
      <w:r w:rsidR="000D7909">
        <w:rPr>
          <w:rFonts w:ascii="Book Antiqua" w:hAnsi="Book Antiqua"/>
          <w:lang w:val="es-PR"/>
        </w:rPr>
        <w:t xml:space="preserve">establecer los programas de educación y para poder </w:t>
      </w:r>
      <w:r w:rsidR="0046344B">
        <w:rPr>
          <w:rFonts w:ascii="Book Antiqua" w:hAnsi="Book Antiqua"/>
          <w:lang w:val="es-PR"/>
        </w:rPr>
        <w:t xml:space="preserve">reglamentar de conformidad con lo dispuesto en esta legislación especial; </w:t>
      </w:r>
      <w:r w:rsidR="000B0E9A">
        <w:rPr>
          <w:rFonts w:ascii="Book Antiqua" w:hAnsi="Book Antiqua"/>
          <w:lang w:val="es-PR"/>
        </w:rPr>
        <w:t xml:space="preserve">para </w:t>
      </w:r>
      <w:r w:rsidR="004C1C7C">
        <w:rPr>
          <w:rFonts w:ascii="Book Antiqua" w:hAnsi="Book Antiqua"/>
          <w:lang w:val="es-PR"/>
        </w:rPr>
        <w:t>otros fines relacionados.</w:t>
      </w:r>
    </w:p>
    <w:p w14:paraId="46100887" w14:textId="77777777" w:rsidR="007A40FA" w:rsidRDefault="007A40FA" w:rsidP="004C1C7C">
      <w:pPr>
        <w:ind w:left="720" w:hanging="720"/>
        <w:jc w:val="both"/>
        <w:rPr>
          <w:rFonts w:ascii="Book Antiqua" w:hAnsi="Book Antiqua"/>
          <w:lang w:val="es-PR"/>
        </w:rPr>
      </w:pPr>
    </w:p>
    <w:p w14:paraId="63AE53B1" w14:textId="5D9CA609" w:rsidR="00010836" w:rsidRPr="008C4178" w:rsidRDefault="00850770" w:rsidP="180AD1F2">
      <w:pPr>
        <w:ind w:left="540" w:hanging="540"/>
        <w:jc w:val="center"/>
        <w:rPr>
          <w:rFonts w:ascii="Book Antiqua" w:eastAsia="Book Antiqua" w:hAnsi="Book Antiqua" w:cs="Book Antiqua"/>
          <w:color w:val="000000" w:themeColor="text1"/>
          <w:lang w:val="es-PR"/>
        </w:rPr>
      </w:pPr>
      <w:r w:rsidRPr="008C4178">
        <w:rPr>
          <w:rFonts w:ascii="Book Antiqua" w:eastAsia="Book Antiqua" w:hAnsi="Book Antiqua" w:cs="Book Antiqua"/>
          <w:color w:val="000000" w:themeColor="text1"/>
          <w:lang w:val="es-PR"/>
        </w:rPr>
        <w:t>EXPOSICIÓN DE MOTIVOS</w:t>
      </w:r>
    </w:p>
    <w:p w14:paraId="3CAD940A" w14:textId="77777777" w:rsidR="007A40FA" w:rsidRDefault="007A40FA" w:rsidP="180AD1F2">
      <w:pPr>
        <w:ind w:left="540" w:hanging="540"/>
        <w:jc w:val="center"/>
        <w:rPr>
          <w:rFonts w:ascii="Book Antiqua" w:eastAsia="Book Antiqua" w:hAnsi="Book Antiqua" w:cs="Book Antiqua"/>
          <w:b/>
          <w:bCs/>
          <w:color w:val="000000" w:themeColor="text1"/>
          <w:lang w:val="es-PR"/>
        </w:rPr>
      </w:pPr>
    </w:p>
    <w:p w14:paraId="328C663B" w14:textId="44B1DD78" w:rsidR="004C1C7C" w:rsidRDefault="004C1C7C" w:rsidP="008C4178">
      <w:pPr>
        <w:ind w:firstLine="720"/>
        <w:jc w:val="both"/>
        <w:rPr>
          <w:rFonts w:ascii="Book Antiqua" w:eastAsia="MS Mincho" w:hAnsi="Book Antiqua"/>
          <w:szCs w:val="22"/>
          <w:lang w:val="es-PR"/>
        </w:rPr>
      </w:pPr>
      <w:r w:rsidRPr="00426C8C">
        <w:rPr>
          <w:rFonts w:ascii="Book Antiqua" w:eastAsia="MS Mincho" w:hAnsi="Book Antiqua"/>
          <w:szCs w:val="22"/>
          <w:lang w:val="es-PR"/>
        </w:rPr>
        <w:t xml:space="preserve">El derecho a la fianza es una garantía establecida en el Artículo II, Sección 11 de la Constitución de Puerto Rico, que reconoce el derecho de toda persona acusada de delito </w:t>
      </w:r>
      <w:r w:rsidRPr="00426C8C">
        <w:rPr>
          <w:rFonts w:ascii="Book Antiqua" w:eastAsia="MS Mincho" w:hAnsi="Book Antiqua"/>
          <w:szCs w:val="22"/>
          <w:lang w:val="es-PR"/>
        </w:rPr>
        <w:lastRenderedPageBreak/>
        <w:t>a quedar en libertad bajo fianza antes de mediar un fallo condenatorio. E</w:t>
      </w:r>
      <w:r w:rsidR="00932D39">
        <w:rPr>
          <w:rFonts w:ascii="Book Antiqua" w:eastAsia="MS Mincho" w:hAnsi="Book Antiqua"/>
          <w:szCs w:val="22"/>
          <w:lang w:val="es-PR"/>
        </w:rPr>
        <w:t>n Puerto Rico, e</w:t>
      </w:r>
      <w:r w:rsidRPr="00426C8C">
        <w:rPr>
          <w:rFonts w:ascii="Book Antiqua" w:eastAsia="MS Mincho" w:hAnsi="Book Antiqua"/>
          <w:szCs w:val="22"/>
          <w:lang w:val="es-PR"/>
        </w:rPr>
        <w:t>ste derecho es absoluto, a diferencia de otras jurisdicciones donde puede ser denegado en casos de peligrosidad.</w:t>
      </w:r>
    </w:p>
    <w:p w14:paraId="4F3AAFB0" w14:textId="77777777" w:rsidR="004C1C7C" w:rsidRPr="00426C8C" w:rsidRDefault="004C1C7C" w:rsidP="008C4178">
      <w:pPr>
        <w:ind w:firstLine="720"/>
        <w:jc w:val="both"/>
        <w:rPr>
          <w:rFonts w:ascii="Book Antiqua" w:eastAsia="MS Mincho" w:hAnsi="Book Antiqua"/>
          <w:szCs w:val="22"/>
          <w:lang w:val="es-PR"/>
        </w:rPr>
      </w:pPr>
    </w:p>
    <w:p w14:paraId="1972CD01" w14:textId="77777777" w:rsidR="004C1C7C" w:rsidRDefault="004C1C7C" w:rsidP="008C4178">
      <w:pPr>
        <w:ind w:firstLine="720"/>
        <w:jc w:val="both"/>
        <w:rPr>
          <w:rFonts w:ascii="Book Antiqua" w:eastAsia="MS Mincho" w:hAnsi="Book Antiqua"/>
          <w:szCs w:val="22"/>
          <w:lang w:val="es-PR"/>
        </w:rPr>
      </w:pPr>
      <w:r w:rsidRPr="00426C8C">
        <w:rPr>
          <w:rFonts w:ascii="Book Antiqua" w:eastAsia="MS Mincho" w:hAnsi="Book Antiqua"/>
          <w:szCs w:val="22"/>
          <w:lang w:val="es-PR"/>
        </w:rPr>
        <w:t>No obstante, el Tribunal Supremo de Puerto Rico ha reconocido que esta garantía convive con el deber del Estado de proteger a la comunidad, asegurar la comparecencia del acusado al proceso y salvaguardar la integridad del procedimiento judicial. En ese contexto, la discreción judicial para imponer condiciones de libertad provisional, incluyendo la cuantía de la fianza, es una herramienta legítima sujeta a principios de razonabilidad, proporcionalidad y debido proceso.</w:t>
      </w:r>
    </w:p>
    <w:p w14:paraId="642F5F93" w14:textId="77777777" w:rsidR="004C1C7C" w:rsidRPr="00426C8C" w:rsidRDefault="004C1C7C" w:rsidP="008C4178">
      <w:pPr>
        <w:ind w:firstLine="720"/>
        <w:jc w:val="both"/>
        <w:rPr>
          <w:rFonts w:ascii="Book Antiqua" w:eastAsia="MS Mincho" w:hAnsi="Book Antiqua"/>
          <w:szCs w:val="22"/>
          <w:lang w:val="es-PR"/>
        </w:rPr>
      </w:pPr>
    </w:p>
    <w:p w14:paraId="08727DCC" w14:textId="69889831" w:rsidR="004C1C7C" w:rsidRDefault="004C1C7C" w:rsidP="008C4178">
      <w:pPr>
        <w:ind w:firstLine="720"/>
        <w:jc w:val="both"/>
        <w:rPr>
          <w:rFonts w:ascii="Book Antiqua" w:eastAsia="MS Mincho" w:hAnsi="Book Antiqua"/>
          <w:szCs w:val="22"/>
          <w:lang w:val="es-PR"/>
        </w:rPr>
      </w:pPr>
      <w:r w:rsidRPr="00426C8C">
        <w:rPr>
          <w:rFonts w:ascii="Book Antiqua" w:eastAsia="MS Mincho" w:hAnsi="Book Antiqua"/>
          <w:szCs w:val="22"/>
          <w:lang w:val="es-PR"/>
        </w:rPr>
        <w:t>Las Reglas de Procedimiento Criminal, particularmente la Regla 218, establecen los factores que deben considerar los jueces al fijar fianza. Sin embargo, no existe una ley que establezca cuantías mínimas por tipo de delito. Est</w:t>
      </w:r>
      <w:r>
        <w:rPr>
          <w:rFonts w:ascii="Book Antiqua" w:eastAsia="MS Mincho" w:hAnsi="Book Antiqua"/>
          <w:szCs w:val="22"/>
          <w:lang w:val="es-PR"/>
        </w:rPr>
        <w:t>a ley</w:t>
      </w:r>
      <w:r w:rsidRPr="00426C8C">
        <w:rPr>
          <w:rFonts w:ascii="Book Antiqua" w:eastAsia="MS Mincho" w:hAnsi="Book Antiqua"/>
          <w:szCs w:val="22"/>
          <w:lang w:val="es-PR"/>
        </w:rPr>
        <w:t xml:space="preserve"> no pretende eliminar la discreción judicial, sino brindar guías uniformes para casos de delitos de alta gravedad que históricamente representan riesgo significativo para la seguridad pública y para las víctimas.</w:t>
      </w:r>
      <w:r w:rsidR="007A1A7B">
        <w:rPr>
          <w:rFonts w:ascii="Book Antiqua" w:eastAsia="MS Mincho" w:hAnsi="Book Antiqua"/>
          <w:szCs w:val="22"/>
          <w:lang w:val="es-PR"/>
        </w:rPr>
        <w:t xml:space="preserve"> Por lo tanto, se enmiendas las Reglas</w:t>
      </w:r>
      <w:r w:rsidR="0046344B">
        <w:rPr>
          <w:rFonts w:ascii="Book Antiqua" w:eastAsia="MS Mincho" w:hAnsi="Book Antiqua"/>
          <w:szCs w:val="22"/>
          <w:lang w:val="es-PR"/>
        </w:rPr>
        <w:t xml:space="preserve"> de Procedimiento Criminal</w:t>
      </w:r>
      <w:r w:rsidR="007A1A7B">
        <w:rPr>
          <w:rFonts w:ascii="Book Antiqua" w:eastAsia="MS Mincho" w:hAnsi="Book Antiqua"/>
          <w:szCs w:val="22"/>
          <w:lang w:val="es-PR"/>
        </w:rPr>
        <w:t xml:space="preserve"> de manera </w:t>
      </w:r>
      <w:r w:rsidR="0046344B">
        <w:rPr>
          <w:rFonts w:ascii="Book Antiqua" w:eastAsia="MS Mincho" w:hAnsi="Book Antiqua"/>
          <w:szCs w:val="22"/>
          <w:lang w:val="es-PR"/>
        </w:rPr>
        <w:t xml:space="preserve">coordinada, para que los criterios que prevalezcan por el Tribunal sean los que se disponen mediante la presente legislación especial. </w:t>
      </w:r>
    </w:p>
    <w:p w14:paraId="2B50A419" w14:textId="77777777" w:rsidR="004C1C7C" w:rsidRPr="00426C8C" w:rsidRDefault="004C1C7C" w:rsidP="008C4178">
      <w:pPr>
        <w:ind w:firstLine="720"/>
        <w:jc w:val="both"/>
        <w:rPr>
          <w:rFonts w:ascii="Book Antiqua" w:eastAsia="MS Mincho" w:hAnsi="Book Antiqua"/>
          <w:szCs w:val="22"/>
          <w:lang w:val="es-PR"/>
        </w:rPr>
      </w:pPr>
    </w:p>
    <w:p w14:paraId="4FB41445" w14:textId="77777777" w:rsidR="004C1C7C" w:rsidRDefault="004C1C7C" w:rsidP="008C4178">
      <w:pPr>
        <w:ind w:firstLine="720"/>
        <w:jc w:val="both"/>
        <w:rPr>
          <w:rFonts w:ascii="Book Antiqua" w:eastAsia="MS Mincho" w:hAnsi="Book Antiqua"/>
          <w:szCs w:val="22"/>
          <w:lang w:val="es-PR"/>
        </w:rPr>
      </w:pPr>
      <w:r w:rsidRPr="00426C8C">
        <w:rPr>
          <w:rFonts w:ascii="Book Antiqua" w:eastAsia="MS Mincho" w:hAnsi="Book Antiqua"/>
          <w:szCs w:val="22"/>
          <w:lang w:val="es-PR"/>
        </w:rPr>
        <w:t>Se incluye un mecanismo de excepción mediante fundamentación judicial escrita, garantizando así el respeto a las garantías constitucionales y el carácter individualizado de toda determinación. Asimismo, se autoriza el uso complementario de herramientas de evaluación de riesgo validadas, como mecanismo adicional que informe las decisiones judiciales sin que sustituyan la cuantía mínima dispuesta.</w:t>
      </w:r>
    </w:p>
    <w:p w14:paraId="4A7A75F4" w14:textId="77777777" w:rsidR="004C1C7C" w:rsidRPr="00426C8C" w:rsidRDefault="004C1C7C" w:rsidP="008C4178">
      <w:pPr>
        <w:ind w:firstLine="720"/>
        <w:jc w:val="both"/>
        <w:rPr>
          <w:rFonts w:ascii="Book Antiqua" w:eastAsia="MS Mincho" w:hAnsi="Book Antiqua"/>
          <w:szCs w:val="22"/>
          <w:lang w:val="es-PR"/>
        </w:rPr>
      </w:pPr>
      <w:r>
        <w:rPr>
          <w:rFonts w:ascii="Book Antiqua" w:eastAsia="MS Mincho" w:hAnsi="Book Antiqua"/>
          <w:szCs w:val="22"/>
          <w:lang w:val="es-PR"/>
        </w:rPr>
        <w:tab/>
      </w:r>
    </w:p>
    <w:p w14:paraId="5F4B26F8" w14:textId="276CD32E" w:rsidR="004C1C7C" w:rsidRPr="00426C8C" w:rsidRDefault="004C1C7C" w:rsidP="008C4178">
      <w:pPr>
        <w:ind w:firstLine="720"/>
        <w:jc w:val="both"/>
        <w:rPr>
          <w:rFonts w:ascii="Book Antiqua" w:eastAsia="MS Mincho" w:hAnsi="Book Antiqua"/>
          <w:szCs w:val="22"/>
          <w:lang w:val="es-PR"/>
        </w:rPr>
      </w:pPr>
      <w:r>
        <w:rPr>
          <w:rFonts w:ascii="Book Antiqua" w:eastAsia="MS Mincho" w:hAnsi="Book Antiqua"/>
          <w:szCs w:val="22"/>
          <w:lang w:val="es-PR"/>
        </w:rPr>
        <w:t xml:space="preserve">Esta </w:t>
      </w:r>
      <w:r w:rsidR="009F6D79">
        <w:rPr>
          <w:rFonts w:ascii="Book Antiqua" w:eastAsia="MS Mincho" w:hAnsi="Book Antiqua"/>
          <w:szCs w:val="22"/>
          <w:lang w:val="es-PR"/>
        </w:rPr>
        <w:t>L</w:t>
      </w:r>
      <w:r>
        <w:rPr>
          <w:rFonts w:ascii="Book Antiqua" w:eastAsia="MS Mincho" w:hAnsi="Book Antiqua"/>
          <w:szCs w:val="22"/>
          <w:lang w:val="es-PR"/>
        </w:rPr>
        <w:t>ey</w:t>
      </w:r>
      <w:r w:rsidRPr="00426C8C">
        <w:rPr>
          <w:rFonts w:ascii="Book Antiqua" w:eastAsia="MS Mincho" w:hAnsi="Book Antiqua"/>
          <w:szCs w:val="22"/>
          <w:lang w:val="es-PR"/>
        </w:rPr>
        <w:t xml:space="preserve"> se fundamenta en el interés apremiante del Estado en proteger a sus ciudadanos y mantener la confianza en el sistema de justicia. Está diseñado para armonizar con los principios constitucionales, las Reglas de Procedimiento Criminal y el ordenamiento legal vigente en Puerto Rico.</w:t>
      </w:r>
      <w:r w:rsidR="009F6D79">
        <w:rPr>
          <w:rFonts w:ascii="Book Antiqua" w:eastAsia="MS Mincho" w:hAnsi="Book Antiqua"/>
          <w:szCs w:val="22"/>
          <w:lang w:val="es-PR"/>
        </w:rPr>
        <w:t xml:space="preserve"> </w:t>
      </w:r>
      <w:r w:rsidR="00C47E72">
        <w:rPr>
          <w:rFonts w:ascii="Book Antiqua" w:eastAsia="MS Mincho" w:hAnsi="Book Antiqua"/>
          <w:szCs w:val="22"/>
          <w:lang w:val="es-PR"/>
        </w:rPr>
        <w:t>De igual manera,</w:t>
      </w:r>
      <w:r w:rsidRPr="00426C8C">
        <w:rPr>
          <w:rFonts w:ascii="Book Antiqua" w:eastAsia="MS Mincho" w:hAnsi="Book Antiqua"/>
          <w:szCs w:val="22"/>
          <w:lang w:val="es-PR"/>
        </w:rPr>
        <w:t xml:space="preserve"> busca uniformar criterios y establecer guías claras sobre los mínimos de fianza en </w:t>
      </w:r>
      <w:r w:rsidR="00C47E72">
        <w:rPr>
          <w:rFonts w:ascii="Book Antiqua" w:eastAsia="MS Mincho" w:hAnsi="Book Antiqua"/>
          <w:szCs w:val="22"/>
          <w:lang w:val="es-PR"/>
        </w:rPr>
        <w:t>crímenes violentos</w:t>
      </w:r>
      <w:r w:rsidRPr="00426C8C">
        <w:rPr>
          <w:rFonts w:ascii="Book Antiqua" w:eastAsia="MS Mincho" w:hAnsi="Book Antiqua"/>
          <w:szCs w:val="22"/>
          <w:lang w:val="es-PR"/>
        </w:rPr>
        <w:t xml:space="preserve"> que por su naturaleza representan un riesgo significativo para la seguridad pública, sin menoscabar las garantías constitucionales. </w:t>
      </w:r>
    </w:p>
    <w:p w14:paraId="6122DF45" w14:textId="77777777" w:rsidR="004C1C7C" w:rsidRDefault="004C1C7C" w:rsidP="004C1C7C">
      <w:pPr>
        <w:jc w:val="both"/>
        <w:rPr>
          <w:rFonts w:ascii="Book Antiqua" w:hAnsi="Book Antiqua"/>
          <w:i/>
          <w:lang w:val="es-PR"/>
        </w:rPr>
      </w:pP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DCC4191" w14:textId="77777777" w:rsidR="004C1C7C" w:rsidRPr="0065539D" w:rsidRDefault="004C1C7C" w:rsidP="004C1C7C">
      <w:pPr>
        <w:suppressAutoHyphens/>
        <w:spacing w:line="480" w:lineRule="auto"/>
        <w:ind w:firstLine="720"/>
        <w:jc w:val="both"/>
        <w:rPr>
          <w:rFonts w:ascii="Book Antiqua" w:hAnsi="Book Antiqua"/>
          <w:spacing w:val="-3"/>
          <w:lang w:val="es-PR"/>
        </w:rPr>
      </w:pPr>
      <w:bookmarkStart w:id="0" w:name="_Hlk133500654"/>
      <w:r w:rsidRPr="00D86156">
        <w:rPr>
          <w:rFonts w:ascii="Book Antiqua" w:hAnsi="Book Antiqua"/>
          <w:spacing w:val="-3"/>
          <w:lang w:val="es-PR"/>
        </w:rPr>
        <w:t xml:space="preserve">Artículo 1.- Título. </w:t>
      </w:r>
    </w:p>
    <w:p w14:paraId="0FFC2B86" w14:textId="422441B5" w:rsidR="004C1C7C" w:rsidRDefault="004C1C7C" w:rsidP="004C1C7C">
      <w:pPr>
        <w:suppressAutoHyphens/>
        <w:spacing w:line="480" w:lineRule="auto"/>
        <w:ind w:firstLine="720"/>
        <w:jc w:val="both"/>
        <w:rPr>
          <w:rFonts w:ascii="Book Antiqua" w:hAnsi="Book Antiqua"/>
          <w:spacing w:val="-3"/>
          <w:lang w:val="es-PR"/>
        </w:rPr>
      </w:pPr>
      <w:r w:rsidRPr="002B181B">
        <w:rPr>
          <w:rFonts w:ascii="Book Antiqua" w:hAnsi="Book Antiqua"/>
          <w:spacing w:val="-3"/>
          <w:lang w:val="es-PR"/>
        </w:rPr>
        <w:t xml:space="preserve">Esta Ley se conocerá </w:t>
      </w:r>
      <w:r w:rsidR="0040712C">
        <w:rPr>
          <w:rFonts w:ascii="Book Antiqua" w:hAnsi="Book Antiqua"/>
          <w:spacing w:val="-3"/>
          <w:lang w:val="es-PR"/>
        </w:rPr>
        <w:t xml:space="preserve">y podrá ser citada </w:t>
      </w:r>
      <w:r w:rsidR="002B181B" w:rsidRPr="002B181B">
        <w:rPr>
          <w:rFonts w:ascii="Book Antiqua" w:hAnsi="Book Antiqua"/>
          <w:spacing w:val="-3"/>
          <w:lang w:val="es-PR"/>
        </w:rPr>
        <w:t>como</w:t>
      </w:r>
      <w:r w:rsidR="002B181B">
        <w:rPr>
          <w:rFonts w:ascii="Book Antiqua" w:hAnsi="Book Antiqua"/>
          <w:spacing w:val="-3"/>
          <w:lang w:val="es-PR"/>
        </w:rPr>
        <w:t xml:space="preserve"> </w:t>
      </w:r>
      <w:r w:rsidRPr="002B181B">
        <w:rPr>
          <w:rFonts w:ascii="Book Antiqua" w:hAnsi="Book Antiqua"/>
          <w:spacing w:val="-3"/>
          <w:lang w:val="es-PR"/>
        </w:rPr>
        <w:t xml:space="preserve">y podrá citarse como la "Ley </w:t>
      </w:r>
      <w:r w:rsidR="002B181B">
        <w:rPr>
          <w:rFonts w:ascii="Book Antiqua" w:hAnsi="Book Antiqua"/>
          <w:spacing w:val="-3"/>
          <w:lang w:val="es-PR"/>
        </w:rPr>
        <w:t xml:space="preserve">de </w:t>
      </w:r>
      <w:r w:rsidRPr="002B181B">
        <w:rPr>
          <w:rFonts w:ascii="Book Antiqua" w:hAnsi="Book Antiqua"/>
          <w:spacing w:val="-3"/>
          <w:lang w:val="es-PR"/>
        </w:rPr>
        <w:t>Fianza Segura".</w:t>
      </w:r>
    </w:p>
    <w:p w14:paraId="581E70F8" w14:textId="77777777" w:rsidR="004C1C7C" w:rsidRPr="00822D3A" w:rsidRDefault="004C1C7C" w:rsidP="004C1C7C">
      <w:pPr>
        <w:suppressAutoHyphens/>
        <w:spacing w:line="480" w:lineRule="auto"/>
        <w:ind w:firstLine="720"/>
        <w:jc w:val="both"/>
        <w:rPr>
          <w:rFonts w:ascii="Book Antiqua" w:hAnsi="Book Antiqua"/>
          <w:spacing w:val="-3"/>
          <w:lang w:val="es-PR"/>
        </w:rPr>
      </w:pPr>
      <w:r w:rsidRPr="00822D3A">
        <w:rPr>
          <w:rFonts w:ascii="Book Antiqua" w:hAnsi="Book Antiqua"/>
          <w:spacing w:val="-3"/>
          <w:lang w:val="es-PR"/>
        </w:rPr>
        <w:lastRenderedPageBreak/>
        <w:t xml:space="preserve">Artículo 2.- Declaración de Política Pública. </w:t>
      </w:r>
    </w:p>
    <w:p w14:paraId="7743E985" w14:textId="77777777" w:rsidR="00C47E72" w:rsidRDefault="00C47E72" w:rsidP="00C47E72">
      <w:pPr>
        <w:suppressAutoHyphens/>
        <w:spacing w:line="480" w:lineRule="auto"/>
        <w:ind w:firstLine="720"/>
        <w:jc w:val="both"/>
        <w:rPr>
          <w:rFonts w:ascii="Book Antiqua" w:hAnsi="Book Antiqua"/>
          <w:spacing w:val="-3"/>
          <w:lang w:val="es-PR"/>
        </w:rPr>
      </w:pPr>
      <w:r>
        <w:rPr>
          <w:rFonts w:ascii="Book Antiqua" w:hAnsi="Book Antiqua"/>
          <w:spacing w:val="-3"/>
          <w:lang w:val="es-PR"/>
        </w:rPr>
        <w:t xml:space="preserve">Para el </w:t>
      </w:r>
      <w:r w:rsidR="004C1C7C" w:rsidRPr="005A0D87">
        <w:rPr>
          <w:rFonts w:ascii="Book Antiqua" w:hAnsi="Book Antiqua"/>
          <w:spacing w:val="-3"/>
          <w:lang w:val="es-PR"/>
        </w:rPr>
        <w:t xml:space="preserve">Gobierno de Puerto Rico existe un interés apremiante en garantizar la comparecencia de las personas acusadas de delitos graves a los procesos judiciales, proteger la vida y la integridad física de las víctimas, preservar la paz pública y salvaguardar la seguridad de la comunidad, conforme a los principios constitucionales de debido proceso y proporcionalidad. El Gobierno de Puerto Rico reconoce el derecho constitucional que asiste a toda persona acusada de delito a quedar en libertad bajo fianza antes de mediar un fallo condenatorio. No obstante, el Estado tiene la obligación de garantizar la seguridad de la comunidad, la integridad del proceso judicial y la comparecencia del imputado. </w:t>
      </w:r>
    </w:p>
    <w:p w14:paraId="22E0CA43" w14:textId="0F1F5597" w:rsidR="004C1C7C" w:rsidRDefault="00C47E72" w:rsidP="00C47E72">
      <w:pPr>
        <w:suppressAutoHyphens/>
        <w:spacing w:line="480" w:lineRule="auto"/>
        <w:ind w:firstLine="720"/>
        <w:jc w:val="both"/>
        <w:rPr>
          <w:rFonts w:ascii="Book Antiqua" w:hAnsi="Book Antiqua"/>
          <w:spacing w:val="-3"/>
          <w:lang w:val="es-PR"/>
        </w:rPr>
      </w:pPr>
      <w:r>
        <w:rPr>
          <w:rFonts w:ascii="Book Antiqua" w:hAnsi="Book Antiqua"/>
          <w:spacing w:val="-3"/>
          <w:lang w:val="es-PR"/>
        </w:rPr>
        <w:t xml:space="preserve">Por ello se </w:t>
      </w:r>
      <w:r w:rsidR="009511D6">
        <w:rPr>
          <w:rFonts w:ascii="Book Antiqua" w:hAnsi="Book Antiqua"/>
          <w:spacing w:val="-3"/>
          <w:lang w:val="es-PR"/>
        </w:rPr>
        <w:t xml:space="preserve">dispone </w:t>
      </w:r>
      <w:r>
        <w:rPr>
          <w:rFonts w:ascii="Book Antiqua" w:hAnsi="Book Antiqua"/>
          <w:spacing w:val="-3"/>
          <w:lang w:val="es-PR"/>
        </w:rPr>
        <w:t>como política pública e</w:t>
      </w:r>
      <w:r w:rsidRPr="007D7D0D">
        <w:rPr>
          <w:rFonts w:ascii="Book Antiqua" w:hAnsi="Book Antiqua"/>
          <w:spacing w:val="-3"/>
          <w:lang w:val="es-PR"/>
        </w:rPr>
        <w:t>stablecer parámetros uniformes para la imposición de fianzas en casos de delitos violentos graves, conforme a las Reglas de Procedimiento Criminal y a la Constitución de Puerto Rico</w:t>
      </w:r>
      <w:r>
        <w:rPr>
          <w:rFonts w:ascii="Book Antiqua" w:hAnsi="Book Antiqua"/>
          <w:spacing w:val="-3"/>
          <w:lang w:val="es-PR"/>
        </w:rPr>
        <w:t xml:space="preserve">. Por lo cual </w:t>
      </w:r>
      <w:r w:rsidR="004C1C7C" w:rsidRPr="005A0D87">
        <w:rPr>
          <w:rFonts w:ascii="Book Antiqua" w:hAnsi="Book Antiqua"/>
          <w:spacing w:val="-3"/>
          <w:lang w:val="es-PR"/>
        </w:rPr>
        <w:t xml:space="preserve">se </w:t>
      </w:r>
      <w:r>
        <w:rPr>
          <w:rFonts w:ascii="Book Antiqua" w:hAnsi="Book Antiqua"/>
          <w:spacing w:val="-3"/>
          <w:lang w:val="es-PR"/>
        </w:rPr>
        <w:t>crean</w:t>
      </w:r>
      <w:r w:rsidR="004C1C7C" w:rsidRPr="005A0D87">
        <w:rPr>
          <w:rFonts w:ascii="Book Antiqua" w:hAnsi="Book Antiqua"/>
          <w:spacing w:val="-3"/>
          <w:lang w:val="es-PR"/>
        </w:rPr>
        <w:t xml:space="preserve"> guías específicas de cuantías mínimas de fianza que deben ser consideradas por los tribunales en la determinación de condiciones de libertad provisional en los delitos enumerados</w:t>
      </w:r>
      <w:r>
        <w:rPr>
          <w:rFonts w:ascii="Book Antiqua" w:hAnsi="Book Antiqua"/>
          <w:spacing w:val="-3"/>
          <w:lang w:val="es-PR"/>
        </w:rPr>
        <w:t xml:space="preserve"> en esta Ley</w:t>
      </w:r>
      <w:r w:rsidR="004C1C7C" w:rsidRPr="005A0D87">
        <w:rPr>
          <w:rFonts w:ascii="Book Antiqua" w:hAnsi="Book Antiqua"/>
          <w:spacing w:val="-3"/>
          <w:lang w:val="es-PR"/>
        </w:rPr>
        <w:t>.</w:t>
      </w:r>
    </w:p>
    <w:p w14:paraId="24BC42F5" w14:textId="472DCF42" w:rsidR="004C1C7C" w:rsidRDefault="004C1C7C" w:rsidP="004C1C7C">
      <w:pPr>
        <w:suppressAutoHyphens/>
        <w:spacing w:line="480" w:lineRule="auto"/>
        <w:ind w:firstLine="720"/>
        <w:jc w:val="both"/>
        <w:rPr>
          <w:rFonts w:ascii="Book Antiqua" w:hAnsi="Book Antiqua"/>
          <w:spacing w:val="-3"/>
          <w:lang w:val="es-PR"/>
        </w:rPr>
      </w:pPr>
      <w:r w:rsidRPr="007437BA">
        <w:rPr>
          <w:rFonts w:ascii="Book Antiqua" w:hAnsi="Book Antiqua"/>
          <w:spacing w:val="-3"/>
          <w:lang w:val="es-PR"/>
        </w:rPr>
        <w:t xml:space="preserve">Artículo </w:t>
      </w:r>
      <w:r w:rsidR="00C47E72">
        <w:rPr>
          <w:rFonts w:ascii="Book Antiqua" w:hAnsi="Book Antiqua"/>
          <w:spacing w:val="-3"/>
          <w:lang w:val="es-PR"/>
        </w:rPr>
        <w:t>3.</w:t>
      </w:r>
      <w:r w:rsidR="00F44B1E">
        <w:rPr>
          <w:rFonts w:ascii="Book Antiqua" w:hAnsi="Book Antiqua"/>
          <w:spacing w:val="-3"/>
          <w:lang w:val="es-PR"/>
        </w:rPr>
        <w:t>-</w:t>
      </w:r>
      <w:r w:rsidRPr="00243C90">
        <w:rPr>
          <w:rFonts w:ascii="Book Antiqua" w:hAnsi="Book Antiqua"/>
          <w:spacing w:val="-3"/>
          <w:lang w:val="es-PR"/>
        </w:rPr>
        <w:t>Aplicación Complementaria de Herramientas de Evaluación de Riesgo.</w:t>
      </w:r>
    </w:p>
    <w:p w14:paraId="656189F1" w14:textId="326B906D" w:rsidR="004C1C7C" w:rsidRPr="00FD6FCB" w:rsidRDefault="004C1C7C" w:rsidP="004C1C7C">
      <w:pPr>
        <w:suppressAutoHyphens/>
        <w:spacing w:line="480" w:lineRule="auto"/>
        <w:ind w:firstLine="720"/>
        <w:jc w:val="both"/>
        <w:rPr>
          <w:rFonts w:ascii="Book Antiqua" w:hAnsi="Book Antiqua"/>
          <w:spacing w:val="-3"/>
          <w:lang w:val="es-PR"/>
        </w:rPr>
      </w:pPr>
      <w:r w:rsidRPr="00FD6FCB">
        <w:rPr>
          <w:rFonts w:ascii="Book Antiqua" w:hAnsi="Book Antiqua"/>
          <w:spacing w:val="-3"/>
          <w:lang w:val="es-PR"/>
        </w:rPr>
        <w:t>El Tribunal, como parte de su análisis discrecional y conforme a la Regla 6 de Procedimiento Criminal, podrá considerar los resultados de herramientas de evaluación de riesgo validadas, incluyendo aquellas administradas por la Oficina de Servicios con Antelación al Juicio, sin que ello sustituya la aplicación de las guías de cuantía mínima dispuestas en esta Ley.</w:t>
      </w:r>
    </w:p>
    <w:p w14:paraId="6E01EF62" w14:textId="39E369C4" w:rsidR="004C1C7C" w:rsidRPr="006452CF" w:rsidRDefault="004C1C7C" w:rsidP="004C1C7C">
      <w:pPr>
        <w:suppressAutoHyphens/>
        <w:spacing w:line="480" w:lineRule="auto"/>
        <w:ind w:firstLine="720"/>
        <w:jc w:val="both"/>
        <w:rPr>
          <w:rFonts w:ascii="Book Antiqua" w:hAnsi="Book Antiqua"/>
          <w:spacing w:val="-3"/>
          <w:lang w:val="es-PR"/>
        </w:rPr>
      </w:pPr>
      <w:r w:rsidRPr="006452CF">
        <w:rPr>
          <w:rFonts w:ascii="Book Antiqua" w:hAnsi="Book Antiqua"/>
          <w:spacing w:val="-3"/>
          <w:lang w:val="es-PR"/>
        </w:rPr>
        <w:lastRenderedPageBreak/>
        <w:t xml:space="preserve">Artículo 4.- </w:t>
      </w:r>
      <w:r w:rsidRPr="000205FA">
        <w:rPr>
          <w:rFonts w:ascii="Book Antiqua" w:hAnsi="Book Antiqua"/>
          <w:spacing w:val="-3"/>
          <w:lang w:val="es-PR"/>
        </w:rPr>
        <w:t xml:space="preserve">Guías de </w:t>
      </w:r>
      <w:r w:rsidR="257C5BC4" w:rsidRPr="000205FA">
        <w:rPr>
          <w:rFonts w:ascii="Book Antiqua" w:hAnsi="Book Antiqua"/>
          <w:spacing w:val="-3"/>
          <w:lang w:val="es-PR"/>
        </w:rPr>
        <w:t>F</w:t>
      </w:r>
      <w:r w:rsidRPr="000205FA">
        <w:rPr>
          <w:rFonts w:ascii="Book Antiqua" w:hAnsi="Book Antiqua"/>
          <w:spacing w:val="-3"/>
          <w:lang w:val="es-PR"/>
        </w:rPr>
        <w:t xml:space="preserve">ianza </w:t>
      </w:r>
      <w:r w:rsidR="1B9D9E57" w:rsidRPr="000205FA">
        <w:rPr>
          <w:rFonts w:ascii="Book Antiqua" w:hAnsi="Book Antiqua"/>
          <w:spacing w:val="-3"/>
          <w:lang w:val="es-PR"/>
        </w:rPr>
        <w:t>M</w:t>
      </w:r>
      <w:r w:rsidRPr="000205FA">
        <w:rPr>
          <w:rFonts w:ascii="Book Antiqua" w:hAnsi="Book Antiqua"/>
          <w:spacing w:val="-3"/>
          <w:lang w:val="es-PR"/>
        </w:rPr>
        <w:t>andatorias.</w:t>
      </w:r>
    </w:p>
    <w:p w14:paraId="7D72652E" w14:textId="77777777" w:rsidR="00763CE6" w:rsidRDefault="0088798F" w:rsidP="00763CE6">
      <w:pPr>
        <w:suppressAutoHyphens/>
        <w:spacing w:line="480" w:lineRule="auto"/>
        <w:ind w:firstLine="720"/>
        <w:jc w:val="both"/>
        <w:rPr>
          <w:rFonts w:ascii="Book Antiqua" w:hAnsi="Book Antiqua"/>
          <w:spacing w:val="-3"/>
          <w:lang w:val="es-PR"/>
        </w:rPr>
      </w:pPr>
      <w:r>
        <w:rPr>
          <w:rFonts w:ascii="Book Antiqua" w:hAnsi="Book Antiqua"/>
          <w:spacing w:val="-3"/>
          <w:lang w:val="es-PR"/>
        </w:rPr>
        <w:t xml:space="preserve">El Tribunal deberá </w:t>
      </w:r>
      <w:r w:rsidR="004C1C7C" w:rsidRPr="00014988">
        <w:rPr>
          <w:rFonts w:ascii="Book Antiqua" w:hAnsi="Book Antiqua"/>
          <w:spacing w:val="-3"/>
          <w:lang w:val="es-PR"/>
        </w:rPr>
        <w:t xml:space="preserve">imponer </w:t>
      </w:r>
      <w:r>
        <w:rPr>
          <w:rFonts w:ascii="Book Antiqua" w:hAnsi="Book Antiqua"/>
          <w:spacing w:val="-3"/>
          <w:lang w:val="es-PR"/>
        </w:rPr>
        <w:t xml:space="preserve">las fianzas en los siguientes casos y </w:t>
      </w:r>
      <w:r w:rsidR="00FC62A0">
        <w:rPr>
          <w:rFonts w:ascii="Book Antiqua" w:hAnsi="Book Antiqua"/>
          <w:spacing w:val="-3"/>
          <w:lang w:val="es-PR"/>
        </w:rPr>
        <w:t>controversias que tenga ante sí:</w:t>
      </w:r>
    </w:p>
    <w:p w14:paraId="6D313F52" w14:textId="20913386" w:rsidR="00C47E72" w:rsidRDefault="004C1C7C" w:rsidP="00763CE6">
      <w:pPr>
        <w:suppressAutoHyphens/>
        <w:spacing w:line="480" w:lineRule="auto"/>
        <w:ind w:left="720"/>
        <w:jc w:val="both"/>
        <w:rPr>
          <w:rFonts w:ascii="Book Antiqua" w:hAnsi="Book Antiqua"/>
          <w:spacing w:val="-3"/>
          <w:lang w:val="es-PR"/>
        </w:rPr>
      </w:pPr>
      <w:r w:rsidRPr="00014988">
        <w:rPr>
          <w:rFonts w:ascii="Book Antiqua" w:hAnsi="Book Antiqua"/>
          <w:spacing w:val="-3"/>
          <w:lang w:val="es-PR"/>
        </w:rPr>
        <w:t xml:space="preserve">(a) Quinientos mil dólares ($500,000.00) por cada cargo de asesinato en primer grado; (b) Doscientos cincuenta mil dólares ($250,000.00) por cada cargo de asesinato en segundo grado, agresión sexual agravada, o delitos sexuales cuando la víctima sea menor o incapaz; </w:t>
      </w:r>
    </w:p>
    <w:p w14:paraId="766ED78E" w14:textId="77777777" w:rsidR="00C47E72" w:rsidRDefault="004C1C7C" w:rsidP="00C47E72">
      <w:pPr>
        <w:suppressAutoHyphens/>
        <w:spacing w:line="480" w:lineRule="auto"/>
        <w:ind w:left="720"/>
        <w:jc w:val="both"/>
        <w:rPr>
          <w:rFonts w:ascii="Book Antiqua" w:hAnsi="Book Antiqua"/>
          <w:spacing w:val="-3"/>
          <w:lang w:val="es-PR"/>
        </w:rPr>
      </w:pPr>
      <w:r w:rsidRPr="00014988">
        <w:rPr>
          <w:rFonts w:ascii="Book Antiqua" w:hAnsi="Book Antiqua"/>
          <w:spacing w:val="-3"/>
          <w:lang w:val="es-PR"/>
        </w:rPr>
        <w:t xml:space="preserve">(c) Ciento cincuenta mil dólares ($150,000.00) por cada cargo de utilización de menores para pornografía infantil, secuestro o robo agravado; </w:t>
      </w:r>
    </w:p>
    <w:p w14:paraId="5B49789D" w14:textId="4168E886" w:rsidR="004C1C7C" w:rsidRDefault="004C1C7C" w:rsidP="00C47E72">
      <w:pPr>
        <w:suppressAutoHyphens/>
        <w:spacing w:line="480" w:lineRule="auto"/>
        <w:ind w:left="720"/>
        <w:jc w:val="both"/>
        <w:rPr>
          <w:rFonts w:ascii="Book Antiqua" w:hAnsi="Book Antiqua"/>
          <w:spacing w:val="-3"/>
          <w:lang w:val="es-PR"/>
        </w:rPr>
      </w:pPr>
      <w:r w:rsidRPr="00014988">
        <w:rPr>
          <w:rFonts w:ascii="Book Antiqua" w:hAnsi="Book Antiqua"/>
          <w:spacing w:val="-3"/>
          <w:lang w:val="es-PR"/>
        </w:rPr>
        <w:t>(d) Setenta y cinco mil dólares ($75,000.00) por cada cargo de robo, escalamiento agravado, violaciones graves a la</w:t>
      </w:r>
      <w:r w:rsidR="000C7E45">
        <w:rPr>
          <w:rFonts w:ascii="Book Antiqua" w:hAnsi="Book Antiqua"/>
          <w:spacing w:val="-3"/>
          <w:lang w:val="es-PR"/>
        </w:rPr>
        <w:t>s siguientes leyes:</w:t>
      </w:r>
      <w:r w:rsidRPr="00014988">
        <w:rPr>
          <w:rFonts w:ascii="Book Antiqua" w:hAnsi="Book Antiqua"/>
          <w:spacing w:val="-3"/>
          <w:lang w:val="es-PR"/>
        </w:rPr>
        <w:t xml:space="preserve"> </w:t>
      </w:r>
      <w:r w:rsidR="000C7E45">
        <w:rPr>
          <w:rFonts w:ascii="Book Antiqua" w:hAnsi="Book Antiqua"/>
          <w:spacing w:val="-3"/>
          <w:lang w:val="es-PR"/>
        </w:rPr>
        <w:t>“</w:t>
      </w:r>
      <w:r w:rsidRPr="00014988">
        <w:rPr>
          <w:rFonts w:ascii="Book Antiqua" w:hAnsi="Book Antiqua"/>
          <w:spacing w:val="-3"/>
          <w:lang w:val="es-PR"/>
        </w:rPr>
        <w:t>Ley de Sustancias Controladas</w:t>
      </w:r>
      <w:r w:rsidR="000C7E45">
        <w:rPr>
          <w:rFonts w:ascii="Book Antiqua" w:hAnsi="Book Antiqua"/>
          <w:spacing w:val="-3"/>
          <w:lang w:val="es-PR"/>
        </w:rPr>
        <w:t>”</w:t>
      </w:r>
      <w:r>
        <w:rPr>
          <w:rFonts w:ascii="Book Antiqua" w:hAnsi="Book Antiqua"/>
          <w:spacing w:val="-3"/>
          <w:lang w:val="es-PR"/>
        </w:rPr>
        <w:t xml:space="preserve">, </w:t>
      </w:r>
      <w:r w:rsidR="000C7E45">
        <w:rPr>
          <w:rFonts w:ascii="Book Antiqua" w:hAnsi="Book Antiqua"/>
          <w:spacing w:val="-3"/>
          <w:lang w:val="es-PR"/>
        </w:rPr>
        <w:t>“</w:t>
      </w:r>
      <w:r w:rsidRPr="00014988">
        <w:rPr>
          <w:rFonts w:ascii="Book Antiqua" w:hAnsi="Book Antiqua"/>
          <w:spacing w:val="-3"/>
          <w:lang w:val="es-PR"/>
        </w:rPr>
        <w:t>Ley de Armas</w:t>
      </w:r>
      <w:r w:rsidR="000C7E45">
        <w:rPr>
          <w:rFonts w:ascii="Book Antiqua" w:hAnsi="Book Antiqua"/>
          <w:spacing w:val="-3"/>
          <w:lang w:val="es-PR"/>
        </w:rPr>
        <w:t>”</w:t>
      </w:r>
      <w:r>
        <w:rPr>
          <w:rFonts w:ascii="Book Antiqua" w:hAnsi="Book Antiqua"/>
          <w:spacing w:val="-3"/>
          <w:lang w:val="es-PR"/>
        </w:rPr>
        <w:t xml:space="preserve"> y </w:t>
      </w:r>
      <w:r w:rsidR="000C7E45">
        <w:rPr>
          <w:rFonts w:ascii="Book Antiqua" w:hAnsi="Book Antiqua"/>
          <w:spacing w:val="-3"/>
          <w:lang w:val="es-PR"/>
        </w:rPr>
        <w:t>“</w:t>
      </w:r>
      <w:r>
        <w:rPr>
          <w:rFonts w:ascii="Book Antiqua" w:hAnsi="Book Antiqua"/>
          <w:spacing w:val="-3"/>
          <w:lang w:val="es-PR"/>
        </w:rPr>
        <w:t>Ley de Violencia Doméstica</w:t>
      </w:r>
      <w:r w:rsidR="000C7E45">
        <w:rPr>
          <w:rFonts w:ascii="Book Antiqua" w:hAnsi="Book Antiqua"/>
          <w:spacing w:val="-3"/>
          <w:lang w:val="es-PR"/>
        </w:rPr>
        <w:t>”</w:t>
      </w:r>
      <w:r>
        <w:rPr>
          <w:rFonts w:ascii="Book Antiqua" w:hAnsi="Book Antiqua"/>
          <w:spacing w:val="-3"/>
          <w:lang w:val="es-PR"/>
        </w:rPr>
        <w:t xml:space="preserve">. </w:t>
      </w:r>
    </w:p>
    <w:p w14:paraId="11159819" w14:textId="02F6F4AF" w:rsidR="001633E0" w:rsidRDefault="001633E0" w:rsidP="00C47E72">
      <w:pPr>
        <w:suppressAutoHyphens/>
        <w:spacing w:line="480" w:lineRule="auto"/>
        <w:ind w:left="720"/>
        <w:jc w:val="both"/>
        <w:rPr>
          <w:rFonts w:ascii="Book Antiqua" w:hAnsi="Book Antiqua"/>
          <w:spacing w:val="-3"/>
          <w:lang w:val="es-PR"/>
        </w:rPr>
      </w:pPr>
      <w:r>
        <w:rPr>
          <w:rFonts w:ascii="Book Antiqua" w:hAnsi="Book Antiqua"/>
          <w:spacing w:val="-3"/>
          <w:lang w:val="es-PR"/>
        </w:rPr>
        <w:t xml:space="preserve">(e) En cualquier otro cargo, la cantidad </w:t>
      </w:r>
      <w:r w:rsidR="00031678">
        <w:rPr>
          <w:rFonts w:ascii="Book Antiqua" w:hAnsi="Book Antiqua"/>
          <w:spacing w:val="-3"/>
          <w:lang w:val="es-PR"/>
        </w:rPr>
        <w:t xml:space="preserve">de la fianza será impuesta de conformidad con las guías administrativas de referencia </w:t>
      </w:r>
      <w:r w:rsidR="00133DFE">
        <w:rPr>
          <w:rFonts w:ascii="Book Antiqua" w:hAnsi="Book Antiqua"/>
          <w:spacing w:val="-3"/>
          <w:lang w:val="es-PR"/>
        </w:rPr>
        <w:t xml:space="preserve">judicial, publicadas por la Oficina de Administración de los Tribunales de conformidad con esta Ley. </w:t>
      </w:r>
    </w:p>
    <w:p w14:paraId="2CA4FC2C" w14:textId="77777777" w:rsidR="004C1C7C" w:rsidRPr="00A93F8C" w:rsidRDefault="004C1C7C" w:rsidP="004C1C7C">
      <w:pPr>
        <w:suppressAutoHyphens/>
        <w:spacing w:line="480" w:lineRule="auto"/>
        <w:ind w:firstLine="720"/>
        <w:jc w:val="both"/>
        <w:rPr>
          <w:rFonts w:ascii="Book Antiqua" w:hAnsi="Book Antiqua"/>
          <w:spacing w:val="-3"/>
          <w:lang w:val="es-PR"/>
        </w:rPr>
      </w:pPr>
      <w:r w:rsidRPr="00A93F8C">
        <w:rPr>
          <w:rFonts w:ascii="Book Antiqua" w:hAnsi="Book Antiqua"/>
          <w:spacing w:val="-3"/>
          <w:lang w:val="es-PR"/>
        </w:rPr>
        <w:t xml:space="preserve">Artículo 5.- </w:t>
      </w:r>
      <w:r w:rsidRPr="003B40E4">
        <w:rPr>
          <w:rFonts w:ascii="Book Antiqua" w:hAnsi="Book Antiqua"/>
          <w:spacing w:val="-3"/>
          <w:lang w:val="es-PR"/>
        </w:rPr>
        <w:t>Excepciones y Requisito de Fundamentación.</w:t>
      </w:r>
    </w:p>
    <w:p w14:paraId="506AF55B" w14:textId="3932857B" w:rsidR="004C1C7C" w:rsidRPr="00A354D3" w:rsidRDefault="004C1C7C" w:rsidP="004C1C7C">
      <w:pPr>
        <w:suppressAutoHyphens/>
        <w:spacing w:line="480" w:lineRule="auto"/>
        <w:ind w:firstLine="720"/>
        <w:jc w:val="both"/>
        <w:rPr>
          <w:rFonts w:ascii="Book Antiqua" w:hAnsi="Book Antiqua"/>
          <w:spacing w:val="-3"/>
          <w:lang w:val="es-PR"/>
        </w:rPr>
      </w:pPr>
      <w:bookmarkStart w:id="1" w:name="_Hlk193442327"/>
      <w:r w:rsidRPr="00A354D3">
        <w:rPr>
          <w:rFonts w:ascii="Book Antiqua" w:hAnsi="Book Antiqua"/>
          <w:spacing w:val="-3"/>
          <w:lang w:val="es-PR"/>
        </w:rPr>
        <w:t xml:space="preserve">En circunstancias excepcionales, el tribunal podrá imponer una fianza inferior a las establecidas en esta Ley, </w:t>
      </w:r>
      <w:r w:rsidR="009511D6">
        <w:rPr>
          <w:rFonts w:ascii="Book Antiqua" w:hAnsi="Book Antiqua"/>
          <w:spacing w:val="-3"/>
          <w:lang w:val="es-PR"/>
        </w:rPr>
        <w:t>siempre que</w:t>
      </w:r>
      <w:r w:rsidR="009511D6" w:rsidRPr="00A354D3">
        <w:rPr>
          <w:rFonts w:ascii="Book Antiqua" w:hAnsi="Book Antiqua"/>
          <w:spacing w:val="-3"/>
          <w:lang w:val="es-PR"/>
        </w:rPr>
        <w:t xml:space="preserve"> </w:t>
      </w:r>
      <w:r w:rsidRPr="00A354D3">
        <w:rPr>
          <w:rFonts w:ascii="Book Antiqua" w:hAnsi="Book Antiqua"/>
          <w:spacing w:val="-3"/>
          <w:lang w:val="es-PR"/>
        </w:rPr>
        <w:t>se</w:t>
      </w:r>
      <w:r w:rsidR="007A1A7B">
        <w:rPr>
          <w:rFonts w:ascii="Book Antiqua" w:hAnsi="Book Antiqua"/>
          <w:spacing w:val="-3"/>
          <w:lang w:val="es-PR"/>
        </w:rPr>
        <w:t xml:space="preserve"> le</w:t>
      </w:r>
      <w:r w:rsidRPr="00A354D3">
        <w:rPr>
          <w:rFonts w:ascii="Book Antiqua" w:hAnsi="Book Antiqua"/>
          <w:spacing w:val="-3"/>
          <w:lang w:val="es-PR"/>
        </w:rPr>
        <w:t xml:space="preserve"> demuestre mediante evidencia clara</w:t>
      </w:r>
      <w:r w:rsidR="009511D6">
        <w:rPr>
          <w:rFonts w:ascii="Book Antiqua" w:hAnsi="Book Antiqua"/>
          <w:spacing w:val="-3"/>
          <w:lang w:val="es-PR"/>
        </w:rPr>
        <w:t>, robusta</w:t>
      </w:r>
      <w:r w:rsidRPr="00A354D3">
        <w:rPr>
          <w:rFonts w:ascii="Book Antiqua" w:hAnsi="Book Antiqua"/>
          <w:spacing w:val="-3"/>
          <w:lang w:val="es-PR"/>
        </w:rPr>
        <w:t xml:space="preserve"> y convincente</w:t>
      </w:r>
      <w:r w:rsidR="007A1A7B">
        <w:rPr>
          <w:rFonts w:ascii="Book Antiqua" w:hAnsi="Book Antiqua"/>
          <w:spacing w:val="-3"/>
          <w:lang w:val="es-PR"/>
        </w:rPr>
        <w:t>,</w:t>
      </w:r>
      <w:r w:rsidRPr="00A354D3">
        <w:rPr>
          <w:rFonts w:ascii="Book Antiqua" w:hAnsi="Book Antiqua"/>
          <w:spacing w:val="-3"/>
          <w:lang w:val="es-PR"/>
        </w:rPr>
        <w:t xml:space="preserve"> que el imputado no representa riesgo de fuga ni peligro para la comunidad,</w:t>
      </w:r>
      <w:r w:rsidR="00FC671D">
        <w:rPr>
          <w:rFonts w:ascii="Book Antiqua" w:hAnsi="Book Antiqua"/>
          <w:spacing w:val="-3"/>
          <w:lang w:val="es-PR"/>
        </w:rPr>
        <w:t xml:space="preserve"> para</w:t>
      </w:r>
      <w:r w:rsidRPr="00A354D3">
        <w:rPr>
          <w:rFonts w:ascii="Book Antiqua" w:hAnsi="Book Antiqua"/>
          <w:spacing w:val="-3"/>
          <w:lang w:val="es-PR"/>
        </w:rPr>
        <w:t xml:space="preserve"> las víctimas o</w:t>
      </w:r>
      <w:r w:rsidR="00FC671D">
        <w:rPr>
          <w:rFonts w:ascii="Book Antiqua" w:hAnsi="Book Antiqua"/>
          <w:spacing w:val="-3"/>
          <w:lang w:val="es-PR"/>
        </w:rPr>
        <w:t xml:space="preserve"> para</w:t>
      </w:r>
      <w:r w:rsidRPr="00A354D3">
        <w:rPr>
          <w:rFonts w:ascii="Book Antiqua" w:hAnsi="Book Antiqua"/>
          <w:spacing w:val="-3"/>
          <w:lang w:val="es-PR"/>
        </w:rPr>
        <w:t xml:space="preserve"> los testigos. Dicha determinación deberá constar por escrito y estar debidamente fundamentada</w:t>
      </w:r>
      <w:r w:rsidR="000C7E45">
        <w:rPr>
          <w:rFonts w:ascii="Book Antiqua" w:hAnsi="Book Antiqua"/>
          <w:spacing w:val="-3"/>
          <w:lang w:val="es-PR"/>
        </w:rPr>
        <w:t xml:space="preserve"> y firmada por el o la Juez(a)</w:t>
      </w:r>
      <w:r w:rsidRPr="00A354D3">
        <w:rPr>
          <w:rFonts w:ascii="Book Antiqua" w:hAnsi="Book Antiqua"/>
          <w:spacing w:val="-3"/>
          <w:lang w:val="es-PR"/>
        </w:rPr>
        <w:t>.</w:t>
      </w:r>
    </w:p>
    <w:p w14:paraId="1E5B9D3C" w14:textId="26D91D94" w:rsidR="00DD4DFA" w:rsidRDefault="004C1C7C" w:rsidP="002B181B">
      <w:pPr>
        <w:suppressAutoHyphens/>
        <w:spacing w:line="480" w:lineRule="auto"/>
        <w:ind w:firstLine="720"/>
        <w:jc w:val="both"/>
        <w:rPr>
          <w:rFonts w:ascii="Book Antiqua" w:hAnsi="Book Antiqua"/>
          <w:spacing w:val="-3"/>
          <w:lang w:val="es-PR"/>
        </w:rPr>
      </w:pPr>
      <w:bookmarkStart w:id="2" w:name="_Hlk193442420"/>
      <w:bookmarkEnd w:id="1"/>
      <w:r w:rsidRPr="00A41C58">
        <w:rPr>
          <w:rFonts w:ascii="Book Antiqua" w:hAnsi="Book Antiqua"/>
          <w:spacing w:val="-3"/>
          <w:lang w:val="es-PR"/>
        </w:rPr>
        <w:lastRenderedPageBreak/>
        <w:t xml:space="preserve">Artículo </w:t>
      </w:r>
      <w:r w:rsidR="00A7289B">
        <w:rPr>
          <w:rFonts w:ascii="Book Antiqua" w:hAnsi="Book Antiqua"/>
          <w:spacing w:val="-3"/>
          <w:lang w:val="es-PR"/>
        </w:rPr>
        <w:t>6</w:t>
      </w:r>
      <w:r w:rsidRPr="00A41C58">
        <w:rPr>
          <w:rFonts w:ascii="Book Antiqua" w:hAnsi="Book Antiqua"/>
          <w:spacing w:val="-3"/>
          <w:lang w:val="es-PR"/>
        </w:rPr>
        <w:t xml:space="preserve">.- </w:t>
      </w:r>
      <w:r w:rsidR="009140BD">
        <w:rPr>
          <w:rFonts w:ascii="Book Antiqua" w:hAnsi="Book Antiqua"/>
          <w:spacing w:val="-3"/>
          <w:lang w:val="es-PR"/>
        </w:rPr>
        <w:t xml:space="preserve">Se enmienda </w:t>
      </w:r>
      <w:r w:rsidR="006023F4">
        <w:rPr>
          <w:rFonts w:ascii="Book Antiqua" w:hAnsi="Book Antiqua"/>
          <w:spacing w:val="-3"/>
          <w:lang w:val="es-PR"/>
        </w:rPr>
        <w:t>la Regla 6.1 de las Reglas</w:t>
      </w:r>
      <w:r w:rsidR="008A1828">
        <w:rPr>
          <w:rFonts w:ascii="Book Antiqua" w:hAnsi="Book Antiqua"/>
          <w:spacing w:val="-3"/>
          <w:lang w:val="es-PR"/>
        </w:rPr>
        <w:t xml:space="preserve"> de las Reglas de Procedimiento Criminal, según enmendadas, para que se lea como sigue:</w:t>
      </w:r>
    </w:p>
    <w:p w14:paraId="39998173" w14:textId="12E5A4A8" w:rsidR="006023F4" w:rsidRPr="00233635" w:rsidRDefault="00B04A0B" w:rsidP="002B181B">
      <w:pPr>
        <w:suppressAutoHyphens/>
        <w:spacing w:line="480" w:lineRule="auto"/>
        <w:ind w:firstLine="720"/>
        <w:jc w:val="both"/>
        <w:rPr>
          <w:rFonts w:ascii="Book Antiqua" w:hAnsi="Book Antiqua"/>
          <w:spacing w:val="-3"/>
          <w:lang w:val="es-PR"/>
        </w:rPr>
      </w:pPr>
      <w:r w:rsidRPr="00233635">
        <w:rPr>
          <w:rFonts w:ascii="Book Antiqua" w:hAnsi="Book Antiqua"/>
          <w:spacing w:val="-3"/>
          <w:lang w:val="es-PR"/>
        </w:rPr>
        <w:t xml:space="preserve">“Regla </w:t>
      </w:r>
      <w:r w:rsidR="00233635" w:rsidRPr="00233635">
        <w:rPr>
          <w:rFonts w:ascii="Book Antiqua" w:hAnsi="Book Antiqua"/>
          <w:spacing w:val="-3"/>
          <w:lang w:val="es-PR"/>
        </w:rPr>
        <w:t>6.1-FIANZA HASTA QUE SE DICTE SENTENCIA; CUANDO SE EXIGIRÁ.</w:t>
      </w:r>
    </w:p>
    <w:p w14:paraId="5CAAF934" w14:textId="77777777" w:rsidR="00E3223D" w:rsidRDefault="00233635" w:rsidP="002B181B">
      <w:pPr>
        <w:suppressAutoHyphens/>
        <w:spacing w:line="480" w:lineRule="auto"/>
        <w:ind w:firstLine="720"/>
        <w:jc w:val="both"/>
        <w:rPr>
          <w:rStyle w:val="markedcontent"/>
          <w:rFonts w:ascii="Book Antiqua" w:hAnsi="Book Antiqua" w:cs="Arial"/>
          <w:shd w:val="clear" w:color="auto" w:fill="FFFFFF"/>
          <w:lang w:val="es-ES"/>
        </w:rPr>
      </w:pPr>
      <w:r w:rsidRPr="00233635">
        <w:rPr>
          <w:rStyle w:val="markedcontent"/>
          <w:rFonts w:ascii="Book Antiqua" w:hAnsi="Book Antiqua" w:cs="Arial"/>
          <w:shd w:val="clear" w:color="auto" w:fill="FFFFFF"/>
          <w:lang w:val="es-ES"/>
        </w:rPr>
        <w:t>Las personas arrestadas por delito no serán restringidas innecesariamente de su libertad antes</w:t>
      </w:r>
      <w:r>
        <w:rPr>
          <w:rStyle w:val="markedcontent"/>
          <w:rFonts w:ascii="Book Antiqua" w:hAnsi="Book Antiqua" w:cs="Arial"/>
          <w:shd w:val="clear" w:color="auto" w:fill="FFFFFF"/>
          <w:lang w:val="es-ES"/>
        </w:rPr>
        <w:t xml:space="preserve"> </w:t>
      </w:r>
      <w:r w:rsidRPr="00233635">
        <w:rPr>
          <w:rStyle w:val="markedcontent"/>
          <w:rFonts w:ascii="Book Antiqua" w:hAnsi="Book Antiqua" w:cs="Arial"/>
          <w:shd w:val="clear" w:color="auto" w:fill="FFFFFF"/>
          <w:lang w:val="es-ES"/>
        </w:rPr>
        <w:t>de mediar fallo condenatorio.</w:t>
      </w:r>
      <w:r w:rsidR="00E3223D">
        <w:rPr>
          <w:rStyle w:val="markedcontent"/>
          <w:rFonts w:ascii="Book Antiqua" w:hAnsi="Book Antiqua" w:cs="Arial"/>
          <w:shd w:val="clear" w:color="auto" w:fill="FFFFFF"/>
          <w:lang w:val="es-ES"/>
        </w:rPr>
        <w:t xml:space="preserve"> </w:t>
      </w:r>
    </w:p>
    <w:p w14:paraId="444EDA41" w14:textId="795A2341" w:rsidR="00C56E4D" w:rsidRPr="00C7694F" w:rsidRDefault="00233635" w:rsidP="00C56E4D">
      <w:pPr>
        <w:pStyle w:val="ListParagraph"/>
        <w:numPr>
          <w:ilvl w:val="0"/>
          <w:numId w:val="22"/>
        </w:numPr>
        <w:suppressAutoHyphens/>
        <w:spacing w:line="480" w:lineRule="auto"/>
        <w:jc w:val="both"/>
        <w:rPr>
          <w:rStyle w:val="markedcontent"/>
          <w:rFonts w:ascii="Book Antiqua" w:hAnsi="Book Antiqua" w:cs="Arial"/>
          <w:shd w:val="clear" w:color="auto" w:fill="FFFFFF"/>
          <w:lang w:val="es-ES"/>
        </w:rPr>
      </w:pPr>
      <w:r w:rsidRPr="00C7694F">
        <w:rPr>
          <w:rStyle w:val="markedcontent"/>
          <w:rFonts w:ascii="Book Antiqua" w:hAnsi="Book Antiqua" w:cs="Arial"/>
          <w:shd w:val="clear" w:color="auto" w:fill="FFFFFF"/>
          <w:lang w:val="es-ES"/>
        </w:rPr>
        <w:t xml:space="preserve">En casos menos </w:t>
      </w:r>
      <w:r w:rsidR="00FC5E4E" w:rsidRPr="00C7694F">
        <w:rPr>
          <w:rStyle w:val="markedcontent"/>
          <w:rFonts w:ascii="Book Antiqua" w:hAnsi="Book Antiqua" w:cs="Arial"/>
          <w:shd w:val="clear" w:color="auto" w:fill="FFFFFF"/>
          <w:lang w:val="es-ES"/>
        </w:rPr>
        <w:t>graves. -</w:t>
      </w:r>
      <w:r w:rsidR="009F6D79">
        <w:rPr>
          <w:rStyle w:val="markedcontent"/>
          <w:rFonts w:ascii="Book Antiqua" w:hAnsi="Book Antiqua" w:cs="Arial"/>
          <w:shd w:val="clear" w:color="auto" w:fill="FFFFFF"/>
          <w:lang w:val="es-ES"/>
        </w:rPr>
        <w:t xml:space="preserve"> </w:t>
      </w:r>
      <w:r w:rsidR="00E3223D" w:rsidRPr="00C7694F">
        <w:rPr>
          <w:rStyle w:val="markedcontent"/>
          <w:rFonts w:ascii="Book Antiqua" w:hAnsi="Book Antiqua" w:cs="Arial"/>
          <w:shd w:val="clear" w:color="auto" w:fill="FFFFFF"/>
          <w:lang w:val="es-ES"/>
        </w:rPr>
        <w:t>…</w:t>
      </w:r>
    </w:p>
    <w:p w14:paraId="1DDB1B58" w14:textId="420D4A1D" w:rsidR="00310744" w:rsidRPr="009F6D79" w:rsidRDefault="00C56E4D" w:rsidP="009F6D79">
      <w:pPr>
        <w:pStyle w:val="ListParagraph"/>
        <w:numPr>
          <w:ilvl w:val="0"/>
          <w:numId w:val="22"/>
        </w:numPr>
        <w:suppressAutoHyphens/>
        <w:spacing w:line="480" w:lineRule="auto"/>
        <w:jc w:val="both"/>
        <w:rPr>
          <w:rFonts w:ascii="Book Antiqua" w:hAnsi="Book Antiqua" w:cs="Arial"/>
          <w:shd w:val="clear" w:color="auto" w:fill="FFFFFF"/>
          <w:lang w:val="es-ES"/>
        </w:rPr>
      </w:pPr>
      <w:r w:rsidRPr="00C7694F">
        <w:rPr>
          <w:rStyle w:val="markedcontent"/>
          <w:rFonts w:ascii="Book Antiqua" w:hAnsi="Book Antiqua" w:cs="Arial"/>
          <w:shd w:val="clear" w:color="auto" w:fill="FFFFFF"/>
          <w:lang w:val="es-ES"/>
        </w:rPr>
        <w:t xml:space="preserve">En casos graves o menos graves en que hubiere derecho a juicio por </w:t>
      </w:r>
      <w:r w:rsidR="00FC5E4E" w:rsidRPr="00C7694F">
        <w:rPr>
          <w:rStyle w:val="markedcontent"/>
          <w:rFonts w:ascii="Book Antiqua" w:hAnsi="Book Antiqua" w:cs="Arial"/>
          <w:shd w:val="clear" w:color="auto" w:fill="FFFFFF"/>
          <w:lang w:val="es-ES"/>
        </w:rPr>
        <w:t>jurado.</w:t>
      </w:r>
      <w:r w:rsidR="00FC5E4E">
        <w:rPr>
          <w:rStyle w:val="markedcontent"/>
          <w:rFonts w:ascii="Book Antiqua" w:hAnsi="Book Antiqua" w:cs="Arial"/>
          <w:shd w:val="clear" w:color="auto" w:fill="FFFFFF"/>
          <w:lang w:val="es-ES"/>
        </w:rPr>
        <w:t xml:space="preserve"> -</w:t>
      </w:r>
      <w:r w:rsidR="00C7694F">
        <w:rPr>
          <w:rStyle w:val="markedcontent"/>
          <w:rFonts w:ascii="Book Antiqua" w:hAnsi="Book Antiqua" w:cs="Arial"/>
          <w:shd w:val="clear" w:color="auto" w:fill="FFFFFF"/>
          <w:lang w:val="es-ES"/>
        </w:rPr>
        <w:t xml:space="preserve"> </w:t>
      </w:r>
      <w:r w:rsidRPr="00C7694F">
        <w:rPr>
          <w:rStyle w:val="markedcontent"/>
          <w:rFonts w:ascii="Book Antiqua" w:hAnsi="Book Antiqua" w:cs="Arial"/>
          <w:shd w:val="clear" w:color="auto" w:fill="FFFFFF"/>
          <w:lang w:val="es-ES"/>
        </w:rPr>
        <w:t>En todo</w:t>
      </w:r>
      <w:r w:rsidR="00C7694F">
        <w:rPr>
          <w:rStyle w:val="markedcontent"/>
          <w:rFonts w:ascii="Book Antiqua" w:hAnsi="Book Antiqua" w:cs="Arial"/>
          <w:shd w:val="clear" w:color="auto" w:fill="FFFFFF"/>
          <w:lang w:val="es-ES"/>
        </w:rPr>
        <w:t xml:space="preserve"> </w:t>
      </w:r>
      <w:r w:rsidRPr="00C7694F">
        <w:rPr>
          <w:rStyle w:val="markedcontent"/>
          <w:rFonts w:ascii="Book Antiqua" w:hAnsi="Book Antiqua" w:cs="Arial"/>
          <w:shd w:val="clear" w:color="auto" w:fill="FFFFFF"/>
          <w:lang w:val="es-ES"/>
        </w:rPr>
        <w:t>caso grave o menos grave en que hubiere derecho a juicio por jurado el magistrado exigirá la</w:t>
      </w:r>
      <w:r w:rsidR="00C7694F">
        <w:rPr>
          <w:rStyle w:val="markedcontent"/>
          <w:rFonts w:ascii="Book Antiqua" w:hAnsi="Book Antiqua" w:cs="Arial"/>
          <w:shd w:val="clear" w:color="auto" w:fill="FFFFFF"/>
          <w:lang w:val="es-ES"/>
        </w:rPr>
        <w:t xml:space="preserve"> </w:t>
      </w:r>
      <w:r w:rsidRPr="00C7694F">
        <w:rPr>
          <w:rStyle w:val="markedcontent"/>
          <w:rFonts w:ascii="Book Antiqua" w:hAnsi="Book Antiqua" w:cs="Arial"/>
          <w:shd w:val="clear" w:color="auto" w:fill="FFFFFF"/>
          <w:lang w:val="es-ES"/>
        </w:rPr>
        <w:t>prestación de fianza al imputado para permanecer en libertad provisional hasta que se dicte</w:t>
      </w:r>
      <w:r w:rsid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 xml:space="preserve">sentencia. </w:t>
      </w:r>
      <w:r w:rsidR="00EA175C" w:rsidRPr="009F6D79">
        <w:rPr>
          <w:rFonts w:ascii="Book Antiqua" w:hAnsi="Book Antiqua"/>
          <w:i/>
          <w:iCs/>
          <w:spacing w:val="-3"/>
          <w:lang w:val="es-PR"/>
        </w:rPr>
        <w:t xml:space="preserve">En todo caso se cumplirán con las disposiciones de la “Ley de Fianza Segura” como cuerpo de normas que reglamentará la discreción del Tribunal para tomar la determinación sobre la cuantía de la fianza correspondiente. </w:t>
      </w:r>
      <w:r w:rsidRPr="009F6D79">
        <w:rPr>
          <w:rStyle w:val="markedcontent"/>
          <w:rFonts w:ascii="Book Antiqua" w:hAnsi="Book Antiqua" w:cs="Arial"/>
          <w:shd w:val="clear" w:color="auto" w:fill="FFFFFF"/>
          <w:lang w:val="es-ES"/>
        </w:rPr>
        <w:t>En casos apropiados el magistrado podrá permitirle al imputado permanecer en</w:t>
      </w:r>
      <w:r w:rsidR="00C7694F"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libertad provisional bajo su propio reconocimiento, bajo custodia de tercero, bajo fianza</w:t>
      </w:r>
      <w:r w:rsidR="00C7694F"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diferida o bajo cualesquiera condiciones que estime pertinentes imponer. El tribunal podrá</w:t>
      </w:r>
      <w:r w:rsidR="00C7694F"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imponer, motu proprio o a solicitud del Ministerio Fiscal, condiciones de conformidad con la</w:t>
      </w:r>
      <w:r w:rsidR="00C7694F"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Regla 218(c). En los casos de personas a quienes se le imputen alguno de los siguientes delitos</w:t>
      </w:r>
      <w:r w:rsidR="00C7694F"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graves, según tipificados en el Código Penal de Puerto Rico</w:t>
      </w:r>
      <w:r w:rsidR="005075F3" w:rsidRPr="009F6D79">
        <w:rPr>
          <w:rStyle w:val="markedcontent"/>
          <w:rFonts w:ascii="Book Antiqua" w:hAnsi="Book Antiqua" w:cs="Arial"/>
          <w:shd w:val="clear" w:color="auto" w:fill="FFFFFF"/>
          <w:lang w:val="es-ES"/>
        </w:rPr>
        <w:t>,</w:t>
      </w:r>
      <w:r w:rsidR="00576F23" w:rsidRPr="009F6D79">
        <w:rPr>
          <w:rStyle w:val="markedcontent"/>
          <w:rFonts w:ascii="Book Antiqua" w:hAnsi="Book Antiqua" w:cs="Arial"/>
          <w:shd w:val="clear" w:color="auto" w:fill="FFFFFF"/>
          <w:lang w:val="es-ES"/>
        </w:rPr>
        <w:t xml:space="preserve"> </w:t>
      </w:r>
      <w:r w:rsidR="005075F3" w:rsidRPr="009F6D79">
        <w:rPr>
          <w:rStyle w:val="markedcontent"/>
          <w:rFonts w:ascii="Book Antiqua" w:hAnsi="Book Antiqua" w:cs="Arial"/>
          <w:shd w:val="clear" w:color="auto" w:fill="FFFFFF"/>
          <w:lang w:val="es-ES"/>
        </w:rPr>
        <w:t xml:space="preserve"> </w:t>
      </w:r>
      <w:r w:rsidR="00576F23" w:rsidRPr="009F6D79">
        <w:rPr>
          <w:rStyle w:val="markedcontent"/>
          <w:rFonts w:ascii="Book Antiqua" w:hAnsi="Book Antiqua" w:cs="Arial"/>
          <w:i/>
          <w:iCs/>
          <w:shd w:val="clear" w:color="auto" w:fill="FFFFFF"/>
          <w:lang w:val="es-ES"/>
        </w:rPr>
        <w:t xml:space="preserve">especificados en </w:t>
      </w:r>
      <w:r w:rsidR="005075F3" w:rsidRPr="009F6D79">
        <w:rPr>
          <w:rStyle w:val="markedcontent"/>
          <w:rFonts w:ascii="Book Antiqua" w:hAnsi="Book Antiqua" w:cs="Arial"/>
          <w:i/>
          <w:iCs/>
          <w:shd w:val="clear" w:color="auto" w:fill="FFFFFF"/>
          <w:lang w:val="es-ES"/>
        </w:rPr>
        <w:t xml:space="preserve">la </w:t>
      </w:r>
      <w:r w:rsidR="005075F3" w:rsidRPr="009F6D79">
        <w:rPr>
          <w:rFonts w:ascii="Book Antiqua" w:hAnsi="Book Antiqua"/>
          <w:i/>
          <w:iCs/>
          <w:lang w:val="es-PR"/>
        </w:rPr>
        <w:t>"</w:t>
      </w:r>
      <w:r w:rsidR="005075F3" w:rsidRPr="009F6D79">
        <w:rPr>
          <w:rFonts w:ascii="Book Antiqua" w:hAnsi="Book Antiqua"/>
          <w:i/>
          <w:iCs/>
          <w:spacing w:val="-3"/>
          <w:lang w:val="es-PR"/>
        </w:rPr>
        <w:t xml:space="preserve">Ley de Fianza Segura" </w:t>
      </w:r>
      <w:r w:rsidRPr="009F6D79">
        <w:rPr>
          <w:rStyle w:val="markedcontent"/>
          <w:rFonts w:ascii="Book Antiqua" w:hAnsi="Book Antiqua" w:cs="Arial"/>
          <w:shd w:val="clear" w:color="auto" w:fill="FFFFFF"/>
          <w:lang w:val="es-ES"/>
        </w:rPr>
        <w:t xml:space="preserve">y otras leyes </w:t>
      </w:r>
      <w:r w:rsidR="00C7694F" w:rsidRPr="009F6D79">
        <w:rPr>
          <w:rStyle w:val="markedcontent"/>
          <w:rFonts w:ascii="Book Antiqua" w:hAnsi="Book Antiqua" w:cs="Arial"/>
          <w:shd w:val="clear" w:color="auto" w:fill="FFFFFF"/>
          <w:lang w:val="es-ES"/>
        </w:rPr>
        <w:t>e</w:t>
      </w:r>
      <w:r w:rsidRPr="009F6D79">
        <w:rPr>
          <w:rStyle w:val="markedcontent"/>
          <w:rFonts w:ascii="Book Antiqua" w:hAnsi="Book Antiqua" w:cs="Arial"/>
          <w:shd w:val="clear" w:color="auto" w:fill="FFFFFF"/>
          <w:lang w:val="es-ES"/>
        </w:rPr>
        <w:t>speciales, además</w:t>
      </w:r>
      <w:r w:rsidR="00C7694F"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 xml:space="preserve">de fijar la fianza correspondiente, el tribunal tendrá, al fijar la fianza, que imponer la </w:t>
      </w:r>
      <w:r w:rsidRPr="009F6D79">
        <w:rPr>
          <w:rStyle w:val="markedcontent"/>
          <w:rFonts w:ascii="Book Antiqua" w:hAnsi="Book Antiqua" w:cs="Arial"/>
          <w:shd w:val="clear" w:color="auto" w:fill="FFFFFF"/>
          <w:lang w:val="es-ES"/>
        </w:rPr>
        <w:lastRenderedPageBreak/>
        <w:t>condición</w:t>
      </w:r>
      <w:r w:rsidR="00576F23"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de que se sujete a supervisión electrónica al imputado y aquéllas otras condiciones enumeradas</w:t>
      </w:r>
      <w:r w:rsidR="00576F23" w:rsidRPr="009F6D79">
        <w:rPr>
          <w:rStyle w:val="markedcontent"/>
          <w:rFonts w:ascii="Book Antiqua" w:hAnsi="Book Antiqua" w:cs="Arial"/>
          <w:shd w:val="clear" w:color="auto" w:fill="FFFFFF"/>
          <w:lang w:val="es-ES"/>
        </w:rPr>
        <w:t xml:space="preserve"> </w:t>
      </w:r>
      <w:r w:rsidRPr="009F6D79">
        <w:rPr>
          <w:rStyle w:val="markedcontent"/>
          <w:rFonts w:ascii="Book Antiqua" w:hAnsi="Book Antiqua" w:cs="Arial"/>
          <w:shd w:val="clear" w:color="auto" w:fill="FFFFFF"/>
          <w:lang w:val="es-ES"/>
        </w:rPr>
        <w:t>en el inciso (c) de la Regla 218, conforme al procedimiento establecido en dicha Regla</w:t>
      </w:r>
      <w:r w:rsidR="009F6D79">
        <w:rPr>
          <w:rStyle w:val="markedcontent"/>
          <w:rFonts w:ascii="Book Antiqua" w:hAnsi="Book Antiqua" w:cs="Arial"/>
          <w:shd w:val="clear" w:color="auto" w:fill="FFFFFF"/>
          <w:lang w:val="es-ES"/>
        </w:rPr>
        <w:t>. …</w:t>
      </w:r>
      <w:r w:rsidRPr="009F6D79">
        <w:rPr>
          <w:rStyle w:val="markedcontent"/>
          <w:rFonts w:ascii="Book Antiqua" w:hAnsi="Book Antiqua" w:cs="Arial"/>
          <w:shd w:val="clear" w:color="auto" w:fill="FFFFFF"/>
          <w:lang w:val="es-ES"/>
        </w:rPr>
        <w:t xml:space="preserve"> </w:t>
      </w:r>
    </w:p>
    <w:p w14:paraId="151D6EBE" w14:textId="49DC7A32" w:rsidR="00EE58A4" w:rsidRPr="00EE58A4" w:rsidRDefault="00EE58A4" w:rsidP="00EE58A4">
      <w:pPr>
        <w:pStyle w:val="ListParagraph"/>
        <w:suppressAutoHyphens/>
        <w:spacing w:line="480" w:lineRule="auto"/>
        <w:ind w:left="1080"/>
        <w:jc w:val="both"/>
        <w:rPr>
          <w:rFonts w:ascii="Book Antiqua" w:hAnsi="Book Antiqua" w:cs="Arial"/>
          <w:shd w:val="clear" w:color="auto" w:fill="FFFFFF"/>
          <w:lang w:val="es-ES"/>
        </w:rPr>
      </w:pPr>
      <w:r w:rsidRPr="00EE58A4">
        <w:rPr>
          <w:rFonts w:ascii="Book Antiqua" w:hAnsi="Book Antiqua" w:cs="Arial"/>
          <w:shd w:val="clear" w:color="auto" w:fill="FFFFFF"/>
          <w:lang w:val="es-ES"/>
        </w:rPr>
        <w:t xml:space="preserve">(c) </w:t>
      </w:r>
      <w:r w:rsidR="00C7694F">
        <w:rPr>
          <w:rFonts w:ascii="Book Antiqua" w:hAnsi="Book Antiqua" w:cs="Arial"/>
          <w:shd w:val="clear" w:color="auto" w:fill="FFFFFF"/>
          <w:lang w:val="es-ES"/>
        </w:rPr>
        <w:t>…”</w:t>
      </w:r>
    </w:p>
    <w:p w14:paraId="6DEC9AE2" w14:textId="23ACB7E9" w:rsidR="006023F4" w:rsidRDefault="006023F4" w:rsidP="002B181B">
      <w:pPr>
        <w:suppressAutoHyphens/>
        <w:spacing w:line="480" w:lineRule="auto"/>
        <w:ind w:firstLine="720"/>
        <w:jc w:val="both"/>
        <w:rPr>
          <w:rFonts w:ascii="Book Antiqua" w:hAnsi="Book Antiqua"/>
          <w:spacing w:val="-3"/>
          <w:lang w:val="es-PR"/>
        </w:rPr>
      </w:pPr>
      <w:r w:rsidRPr="00233635">
        <w:rPr>
          <w:rFonts w:ascii="Book Antiqua" w:hAnsi="Book Antiqua"/>
          <w:spacing w:val="-3"/>
          <w:lang w:val="es-PR"/>
        </w:rPr>
        <w:t xml:space="preserve">Artículo </w:t>
      </w:r>
      <w:r w:rsidR="00A7289B">
        <w:rPr>
          <w:rFonts w:ascii="Book Antiqua" w:hAnsi="Book Antiqua"/>
          <w:spacing w:val="-3"/>
          <w:lang w:val="es-PR"/>
        </w:rPr>
        <w:t>7</w:t>
      </w:r>
      <w:r w:rsidRPr="00233635">
        <w:rPr>
          <w:rFonts w:ascii="Book Antiqua" w:hAnsi="Book Antiqua"/>
          <w:spacing w:val="-3"/>
          <w:lang w:val="es-PR"/>
        </w:rPr>
        <w:t xml:space="preserve">.- Se enmienda la Regla 218 de las Reglas de Procedimiento Criminal </w:t>
      </w:r>
      <w:r w:rsidR="008A1828" w:rsidRPr="00233635">
        <w:rPr>
          <w:rFonts w:ascii="Book Antiqua" w:hAnsi="Book Antiqua"/>
          <w:spacing w:val="-3"/>
          <w:lang w:val="es-PR"/>
        </w:rPr>
        <w:t>de las Reglas de Procedimiento Criminal, según enmendadas, para que se lea como sigue</w:t>
      </w:r>
      <w:r w:rsidR="008A1828">
        <w:rPr>
          <w:rFonts w:ascii="Book Antiqua" w:hAnsi="Book Antiqua"/>
          <w:spacing w:val="-3"/>
          <w:lang w:val="es-PR"/>
        </w:rPr>
        <w:t>:</w:t>
      </w:r>
    </w:p>
    <w:p w14:paraId="7D1187F1" w14:textId="77777777" w:rsidR="00396D46" w:rsidRDefault="00396D46" w:rsidP="00396D46">
      <w:pPr>
        <w:suppressAutoHyphens/>
        <w:spacing w:line="480" w:lineRule="auto"/>
        <w:ind w:firstLine="720"/>
        <w:jc w:val="both"/>
        <w:rPr>
          <w:rFonts w:ascii="Book Antiqua" w:hAnsi="Book Antiqua"/>
          <w:spacing w:val="-3"/>
          <w:lang w:val="es-PR"/>
        </w:rPr>
      </w:pPr>
      <w:r>
        <w:rPr>
          <w:rFonts w:ascii="Book Antiqua" w:hAnsi="Book Antiqua"/>
          <w:spacing w:val="-3"/>
          <w:lang w:val="es-PR"/>
        </w:rPr>
        <w:t>“Regla 218- FIANZA Y CONDICIONES, CUÁNDO SE REQUIERAN; CRITERIOS DE FIJACIÓN; REVISIÓN DE CUANTÍA, O CONDICIONES; EN GENERAL.</w:t>
      </w:r>
    </w:p>
    <w:p w14:paraId="04F8F10E" w14:textId="0466F618" w:rsidR="00F373F2" w:rsidRPr="00142ECE" w:rsidRDefault="00396D46" w:rsidP="00142ECE">
      <w:pPr>
        <w:suppressAutoHyphens/>
        <w:spacing w:line="480" w:lineRule="auto"/>
        <w:ind w:firstLine="720"/>
        <w:jc w:val="both"/>
        <w:rPr>
          <w:rFonts w:ascii="Book Antiqua" w:hAnsi="Book Antiqua"/>
          <w:i/>
          <w:iCs/>
          <w:spacing w:val="-3"/>
          <w:lang w:val="es-PR"/>
        </w:rPr>
      </w:pPr>
      <w:r w:rsidRPr="00396D46">
        <w:rPr>
          <w:rFonts w:ascii="Book Antiqua" w:hAnsi="Book Antiqua"/>
          <w:spacing w:val="-3"/>
          <w:lang w:val="es-PR"/>
        </w:rPr>
        <w:t>(a) Derecho a fianza; quién la admitirá; imposición de condiciones. — Aquella persona</w:t>
      </w:r>
      <w:r>
        <w:rPr>
          <w:rFonts w:ascii="Book Antiqua" w:hAnsi="Book Antiqua"/>
          <w:spacing w:val="-3"/>
          <w:lang w:val="es-PR"/>
        </w:rPr>
        <w:t xml:space="preserve"> </w:t>
      </w:r>
      <w:r w:rsidRPr="00396D46">
        <w:rPr>
          <w:rFonts w:ascii="Book Antiqua" w:hAnsi="Book Antiqua"/>
          <w:spacing w:val="-3"/>
          <w:lang w:val="es-PR"/>
        </w:rPr>
        <w:t>arrestada por cualquier delito que tenga derecho a quedar en libertad bajo fianza o bajo las</w:t>
      </w:r>
      <w:r>
        <w:rPr>
          <w:rFonts w:ascii="Book Antiqua" w:hAnsi="Book Antiqua"/>
          <w:spacing w:val="-3"/>
          <w:lang w:val="es-PR"/>
        </w:rPr>
        <w:t xml:space="preserve"> </w:t>
      </w:r>
      <w:r w:rsidRPr="00396D46">
        <w:rPr>
          <w:rFonts w:ascii="Book Antiqua" w:hAnsi="Book Antiqua"/>
          <w:spacing w:val="-3"/>
          <w:lang w:val="es-PR"/>
        </w:rPr>
        <w:t>condiciones impuestas de conformidad con el inciso (c) de esta regla hasta tanto fuera convicta.</w:t>
      </w:r>
      <w:r w:rsidR="00763CE6">
        <w:rPr>
          <w:rFonts w:ascii="Book Antiqua" w:hAnsi="Book Antiqua"/>
          <w:spacing w:val="-3"/>
          <w:lang w:val="es-PR"/>
        </w:rPr>
        <w:t xml:space="preserve"> </w:t>
      </w:r>
      <w:r w:rsidR="00763CE6">
        <w:rPr>
          <w:rFonts w:ascii="Book Antiqua" w:hAnsi="Book Antiqua"/>
          <w:i/>
          <w:iCs/>
          <w:spacing w:val="-3"/>
          <w:lang w:val="es-PR"/>
        </w:rPr>
        <w:t>En todo caso se cumplirán</w:t>
      </w:r>
      <w:r w:rsidR="00E079B9">
        <w:rPr>
          <w:rFonts w:ascii="Book Antiqua" w:hAnsi="Book Antiqua"/>
          <w:i/>
          <w:iCs/>
          <w:spacing w:val="-3"/>
          <w:lang w:val="es-PR"/>
        </w:rPr>
        <w:t xml:space="preserve"> con las disposiciones de la “Ley de Fianza Segura” como cuerpo de normas que reglamentará la discreción del Tribunal para </w:t>
      </w:r>
      <w:r w:rsidR="000D5037">
        <w:rPr>
          <w:rFonts w:ascii="Book Antiqua" w:hAnsi="Book Antiqua"/>
          <w:i/>
          <w:iCs/>
          <w:spacing w:val="-3"/>
          <w:lang w:val="es-PR"/>
        </w:rPr>
        <w:t>tomar la determinación sobre la cuantía de la fianza correspondiente.</w:t>
      </w:r>
      <w:r w:rsidR="00142ECE">
        <w:rPr>
          <w:rFonts w:ascii="Book Antiqua" w:hAnsi="Book Antiqua"/>
          <w:i/>
          <w:iCs/>
          <w:spacing w:val="-3"/>
          <w:lang w:val="es-PR"/>
        </w:rPr>
        <w:t xml:space="preserve"> </w:t>
      </w:r>
      <w:r w:rsidRPr="00396D46">
        <w:rPr>
          <w:rFonts w:ascii="Book Antiqua" w:hAnsi="Book Antiqua"/>
          <w:spacing w:val="-3"/>
          <w:lang w:val="es-PR"/>
        </w:rPr>
        <w:t>A los fines de determinar la cuantía de la fianza correspondiente y la imposición de las</w:t>
      </w:r>
      <w:r>
        <w:rPr>
          <w:rFonts w:ascii="Book Antiqua" w:hAnsi="Book Antiqua"/>
          <w:spacing w:val="-3"/>
          <w:lang w:val="es-PR"/>
        </w:rPr>
        <w:t xml:space="preserve"> </w:t>
      </w:r>
      <w:r w:rsidRPr="00396D46">
        <w:rPr>
          <w:rFonts w:ascii="Book Antiqua" w:hAnsi="Book Antiqua"/>
          <w:spacing w:val="-3"/>
          <w:lang w:val="es-PR"/>
        </w:rPr>
        <w:t>condiciones que se estimen propias y convenientes, el tribunal deberá contar con el informe de</w:t>
      </w:r>
      <w:r>
        <w:rPr>
          <w:rFonts w:ascii="Book Antiqua" w:hAnsi="Book Antiqua"/>
          <w:spacing w:val="-3"/>
          <w:lang w:val="es-PR"/>
        </w:rPr>
        <w:t xml:space="preserve"> </w:t>
      </w:r>
      <w:r w:rsidRPr="00396D46">
        <w:rPr>
          <w:rFonts w:ascii="Book Antiqua" w:hAnsi="Book Antiqua"/>
          <w:spacing w:val="-3"/>
          <w:lang w:val="es-PR"/>
        </w:rPr>
        <w:t>evaluación y recomendaciones que rinda la Programa de Servicios con Antelación al Juicio a</w:t>
      </w:r>
      <w:r>
        <w:rPr>
          <w:rFonts w:ascii="Book Antiqua" w:hAnsi="Book Antiqua"/>
          <w:spacing w:val="-3"/>
          <w:lang w:val="es-PR"/>
        </w:rPr>
        <w:t xml:space="preserve"> </w:t>
      </w:r>
      <w:r w:rsidRPr="00396D46">
        <w:rPr>
          <w:rFonts w:ascii="Book Antiqua" w:hAnsi="Book Antiqua"/>
          <w:spacing w:val="-3"/>
          <w:lang w:val="es-PR"/>
        </w:rPr>
        <w:t>tenor con las disposiciones de la Ley 151-2014,</w:t>
      </w:r>
      <w:r w:rsidR="00D43503">
        <w:rPr>
          <w:rFonts w:ascii="Book Antiqua" w:hAnsi="Book Antiqua"/>
          <w:i/>
          <w:iCs/>
          <w:spacing w:val="-3"/>
          <w:lang w:val="es-PR"/>
        </w:rPr>
        <w:t xml:space="preserve"> según enmendada.</w:t>
      </w:r>
      <w:r w:rsidRPr="00396D46">
        <w:rPr>
          <w:rFonts w:ascii="Book Antiqua" w:hAnsi="Book Antiqua"/>
          <w:spacing w:val="-3"/>
          <w:lang w:val="es-PR"/>
        </w:rPr>
        <w:t xml:space="preserve"> En los casos de personas a quienes se le impute</w:t>
      </w:r>
      <w:r w:rsidR="00D43503">
        <w:rPr>
          <w:rFonts w:ascii="Book Antiqua" w:hAnsi="Book Antiqua"/>
          <w:spacing w:val="-3"/>
          <w:lang w:val="es-PR"/>
        </w:rPr>
        <w:t xml:space="preserve"> </w:t>
      </w:r>
      <w:r w:rsidRPr="00396D46">
        <w:rPr>
          <w:rFonts w:ascii="Book Antiqua" w:hAnsi="Book Antiqua"/>
          <w:spacing w:val="-3"/>
          <w:lang w:val="es-PR"/>
        </w:rPr>
        <w:t>alguno de los siguientes delitos graves, según tipificados en el Código Penal de Puerto Rico</w:t>
      </w:r>
      <w:r w:rsidR="00CC0DC1">
        <w:rPr>
          <w:rFonts w:ascii="Book Antiqua" w:hAnsi="Book Antiqua"/>
          <w:i/>
          <w:iCs/>
          <w:spacing w:val="-3"/>
          <w:lang w:val="es-PR"/>
        </w:rPr>
        <w:t xml:space="preserve">, </w:t>
      </w:r>
      <w:r w:rsidR="00CC0DC1" w:rsidRPr="00CC0DC1">
        <w:rPr>
          <w:rFonts w:ascii="Book Antiqua" w:hAnsi="Book Antiqua"/>
          <w:i/>
          <w:iCs/>
          <w:spacing w:val="-3"/>
          <w:lang w:val="es-PR"/>
        </w:rPr>
        <w:t xml:space="preserve">la </w:t>
      </w:r>
      <w:r w:rsidR="00CC0DC1" w:rsidRPr="00CC0DC1">
        <w:rPr>
          <w:rFonts w:ascii="Book Antiqua" w:hAnsi="Book Antiqua"/>
          <w:i/>
          <w:iCs/>
          <w:lang w:val="es-PR"/>
        </w:rPr>
        <w:t>"</w:t>
      </w:r>
      <w:r w:rsidR="00CC0DC1" w:rsidRPr="00CC0DC1">
        <w:rPr>
          <w:rFonts w:ascii="Book Antiqua" w:hAnsi="Book Antiqua"/>
          <w:i/>
          <w:iCs/>
          <w:spacing w:val="-3"/>
          <w:lang w:val="es-PR"/>
        </w:rPr>
        <w:t>Ley de Fianza Segura"</w:t>
      </w:r>
      <w:r w:rsidR="00CC0DC1" w:rsidRPr="002874CE">
        <w:rPr>
          <w:rFonts w:ascii="Book Antiqua" w:hAnsi="Book Antiqua"/>
          <w:lang w:val="es-PR"/>
        </w:rPr>
        <w:t xml:space="preserve"> </w:t>
      </w:r>
      <w:r w:rsidRPr="00396D46">
        <w:rPr>
          <w:rFonts w:ascii="Book Antiqua" w:hAnsi="Book Antiqua"/>
          <w:spacing w:val="-3"/>
          <w:lang w:val="es-PR"/>
        </w:rPr>
        <w:t>y</w:t>
      </w:r>
      <w:r w:rsidR="00D43503">
        <w:rPr>
          <w:rFonts w:ascii="Book Antiqua" w:hAnsi="Book Antiqua"/>
          <w:spacing w:val="-3"/>
          <w:lang w:val="es-PR"/>
        </w:rPr>
        <w:t xml:space="preserve"> </w:t>
      </w:r>
      <w:r w:rsidRPr="00396D46">
        <w:rPr>
          <w:rFonts w:ascii="Book Antiqua" w:hAnsi="Book Antiqua"/>
          <w:spacing w:val="-3"/>
          <w:lang w:val="es-PR"/>
        </w:rPr>
        <w:t>otras leyes especiales, además de fijar la fianza correspondiente, el tribunal tendrá, al fijar la</w:t>
      </w:r>
      <w:r w:rsidR="00D43503">
        <w:rPr>
          <w:rFonts w:ascii="Book Antiqua" w:hAnsi="Book Antiqua"/>
          <w:spacing w:val="-3"/>
          <w:lang w:val="es-PR"/>
        </w:rPr>
        <w:t xml:space="preserve"> </w:t>
      </w:r>
      <w:r w:rsidRPr="00396D46">
        <w:rPr>
          <w:rFonts w:ascii="Book Antiqua" w:hAnsi="Book Antiqua"/>
          <w:spacing w:val="-3"/>
          <w:lang w:val="es-PR"/>
        </w:rPr>
        <w:t xml:space="preserve">fianza, que imponer la condición de que se sujete a supervisión electrónica </w:t>
      </w:r>
      <w:r w:rsidRPr="00396D46">
        <w:rPr>
          <w:rFonts w:ascii="Book Antiqua" w:hAnsi="Book Antiqua"/>
          <w:spacing w:val="-3"/>
          <w:lang w:val="es-PR"/>
        </w:rPr>
        <w:lastRenderedPageBreak/>
        <w:t>al imputado y</w:t>
      </w:r>
      <w:r w:rsidR="00D43503">
        <w:rPr>
          <w:rFonts w:ascii="Book Antiqua" w:hAnsi="Book Antiqua"/>
          <w:spacing w:val="-3"/>
          <w:lang w:val="es-PR"/>
        </w:rPr>
        <w:t xml:space="preserve"> </w:t>
      </w:r>
      <w:r w:rsidRPr="00396D46">
        <w:rPr>
          <w:rFonts w:ascii="Book Antiqua" w:hAnsi="Book Antiqua"/>
          <w:spacing w:val="-3"/>
          <w:lang w:val="es-PR"/>
        </w:rPr>
        <w:t>aquéllas otras condiciones enumeradas en el inciso (c) de esta Regla, conforme al</w:t>
      </w:r>
      <w:r w:rsidR="00D43503">
        <w:rPr>
          <w:rFonts w:ascii="Book Antiqua" w:hAnsi="Book Antiqua"/>
          <w:spacing w:val="-3"/>
          <w:lang w:val="es-PR"/>
        </w:rPr>
        <w:t xml:space="preserve"> </w:t>
      </w:r>
      <w:r w:rsidRPr="00396D46">
        <w:rPr>
          <w:rFonts w:ascii="Book Antiqua" w:hAnsi="Book Antiqua"/>
          <w:spacing w:val="-3"/>
          <w:lang w:val="es-PR"/>
        </w:rPr>
        <w:t xml:space="preserve">procedimiento establecido en esta Regla. </w:t>
      </w:r>
      <w:r w:rsidRPr="00975D82">
        <w:rPr>
          <w:rFonts w:ascii="Book Antiqua" w:hAnsi="Book Antiqua"/>
          <w:spacing w:val="-3"/>
          <w:lang w:val="es-PR"/>
        </w:rPr>
        <w:t>Los delitos son: Asesinato; Robo agravado; Incendio</w:t>
      </w:r>
      <w:r w:rsidR="00D43503" w:rsidRPr="00975D82">
        <w:rPr>
          <w:rFonts w:ascii="Book Antiqua" w:hAnsi="Book Antiqua"/>
          <w:spacing w:val="-3"/>
          <w:lang w:val="es-PR"/>
        </w:rPr>
        <w:t xml:space="preserve"> </w:t>
      </w:r>
      <w:r w:rsidRPr="00975D82">
        <w:rPr>
          <w:rFonts w:ascii="Book Antiqua" w:hAnsi="Book Antiqua"/>
          <w:spacing w:val="-3"/>
          <w:lang w:val="es-PR"/>
        </w:rPr>
        <w:t>agravado; Utilización de un menor para pornografía infantil; Envenenamiento intencional de</w:t>
      </w:r>
      <w:r w:rsidR="00CC0DC1" w:rsidRPr="00975D82">
        <w:rPr>
          <w:rFonts w:ascii="Book Antiqua" w:hAnsi="Book Antiqua"/>
          <w:spacing w:val="-3"/>
          <w:lang w:val="es-PR"/>
        </w:rPr>
        <w:t xml:space="preserve"> </w:t>
      </w:r>
      <w:r w:rsidRPr="00975D82">
        <w:rPr>
          <w:rFonts w:ascii="Book Antiqua" w:hAnsi="Book Antiqua"/>
          <w:spacing w:val="-3"/>
          <w:lang w:val="es-PR"/>
        </w:rPr>
        <w:t>aguas de uso público; Agresión sexual; Secuestro, Secuestro agravado y Secuestro de menores;</w:t>
      </w:r>
      <w:r w:rsidR="00CC0DC1" w:rsidRPr="00975D82">
        <w:rPr>
          <w:rFonts w:ascii="Book Antiqua" w:hAnsi="Book Antiqua"/>
          <w:spacing w:val="-3"/>
          <w:lang w:val="es-PR"/>
        </w:rPr>
        <w:t xml:space="preserve"> </w:t>
      </w:r>
      <w:r w:rsidRPr="00975D82">
        <w:rPr>
          <w:rFonts w:ascii="Book Antiqua" w:hAnsi="Book Antiqua"/>
          <w:spacing w:val="-3"/>
          <w:lang w:val="es-PR"/>
        </w:rPr>
        <w:t>Maltrato a personas de edad avanzada; Maltrato a personas de edad avanzada mediante</w:t>
      </w:r>
      <w:r w:rsidR="00CC0DC1" w:rsidRPr="00975D82">
        <w:rPr>
          <w:rFonts w:ascii="Book Antiqua" w:hAnsi="Book Antiqua"/>
          <w:spacing w:val="-3"/>
          <w:lang w:val="es-PR"/>
        </w:rPr>
        <w:t xml:space="preserve"> </w:t>
      </w:r>
      <w:r w:rsidRPr="00975D82">
        <w:rPr>
          <w:rFonts w:ascii="Book Antiqua" w:hAnsi="Book Antiqua"/>
          <w:spacing w:val="-3"/>
          <w:lang w:val="es-PR"/>
        </w:rPr>
        <w:t>amenaza; Explotación financiera de persona de edad avanzada, en su modalidad grave; Fraude</w:t>
      </w:r>
      <w:r w:rsidR="00CC0DC1" w:rsidRPr="00975D82">
        <w:rPr>
          <w:rFonts w:ascii="Book Antiqua" w:hAnsi="Book Antiqua"/>
          <w:spacing w:val="-3"/>
          <w:lang w:val="es-PR"/>
        </w:rPr>
        <w:t xml:space="preserve"> </w:t>
      </w:r>
      <w:r w:rsidRPr="00975D82">
        <w:rPr>
          <w:rFonts w:ascii="Book Antiqua" w:hAnsi="Book Antiqua"/>
          <w:spacing w:val="-3"/>
          <w:lang w:val="es-PR"/>
        </w:rPr>
        <w:t>de gravamen contra personas de edad avanzada; Maltrato intencional de menores, según</w:t>
      </w:r>
      <w:r w:rsidR="00CC0DC1" w:rsidRPr="00975D82">
        <w:rPr>
          <w:rFonts w:ascii="Book Antiqua" w:hAnsi="Book Antiqua"/>
          <w:spacing w:val="-3"/>
          <w:lang w:val="es-PR"/>
        </w:rPr>
        <w:t xml:space="preserve"> </w:t>
      </w:r>
      <w:r w:rsidRPr="00975D82">
        <w:rPr>
          <w:rFonts w:ascii="Book Antiqua" w:hAnsi="Book Antiqua"/>
          <w:spacing w:val="-3"/>
          <w:lang w:val="es-PR"/>
        </w:rPr>
        <w:t>dispuesto en la Ley 57-2023; Artículo 401 de la Ley de Sustancias Controladas,</w:t>
      </w:r>
      <w:r w:rsidR="00CC0DC1" w:rsidRPr="00975D82">
        <w:rPr>
          <w:rFonts w:ascii="Book Antiqua" w:hAnsi="Book Antiqua"/>
          <w:spacing w:val="-3"/>
          <w:lang w:val="es-PR"/>
        </w:rPr>
        <w:t xml:space="preserve"> </w:t>
      </w:r>
      <w:r w:rsidRPr="00975D82">
        <w:rPr>
          <w:rFonts w:ascii="Book Antiqua" w:hAnsi="Book Antiqua"/>
          <w:spacing w:val="-3"/>
          <w:lang w:val="es-PR"/>
        </w:rPr>
        <w:t>específicamente cuando la transacción envuelva medio kilo (1.1 libras) o más de cocaína o</w:t>
      </w:r>
      <w:r w:rsidR="00CC0DC1" w:rsidRPr="00975D82">
        <w:rPr>
          <w:rFonts w:ascii="Book Antiqua" w:hAnsi="Book Antiqua"/>
          <w:spacing w:val="-3"/>
          <w:lang w:val="es-PR"/>
        </w:rPr>
        <w:t xml:space="preserve"> </w:t>
      </w:r>
      <w:r w:rsidRPr="00975D82">
        <w:rPr>
          <w:rFonts w:ascii="Book Antiqua" w:hAnsi="Book Antiqua"/>
          <w:spacing w:val="-3"/>
          <w:lang w:val="es-PR"/>
        </w:rPr>
        <w:t>heroína, o un kilo (2.2 libras) o más de marihuana, y los Artículos 405 sobre Distribución a</w:t>
      </w:r>
      <w:r w:rsidR="00CC0DC1" w:rsidRPr="00975D82">
        <w:rPr>
          <w:rFonts w:ascii="Book Antiqua" w:hAnsi="Book Antiqua"/>
          <w:spacing w:val="-3"/>
          <w:lang w:val="es-PR"/>
        </w:rPr>
        <w:t xml:space="preserve"> </w:t>
      </w:r>
      <w:r w:rsidRPr="00975D82">
        <w:rPr>
          <w:rFonts w:ascii="Book Antiqua" w:hAnsi="Book Antiqua"/>
          <w:spacing w:val="-3"/>
          <w:lang w:val="es-PR"/>
        </w:rPr>
        <w:t>personas menores de dieciocho (18) años, 408 sobre Empresa Criminal Continua y 411-A</w:t>
      </w:r>
      <w:r w:rsidR="00CC0DC1" w:rsidRPr="00975D82">
        <w:rPr>
          <w:rFonts w:ascii="Book Antiqua" w:hAnsi="Book Antiqua"/>
          <w:spacing w:val="-3"/>
          <w:lang w:val="es-PR"/>
        </w:rPr>
        <w:t xml:space="preserve"> </w:t>
      </w:r>
      <w:r w:rsidRPr="00975D82">
        <w:rPr>
          <w:rFonts w:ascii="Book Antiqua" w:hAnsi="Book Antiqua"/>
          <w:spacing w:val="-3"/>
          <w:lang w:val="es-PR"/>
        </w:rPr>
        <w:t>sobre Introducción de Drogas en las escuelas e instituciones; los siguientes artículos de la Ley</w:t>
      </w:r>
      <w:r w:rsidR="00CC0DC1" w:rsidRPr="00975D82">
        <w:rPr>
          <w:rFonts w:ascii="Book Antiqua" w:hAnsi="Book Antiqua"/>
          <w:spacing w:val="-3"/>
          <w:lang w:val="es-PR"/>
        </w:rPr>
        <w:t xml:space="preserve"> </w:t>
      </w:r>
      <w:r w:rsidRPr="00975D82">
        <w:rPr>
          <w:rFonts w:ascii="Book Antiqua" w:hAnsi="Book Antiqua"/>
          <w:spacing w:val="-3"/>
          <w:lang w:val="es-PR"/>
        </w:rPr>
        <w:t>de Armas: Artículos 2.16 sobre Armas de Asalto, el 6.02 sobre Fabricación, Importación,</w:t>
      </w:r>
      <w:r w:rsidR="00CC0DC1" w:rsidRPr="00975D82">
        <w:rPr>
          <w:rFonts w:ascii="Book Antiqua" w:hAnsi="Book Antiqua"/>
          <w:spacing w:val="-3"/>
          <w:lang w:val="es-PR"/>
        </w:rPr>
        <w:t xml:space="preserve"> </w:t>
      </w:r>
      <w:r w:rsidRPr="00975D82">
        <w:rPr>
          <w:rFonts w:ascii="Book Antiqua" w:hAnsi="Book Antiqua"/>
          <w:spacing w:val="-3"/>
          <w:lang w:val="es-PR"/>
        </w:rPr>
        <w:t>Venta y Distribución de Armas, el 6.04 sobre Comercio de armas de fuego automáticas, el 6.09</w:t>
      </w:r>
      <w:r w:rsidR="00CC0DC1" w:rsidRPr="00975D82">
        <w:rPr>
          <w:rFonts w:ascii="Book Antiqua" w:hAnsi="Book Antiqua"/>
          <w:spacing w:val="-3"/>
          <w:lang w:val="es-PR"/>
        </w:rPr>
        <w:t xml:space="preserve"> </w:t>
      </w:r>
      <w:r w:rsidRPr="00975D82">
        <w:rPr>
          <w:rFonts w:ascii="Book Antiqua" w:hAnsi="Book Antiqua"/>
          <w:spacing w:val="-3"/>
          <w:lang w:val="es-PR"/>
        </w:rPr>
        <w:t>sobre Posesión o Uso ilegal de Armas Automáticas o Escopetas de Cañón, el 6.10 sobre</w:t>
      </w:r>
      <w:r w:rsidR="00CC0DC1" w:rsidRPr="00975D82">
        <w:rPr>
          <w:rFonts w:ascii="Book Antiqua" w:hAnsi="Book Antiqua"/>
          <w:spacing w:val="-3"/>
          <w:lang w:val="es-PR"/>
        </w:rPr>
        <w:t xml:space="preserve"> </w:t>
      </w:r>
      <w:r w:rsidRPr="00975D82">
        <w:rPr>
          <w:rFonts w:ascii="Book Antiqua" w:hAnsi="Book Antiqua"/>
          <w:spacing w:val="-3"/>
          <w:lang w:val="es-PR"/>
        </w:rPr>
        <w:t>Posesión o Venta de Accesorios para Silenciar, el 6.11 sobre Facilitación a terceros y el 6.12</w:t>
      </w:r>
      <w:r w:rsidR="00CC0DC1" w:rsidRPr="00975D82">
        <w:rPr>
          <w:rFonts w:ascii="Book Antiqua" w:hAnsi="Book Antiqua"/>
          <w:spacing w:val="-3"/>
          <w:lang w:val="es-PR"/>
        </w:rPr>
        <w:t xml:space="preserve"> </w:t>
      </w:r>
      <w:r w:rsidRPr="00975D82">
        <w:rPr>
          <w:rFonts w:ascii="Book Antiqua" w:hAnsi="Book Antiqua"/>
          <w:spacing w:val="-3"/>
          <w:lang w:val="es-PR"/>
        </w:rPr>
        <w:t>sobre Remoción o Mutilación de Número de Serie o Nombre de Dueño en Arma de Fuego;</w:t>
      </w:r>
      <w:r w:rsidR="00CC0DC1" w:rsidRPr="00975D82">
        <w:rPr>
          <w:rFonts w:ascii="Book Antiqua" w:hAnsi="Book Antiqua"/>
          <w:spacing w:val="-3"/>
          <w:lang w:val="es-PR"/>
        </w:rPr>
        <w:t xml:space="preserve"> </w:t>
      </w:r>
      <w:r w:rsidRPr="00975D82">
        <w:rPr>
          <w:rFonts w:ascii="Book Antiqua" w:hAnsi="Book Antiqua"/>
          <w:spacing w:val="-3"/>
          <w:lang w:val="es-PR"/>
        </w:rPr>
        <w:t>violaciones a las disposiciones de la Ley Núm. 54 de 15 de agosto de 1989, según enmendada,</w:t>
      </w:r>
      <w:r w:rsidR="00CC0DC1" w:rsidRPr="00975D82">
        <w:rPr>
          <w:rFonts w:ascii="Book Antiqua" w:hAnsi="Book Antiqua"/>
          <w:spacing w:val="-3"/>
          <w:lang w:val="es-PR"/>
        </w:rPr>
        <w:t xml:space="preserve"> </w:t>
      </w:r>
      <w:r w:rsidRPr="00975D82">
        <w:rPr>
          <w:rFonts w:ascii="Book Antiqua" w:hAnsi="Book Antiqua"/>
          <w:spacing w:val="-3"/>
          <w:lang w:val="es-PR"/>
        </w:rPr>
        <w:t>conocida como “Ley para la Prevención e Intervención con la Violencia Doméstica”, que</w:t>
      </w:r>
      <w:r w:rsidR="00CC0DC1" w:rsidRPr="00975D82">
        <w:rPr>
          <w:rFonts w:ascii="Book Antiqua" w:hAnsi="Book Antiqua"/>
          <w:spacing w:val="-3"/>
          <w:lang w:val="es-PR"/>
        </w:rPr>
        <w:t xml:space="preserve"> </w:t>
      </w:r>
      <w:r w:rsidRPr="00975D82">
        <w:rPr>
          <w:rFonts w:ascii="Book Antiqua" w:hAnsi="Book Antiqua"/>
          <w:spacing w:val="-3"/>
          <w:lang w:val="es-PR"/>
        </w:rPr>
        <w:t>impliquen grave daño corporal y aquellos delitos graves en los cuales se utilice cualquier tipo</w:t>
      </w:r>
      <w:r w:rsidR="00CC0DC1" w:rsidRPr="00975D82">
        <w:rPr>
          <w:rFonts w:ascii="Book Antiqua" w:hAnsi="Book Antiqua"/>
          <w:spacing w:val="-3"/>
          <w:lang w:val="es-PR"/>
        </w:rPr>
        <w:t xml:space="preserve"> </w:t>
      </w:r>
      <w:r w:rsidRPr="00975D82">
        <w:rPr>
          <w:rFonts w:ascii="Book Antiqua" w:hAnsi="Book Antiqua"/>
          <w:spacing w:val="-3"/>
          <w:lang w:val="es-PR"/>
        </w:rPr>
        <w:t xml:space="preserve">de arma, según ésta se define en la Ley 168-2019, según </w:t>
      </w:r>
      <w:r w:rsidRPr="00975D82">
        <w:rPr>
          <w:rFonts w:ascii="Book Antiqua" w:hAnsi="Book Antiqua"/>
          <w:spacing w:val="-3"/>
          <w:lang w:val="es-PR"/>
        </w:rPr>
        <w:lastRenderedPageBreak/>
        <w:t>enmendada, conocida como “Ley de</w:t>
      </w:r>
      <w:r w:rsidR="00CC0DC1" w:rsidRPr="00975D82">
        <w:rPr>
          <w:rFonts w:ascii="Book Antiqua" w:hAnsi="Book Antiqua"/>
          <w:spacing w:val="-3"/>
          <w:lang w:val="es-PR"/>
        </w:rPr>
        <w:t xml:space="preserve"> </w:t>
      </w:r>
      <w:r w:rsidRPr="00975D82">
        <w:rPr>
          <w:rFonts w:ascii="Book Antiqua" w:hAnsi="Book Antiqua"/>
          <w:spacing w:val="-3"/>
          <w:lang w:val="es-PR"/>
        </w:rPr>
        <w:t>Armas de Puerto Rico”, aquellos tipificados en los incisos (b) y (c) del Articulo 4.02 y los</w:t>
      </w:r>
      <w:r w:rsidR="00CC0DC1" w:rsidRPr="00975D82">
        <w:rPr>
          <w:rFonts w:ascii="Book Antiqua" w:hAnsi="Book Antiqua"/>
          <w:spacing w:val="-3"/>
          <w:lang w:val="es-PR"/>
        </w:rPr>
        <w:t xml:space="preserve"> </w:t>
      </w:r>
      <w:r w:rsidRPr="00975D82">
        <w:rPr>
          <w:rFonts w:ascii="Book Antiqua" w:hAnsi="Book Antiqua"/>
          <w:spacing w:val="-3"/>
          <w:lang w:val="es-PR"/>
        </w:rPr>
        <w:t>incisos (b) y (c) del Artículo 5.07 de la Ley 22-2000, según enmendada, conocida como "Ley</w:t>
      </w:r>
      <w:r w:rsidR="00CC0DC1" w:rsidRPr="00975D82">
        <w:rPr>
          <w:rFonts w:ascii="Book Antiqua" w:hAnsi="Book Antiqua"/>
          <w:spacing w:val="-3"/>
          <w:lang w:val="es-PR"/>
        </w:rPr>
        <w:t xml:space="preserve"> </w:t>
      </w:r>
      <w:r w:rsidRPr="00975D82">
        <w:rPr>
          <w:rFonts w:ascii="Book Antiqua" w:hAnsi="Book Antiqua"/>
          <w:spacing w:val="-3"/>
          <w:lang w:val="es-PR"/>
        </w:rPr>
        <w:t>de Vehículos y Tránsito de Puerto Rico"; y las circunstancias dispuestas en el inciso (c) de esta</w:t>
      </w:r>
      <w:r w:rsidR="00CC0DC1" w:rsidRPr="00975D82">
        <w:rPr>
          <w:rFonts w:ascii="Book Antiqua" w:hAnsi="Book Antiqua"/>
          <w:spacing w:val="-3"/>
          <w:lang w:val="es-PR"/>
        </w:rPr>
        <w:t xml:space="preserve"> </w:t>
      </w:r>
      <w:r w:rsidRPr="00975D82">
        <w:rPr>
          <w:rFonts w:ascii="Book Antiqua" w:hAnsi="Book Antiqua"/>
          <w:spacing w:val="-3"/>
          <w:lang w:val="es-PR"/>
        </w:rPr>
        <w:t>Regla, el tribunal podrá disponer que una persona quede en libertad provisional bajo su propio</w:t>
      </w:r>
      <w:r w:rsidR="00CC0DC1" w:rsidRPr="00975D82">
        <w:rPr>
          <w:rFonts w:ascii="Book Antiqua" w:hAnsi="Book Antiqua"/>
          <w:spacing w:val="-3"/>
          <w:lang w:val="es-PR"/>
        </w:rPr>
        <w:t xml:space="preserve"> </w:t>
      </w:r>
      <w:r w:rsidRPr="00975D82">
        <w:rPr>
          <w:rFonts w:ascii="Book Antiqua" w:hAnsi="Book Antiqua"/>
          <w:spacing w:val="-3"/>
          <w:lang w:val="es-PR"/>
        </w:rPr>
        <w:t>reconocimiento, bajo custodia de tercero o bajo fianza diferida.</w:t>
      </w:r>
      <w:r w:rsidR="00647846" w:rsidRPr="00975D82">
        <w:rPr>
          <w:rFonts w:ascii="Book Antiqua" w:hAnsi="Book Antiqua"/>
          <w:spacing w:val="-3"/>
          <w:lang w:val="es-PR"/>
        </w:rPr>
        <w:t>]</w:t>
      </w:r>
      <w:r w:rsidRPr="00975D82">
        <w:rPr>
          <w:rFonts w:ascii="Book Antiqua" w:hAnsi="Book Antiqua"/>
          <w:spacing w:val="-3"/>
          <w:lang w:val="es-PR"/>
        </w:rPr>
        <w:t xml:space="preserve"> </w:t>
      </w:r>
      <w:r w:rsidRPr="00396D46">
        <w:rPr>
          <w:rFonts w:ascii="Book Antiqua" w:hAnsi="Book Antiqua"/>
          <w:spacing w:val="-3"/>
          <w:lang w:val="es-PR"/>
        </w:rPr>
        <w:t>La fianza, cuando se requiera</w:t>
      </w:r>
      <w:r w:rsidR="00F373F2">
        <w:rPr>
          <w:rFonts w:ascii="Book Antiqua" w:hAnsi="Book Antiqua"/>
          <w:spacing w:val="-3"/>
          <w:lang w:val="es-PR"/>
        </w:rPr>
        <w:t xml:space="preserve"> </w:t>
      </w:r>
      <w:r w:rsidRPr="00396D46">
        <w:rPr>
          <w:rFonts w:ascii="Book Antiqua" w:hAnsi="Book Antiqua"/>
          <w:spacing w:val="-3"/>
          <w:lang w:val="es-PR"/>
        </w:rPr>
        <w:t>en estos casos, podrá ser admitida por cualquier magistrado, excepto en caso de que se</w:t>
      </w:r>
      <w:r w:rsidR="00F373F2">
        <w:rPr>
          <w:rFonts w:ascii="Book Antiqua" w:hAnsi="Book Antiqua"/>
          <w:spacing w:val="-3"/>
          <w:lang w:val="es-PR"/>
        </w:rPr>
        <w:t xml:space="preserve"> </w:t>
      </w:r>
      <w:r w:rsidR="00647846" w:rsidRPr="00647846">
        <w:rPr>
          <w:rFonts w:ascii="Book Antiqua" w:hAnsi="Book Antiqua"/>
          <w:spacing w:val="-3"/>
          <w:lang w:val="es-PR"/>
        </w:rPr>
        <w:t>determine causa probable para arresto en ausencia del imputado, en cuyo caso la fianza que</w:t>
      </w:r>
      <w:r w:rsidR="00647846">
        <w:rPr>
          <w:rFonts w:ascii="Book Antiqua" w:hAnsi="Book Antiqua"/>
          <w:spacing w:val="-3"/>
          <w:lang w:val="es-PR"/>
        </w:rPr>
        <w:t xml:space="preserve"> </w:t>
      </w:r>
      <w:r w:rsidR="00647846" w:rsidRPr="00647846">
        <w:rPr>
          <w:rFonts w:ascii="Book Antiqua" w:hAnsi="Book Antiqua"/>
          <w:spacing w:val="-3"/>
          <w:lang w:val="es-PR"/>
        </w:rPr>
        <w:t>fije el magistrado sólo podrá ser modificada mediante moción bajo la Regla 218.</w:t>
      </w:r>
      <w:r w:rsidR="00647846">
        <w:rPr>
          <w:rFonts w:ascii="Book Antiqua" w:hAnsi="Book Antiqua"/>
          <w:spacing w:val="-3"/>
          <w:lang w:val="es-PR"/>
        </w:rPr>
        <w:t xml:space="preserve"> </w:t>
      </w:r>
      <w:r w:rsidR="00647846" w:rsidRPr="00647846">
        <w:rPr>
          <w:rFonts w:ascii="Book Antiqua" w:hAnsi="Book Antiqua"/>
          <w:spacing w:val="-3"/>
          <w:lang w:val="es-PR"/>
        </w:rPr>
        <w:t>En todos los casos en que se impute la comisión de los delitos enumerados</w:t>
      </w:r>
      <w:r w:rsidR="00853ED6">
        <w:rPr>
          <w:rFonts w:ascii="Book Antiqua" w:hAnsi="Book Antiqua"/>
          <w:spacing w:val="-3"/>
          <w:lang w:val="es-PR"/>
        </w:rPr>
        <w:t xml:space="preserve"> </w:t>
      </w:r>
      <w:r w:rsidR="00647846" w:rsidRPr="00647846">
        <w:rPr>
          <w:rFonts w:ascii="Book Antiqua" w:hAnsi="Book Antiqua"/>
          <w:spacing w:val="-3"/>
          <w:lang w:val="es-PR"/>
        </w:rPr>
        <w:t>anteriormente, el tribunal contará con el informe de evaluación y recomendación de la Oficina</w:t>
      </w:r>
      <w:r w:rsidR="00647846">
        <w:rPr>
          <w:rFonts w:ascii="Book Antiqua" w:hAnsi="Book Antiqua"/>
          <w:spacing w:val="-3"/>
          <w:lang w:val="es-PR"/>
        </w:rPr>
        <w:t xml:space="preserve"> </w:t>
      </w:r>
      <w:r w:rsidR="00647846" w:rsidRPr="00647846">
        <w:rPr>
          <w:rFonts w:ascii="Book Antiqua" w:hAnsi="Book Antiqua"/>
          <w:spacing w:val="-3"/>
          <w:lang w:val="es-PR"/>
        </w:rPr>
        <w:t>de Servicios con Antelación al Juicio, salvo que no autorizará la fianza diferida.</w:t>
      </w:r>
    </w:p>
    <w:p w14:paraId="1BBFE5ED" w14:textId="537E29BF" w:rsidR="00647846" w:rsidRDefault="00647846" w:rsidP="00647846">
      <w:pPr>
        <w:suppressAutoHyphens/>
        <w:spacing w:line="480" w:lineRule="auto"/>
        <w:jc w:val="both"/>
        <w:rPr>
          <w:rFonts w:ascii="Book Antiqua" w:hAnsi="Book Antiqua"/>
          <w:spacing w:val="-3"/>
          <w:lang w:val="es-PR"/>
        </w:rPr>
      </w:pPr>
      <w:r>
        <w:rPr>
          <w:rFonts w:ascii="Book Antiqua" w:hAnsi="Book Antiqua"/>
          <w:spacing w:val="-3"/>
          <w:lang w:val="es-PR"/>
        </w:rPr>
        <w:t>…”</w:t>
      </w:r>
    </w:p>
    <w:p w14:paraId="64DA5957" w14:textId="57AE07F0" w:rsidR="00D32989" w:rsidRDefault="00D32989" w:rsidP="002B181B">
      <w:pPr>
        <w:suppressAutoHyphens/>
        <w:spacing w:line="480" w:lineRule="auto"/>
        <w:ind w:firstLine="720"/>
        <w:jc w:val="both"/>
        <w:rPr>
          <w:rFonts w:ascii="Book Antiqua" w:hAnsi="Book Antiqua"/>
          <w:spacing w:val="-3"/>
          <w:lang w:val="es-PR"/>
        </w:rPr>
      </w:pPr>
      <w:r>
        <w:rPr>
          <w:rFonts w:ascii="Book Antiqua" w:hAnsi="Book Antiqua"/>
          <w:spacing w:val="-3"/>
          <w:lang w:val="es-PR"/>
        </w:rPr>
        <w:t xml:space="preserve">Artículo </w:t>
      </w:r>
      <w:r w:rsidR="00A7289B">
        <w:rPr>
          <w:rFonts w:ascii="Book Antiqua" w:hAnsi="Book Antiqua"/>
          <w:spacing w:val="-3"/>
          <w:lang w:val="es-PR"/>
        </w:rPr>
        <w:t>8</w:t>
      </w:r>
      <w:r w:rsidR="009F5E7C">
        <w:rPr>
          <w:rFonts w:ascii="Book Antiqua" w:hAnsi="Book Antiqua"/>
          <w:spacing w:val="-3"/>
          <w:lang w:val="es-PR"/>
        </w:rPr>
        <w:t xml:space="preserve">.- Se enmienda la Regla 228 de las Reglas de Procedimiento Criminal, según enmendadas, para que se lea como sigue: </w:t>
      </w:r>
    </w:p>
    <w:p w14:paraId="396570E0" w14:textId="7A7CA46F" w:rsidR="009F5E7C" w:rsidRDefault="009F5E7C" w:rsidP="002B181B">
      <w:pPr>
        <w:suppressAutoHyphens/>
        <w:spacing w:line="480" w:lineRule="auto"/>
        <w:ind w:firstLine="720"/>
        <w:jc w:val="both"/>
        <w:rPr>
          <w:rFonts w:ascii="Book Antiqua" w:hAnsi="Book Antiqua"/>
          <w:spacing w:val="-3"/>
          <w:lang w:val="es-PR"/>
        </w:rPr>
      </w:pPr>
      <w:r>
        <w:rPr>
          <w:rFonts w:ascii="Book Antiqua" w:hAnsi="Book Antiqua"/>
          <w:spacing w:val="-3"/>
          <w:lang w:val="es-PR"/>
        </w:rPr>
        <w:t>“Regla 228</w:t>
      </w:r>
      <w:r w:rsidR="00C06126">
        <w:rPr>
          <w:rFonts w:ascii="Book Antiqua" w:hAnsi="Book Antiqua"/>
          <w:spacing w:val="-3"/>
          <w:lang w:val="es-PR"/>
        </w:rPr>
        <w:t>.-CONDICIONES; FIANZA; ARRESTO DEL ACUSADO.</w:t>
      </w:r>
    </w:p>
    <w:p w14:paraId="03D83012" w14:textId="3F2E38FB" w:rsidR="00F96E52" w:rsidRPr="00F96E52" w:rsidRDefault="00F96E52" w:rsidP="00F96E52">
      <w:pPr>
        <w:suppressAutoHyphens/>
        <w:spacing w:line="480" w:lineRule="auto"/>
        <w:ind w:firstLine="720"/>
        <w:jc w:val="both"/>
        <w:rPr>
          <w:rFonts w:ascii="Book Antiqua" w:hAnsi="Book Antiqua"/>
          <w:spacing w:val="-3"/>
          <w:lang w:val="es-PR"/>
        </w:rPr>
      </w:pPr>
      <w:r w:rsidRPr="00F96E52">
        <w:rPr>
          <w:rFonts w:ascii="Book Antiqua" w:hAnsi="Book Antiqua"/>
          <w:spacing w:val="-3"/>
          <w:lang w:val="es-PR"/>
        </w:rPr>
        <w:t>Se ordenará el arresto del imputado a quien se han impuesto condiciones o que ha prestado</w:t>
      </w:r>
      <w:r>
        <w:rPr>
          <w:rFonts w:ascii="Book Antiqua" w:hAnsi="Book Antiqua"/>
          <w:spacing w:val="-3"/>
          <w:lang w:val="es-PR"/>
        </w:rPr>
        <w:t xml:space="preserve"> </w:t>
      </w:r>
      <w:r w:rsidRPr="00F96E52">
        <w:rPr>
          <w:rFonts w:ascii="Book Antiqua" w:hAnsi="Book Antiqua"/>
          <w:spacing w:val="-3"/>
          <w:lang w:val="es-PR"/>
        </w:rPr>
        <w:t>fianza o hecho depósito en los siguientes casos:</w:t>
      </w:r>
    </w:p>
    <w:p w14:paraId="29A6813D" w14:textId="15E7EDD4" w:rsidR="00F96E52" w:rsidRPr="00F96E52" w:rsidRDefault="00F96E52" w:rsidP="00F96E52">
      <w:pPr>
        <w:suppressAutoHyphens/>
        <w:spacing w:line="480" w:lineRule="auto"/>
        <w:ind w:firstLine="720"/>
        <w:jc w:val="both"/>
        <w:rPr>
          <w:rFonts w:ascii="Book Antiqua" w:hAnsi="Book Antiqua"/>
          <w:spacing w:val="-3"/>
          <w:lang w:val="es-PR"/>
        </w:rPr>
      </w:pPr>
      <w:r w:rsidRPr="00F96E52">
        <w:rPr>
          <w:rFonts w:ascii="Book Antiqua" w:hAnsi="Book Antiqua"/>
          <w:spacing w:val="-3"/>
          <w:lang w:val="es-PR"/>
        </w:rPr>
        <w:t>(a) Cuando se ha violado cualquiera de las condiciones impuestas o de las condiciones de</w:t>
      </w:r>
      <w:r>
        <w:rPr>
          <w:rFonts w:ascii="Book Antiqua" w:hAnsi="Book Antiqua"/>
          <w:spacing w:val="-3"/>
          <w:lang w:val="es-PR"/>
        </w:rPr>
        <w:t xml:space="preserve"> </w:t>
      </w:r>
      <w:r w:rsidRPr="00F96E52">
        <w:rPr>
          <w:rFonts w:ascii="Book Antiqua" w:hAnsi="Book Antiqua"/>
          <w:spacing w:val="-3"/>
          <w:lang w:val="es-PR"/>
        </w:rPr>
        <w:t>la fianza o depósito.</w:t>
      </w:r>
    </w:p>
    <w:p w14:paraId="1277A60D" w14:textId="66D73663" w:rsidR="00F96E52" w:rsidRPr="00F96E52" w:rsidRDefault="00F96E52" w:rsidP="00F96E52">
      <w:pPr>
        <w:suppressAutoHyphens/>
        <w:spacing w:line="480" w:lineRule="auto"/>
        <w:ind w:firstLine="720"/>
        <w:jc w:val="both"/>
        <w:rPr>
          <w:rFonts w:ascii="Book Antiqua" w:hAnsi="Book Antiqua"/>
          <w:spacing w:val="-3"/>
          <w:lang w:val="es-PR"/>
        </w:rPr>
      </w:pPr>
      <w:r w:rsidRPr="00F96E52">
        <w:rPr>
          <w:rFonts w:ascii="Book Antiqua" w:hAnsi="Book Antiqua"/>
          <w:spacing w:val="-3"/>
          <w:lang w:val="es-PR"/>
        </w:rPr>
        <w:lastRenderedPageBreak/>
        <w:t>(b) Cuando los fiadores, o cualquiera de ellos, hayan muerto, o carezcan de responsabilidad</w:t>
      </w:r>
      <w:r>
        <w:rPr>
          <w:rFonts w:ascii="Book Antiqua" w:hAnsi="Book Antiqua"/>
          <w:spacing w:val="-3"/>
          <w:lang w:val="es-PR"/>
        </w:rPr>
        <w:t xml:space="preserve"> </w:t>
      </w:r>
      <w:r w:rsidRPr="00F96E52">
        <w:rPr>
          <w:rFonts w:ascii="Book Antiqua" w:hAnsi="Book Antiqua"/>
          <w:spacing w:val="-3"/>
          <w:lang w:val="es-PR"/>
        </w:rPr>
        <w:t>suficiente, o dejen de residir en Puerto Rico.</w:t>
      </w:r>
    </w:p>
    <w:p w14:paraId="4BBDD7DF" w14:textId="312BA7A0" w:rsidR="00F96E52" w:rsidRPr="00F96E52" w:rsidRDefault="00F96E52" w:rsidP="00F96E52">
      <w:pPr>
        <w:suppressAutoHyphens/>
        <w:spacing w:line="480" w:lineRule="auto"/>
        <w:ind w:firstLine="720"/>
        <w:jc w:val="both"/>
        <w:rPr>
          <w:rFonts w:ascii="Book Antiqua" w:hAnsi="Book Antiqua"/>
          <w:spacing w:val="-3"/>
          <w:lang w:val="es-PR"/>
        </w:rPr>
      </w:pPr>
      <w:r w:rsidRPr="00F96E52">
        <w:rPr>
          <w:rFonts w:ascii="Book Antiqua" w:hAnsi="Book Antiqua"/>
          <w:spacing w:val="-3"/>
          <w:lang w:val="es-PR"/>
        </w:rPr>
        <w:t>(c) Cuando se hayan impuesto condiciones adicionales o se haya aumentado la cuantía de</w:t>
      </w:r>
      <w:r>
        <w:rPr>
          <w:rFonts w:ascii="Book Antiqua" w:hAnsi="Book Antiqua"/>
          <w:spacing w:val="-3"/>
          <w:lang w:val="es-PR"/>
        </w:rPr>
        <w:t xml:space="preserve"> </w:t>
      </w:r>
      <w:r w:rsidRPr="00F96E52">
        <w:rPr>
          <w:rFonts w:ascii="Book Antiqua" w:hAnsi="Book Antiqua"/>
          <w:spacing w:val="-3"/>
          <w:lang w:val="es-PR"/>
        </w:rPr>
        <w:t>la fianza.</w:t>
      </w:r>
    </w:p>
    <w:p w14:paraId="622D7C3F" w14:textId="135058E3" w:rsidR="00F96E52" w:rsidRPr="00F96E52" w:rsidRDefault="00F96E52" w:rsidP="00F96E52">
      <w:pPr>
        <w:suppressAutoHyphens/>
        <w:spacing w:line="480" w:lineRule="auto"/>
        <w:ind w:firstLine="720"/>
        <w:jc w:val="both"/>
        <w:rPr>
          <w:rFonts w:ascii="Book Antiqua" w:hAnsi="Book Antiqua"/>
          <w:spacing w:val="-3"/>
          <w:lang w:val="es-PR"/>
        </w:rPr>
      </w:pPr>
      <w:r w:rsidRPr="00F96E52">
        <w:rPr>
          <w:rFonts w:ascii="Book Antiqua" w:hAnsi="Book Antiqua"/>
          <w:spacing w:val="-3"/>
          <w:lang w:val="es-PR"/>
        </w:rPr>
        <w:t>(d) Cuando se deje sin efecto la orden permitiendo libertad bajo condiciones o fianza en</w:t>
      </w:r>
      <w:r>
        <w:rPr>
          <w:rFonts w:ascii="Book Antiqua" w:hAnsi="Book Antiqua"/>
          <w:spacing w:val="-3"/>
          <w:lang w:val="es-PR"/>
        </w:rPr>
        <w:t xml:space="preserve"> </w:t>
      </w:r>
      <w:r w:rsidRPr="00F96E52">
        <w:rPr>
          <w:rFonts w:ascii="Book Antiqua" w:hAnsi="Book Antiqua"/>
          <w:spacing w:val="-3"/>
          <w:lang w:val="es-PR"/>
        </w:rPr>
        <w:t>apelación ante el Tribunal Supremo.</w:t>
      </w:r>
    </w:p>
    <w:p w14:paraId="6E12C6CD" w14:textId="3E08C1FE" w:rsidR="00F96E52" w:rsidRPr="00A625D1" w:rsidRDefault="00F96E52" w:rsidP="00F96E52">
      <w:pPr>
        <w:suppressAutoHyphens/>
        <w:spacing w:line="480" w:lineRule="auto"/>
        <w:ind w:firstLine="720"/>
        <w:jc w:val="both"/>
        <w:rPr>
          <w:rFonts w:ascii="Book Antiqua" w:hAnsi="Book Antiqua"/>
          <w:b/>
          <w:bCs/>
          <w:spacing w:val="-3"/>
          <w:lang w:val="es-PR"/>
        </w:rPr>
      </w:pPr>
      <w:r w:rsidRPr="00F96E52">
        <w:rPr>
          <w:rFonts w:ascii="Book Antiqua" w:hAnsi="Book Antiqua"/>
          <w:spacing w:val="-3"/>
          <w:lang w:val="es-PR"/>
        </w:rPr>
        <w:t>De configurarse el escenario contemplado en el inciso (a) o en el inciso (c), el tribunal ordenará</w:t>
      </w:r>
      <w:r>
        <w:rPr>
          <w:rFonts w:ascii="Book Antiqua" w:hAnsi="Book Antiqua"/>
          <w:spacing w:val="-3"/>
          <w:lang w:val="es-PR"/>
        </w:rPr>
        <w:t xml:space="preserve"> </w:t>
      </w:r>
      <w:r w:rsidRPr="00F96E52">
        <w:rPr>
          <w:rFonts w:ascii="Book Antiqua" w:hAnsi="Book Antiqua"/>
          <w:spacing w:val="-3"/>
          <w:lang w:val="es-PR"/>
        </w:rPr>
        <w:t>inmediatamente el arresto del imputado, revocará definitivamente la fianza y ordenará su</w:t>
      </w:r>
      <w:r>
        <w:rPr>
          <w:rFonts w:ascii="Book Antiqua" w:hAnsi="Book Antiqua"/>
          <w:spacing w:val="-3"/>
          <w:lang w:val="es-PR"/>
        </w:rPr>
        <w:t xml:space="preserve"> </w:t>
      </w:r>
      <w:r w:rsidRPr="00F96E52">
        <w:rPr>
          <w:rFonts w:ascii="Book Antiqua" w:hAnsi="Book Antiqua"/>
          <w:spacing w:val="-3"/>
          <w:lang w:val="es-PR"/>
        </w:rPr>
        <w:t>encarcelamiento hasta que se emita el fallo correspondiente, sujeto a los términos de juicio rápido,</w:t>
      </w:r>
      <w:r>
        <w:rPr>
          <w:rFonts w:ascii="Book Antiqua" w:hAnsi="Book Antiqua"/>
          <w:spacing w:val="-3"/>
          <w:lang w:val="es-PR"/>
        </w:rPr>
        <w:t xml:space="preserve"> </w:t>
      </w:r>
      <w:r w:rsidRPr="00F96E52">
        <w:rPr>
          <w:rFonts w:ascii="Book Antiqua" w:hAnsi="Book Antiqua"/>
          <w:spacing w:val="-3"/>
          <w:lang w:val="es-PR"/>
        </w:rPr>
        <w:t>si la condición que se incumple es cualquiera de las contempladas en las cláusulas (2), (5) y (6)</w:t>
      </w:r>
      <w:r>
        <w:rPr>
          <w:rFonts w:ascii="Book Antiqua" w:hAnsi="Book Antiqua"/>
          <w:spacing w:val="-3"/>
          <w:lang w:val="es-PR"/>
        </w:rPr>
        <w:t xml:space="preserve"> </w:t>
      </w:r>
      <w:r w:rsidRPr="00F96E52">
        <w:rPr>
          <w:rFonts w:ascii="Book Antiqua" w:hAnsi="Book Antiqua"/>
          <w:spacing w:val="-3"/>
          <w:lang w:val="es-PR"/>
        </w:rPr>
        <w:t>del inciso (c) de la Regla 218 o la condición de permanecer bajo supervisión electrónica de la</w:t>
      </w:r>
      <w:r w:rsidR="00643733">
        <w:rPr>
          <w:rFonts w:ascii="Book Antiqua" w:hAnsi="Book Antiqua"/>
          <w:spacing w:val="-3"/>
          <w:lang w:val="es-PR"/>
        </w:rPr>
        <w:t xml:space="preserve"> </w:t>
      </w:r>
      <w:r w:rsidRPr="00F96E52">
        <w:rPr>
          <w:rFonts w:ascii="Book Antiqua" w:hAnsi="Book Antiqua"/>
          <w:spacing w:val="-3"/>
          <w:lang w:val="es-PR"/>
        </w:rPr>
        <w:t>Oficina de Servicios con Antelación al Juicio. Estos incumplimientos darán lugar a las</w:t>
      </w:r>
      <w:r w:rsidR="00643733">
        <w:rPr>
          <w:rFonts w:ascii="Book Antiqua" w:hAnsi="Book Antiqua"/>
          <w:spacing w:val="-3"/>
          <w:lang w:val="es-PR"/>
        </w:rPr>
        <w:t xml:space="preserve"> </w:t>
      </w:r>
      <w:r w:rsidRPr="00F96E52">
        <w:rPr>
          <w:rFonts w:ascii="Book Antiqua" w:hAnsi="Book Antiqua"/>
          <w:spacing w:val="-3"/>
          <w:lang w:val="es-PR"/>
        </w:rPr>
        <w:t xml:space="preserve">consecuencias señaladas cuando quien los comete sea un imputado de cualquiera de las </w:t>
      </w:r>
      <w:r w:rsidR="00643733" w:rsidRPr="00A625D1">
        <w:rPr>
          <w:rFonts w:ascii="Book Antiqua" w:hAnsi="Book Antiqua"/>
          <w:b/>
          <w:bCs/>
          <w:spacing w:val="-3"/>
          <w:lang w:val="es-PR"/>
        </w:rPr>
        <w:t>[</w:t>
      </w:r>
      <w:r w:rsidRPr="00A625D1">
        <w:rPr>
          <w:rFonts w:ascii="Book Antiqua" w:hAnsi="Book Antiqua"/>
          <w:b/>
          <w:bCs/>
          <w:spacing w:val="-3"/>
          <w:lang w:val="es-PR"/>
        </w:rPr>
        <w:t>siguientes</w:t>
      </w:r>
      <w:r w:rsidR="00643733" w:rsidRPr="00A625D1">
        <w:rPr>
          <w:rFonts w:ascii="Book Antiqua" w:hAnsi="Book Antiqua"/>
          <w:b/>
          <w:bCs/>
          <w:spacing w:val="-3"/>
          <w:lang w:val="es-PR"/>
        </w:rPr>
        <w:t xml:space="preserve"> </w:t>
      </w:r>
      <w:r w:rsidRPr="00A625D1">
        <w:rPr>
          <w:rFonts w:ascii="Book Antiqua" w:hAnsi="Book Antiqua"/>
          <w:b/>
          <w:bCs/>
          <w:spacing w:val="-3"/>
          <w:lang w:val="es-PR"/>
        </w:rPr>
        <w:t>conductas delictivas:</w:t>
      </w:r>
    </w:p>
    <w:p w14:paraId="61618854" w14:textId="77777777" w:rsidR="00F96E52" w:rsidRPr="00A625D1" w:rsidRDefault="00F96E52" w:rsidP="00F96E52">
      <w:pPr>
        <w:suppressAutoHyphens/>
        <w:spacing w:line="480" w:lineRule="auto"/>
        <w:ind w:firstLine="720"/>
        <w:jc w:val="both"/>
        <w:rPr>
          <w:rFonts w:ascii="Book Antiqua" w:hAnsi="Book Antiqua"/>
          <w:b/>
          <w:bCs/>
          <w:spacing w:val="-3"/>
          <w:lang w:val="es-PR"/>
        </w:rPr>
      </w:pPr>
      <w:r w:rsidRPr="00A625D1">
        <w:rPr>
          <w:rFonts w:ascii="Book Antiqua" w:hAnsi="Book Antiqua"/>
          <w:b/>
          <w:bCs/>
          <w:spacing w:val="-3"/>
          <w:lang w:val="es-PR"/>
        </w:rPr>
        <w:t>(1) Asesinato en todas sus modalidades.</w:t>
      </w:r>
    </w:p>
    <w:p w14:paraId="75B7E10B" w14:textId="77777777" w:rsidR="00F96E52" w:rsidRPr="00A625D1" w:rsidRDefault="00F96E52" w:rsidP="00F96E52">
      <w:pPr>
        <w:suppressAutoHyphens/>
        <w:spacing w:line="480" w:lineRule="auto"/>
        <w:ind w:firstLine="720"/>
        <w:jc w:val="both"/>
        <w:rPr>
          <w:rFonts w:ascii="Book Antiqua" w:hAnsi="Book Antiqua"/>
          <w:b/>
          <w:bCs/>
          <w:spacing w:val="-3"/>
          <w:lang w:val="es-PR"/>
        </w:rPr>
      </w:pPr>
      <w:r w:rsidRPr="00A625D1">
        <w:rPr>
          <w:rFonts w:ascii="Book Antiqua" w:hAnsi="Book Antiqua"/>
          <w:b/>
          <w:bCs/>
          <w:spacing w:val="-3"/>
          <w:lang w:val="es-PR"/>
        </w:rPr>
        <w:t>(2) Robo de vehículo de motor a mano armada.</w:t>
      </w:r>
    </w:p>
    <w:p w14:paraId="2A415DBB" w14:textId="77777777" w:rsidR="00F96E52" w:rsidRPr="00A625D1" w:rsidRDefault="00F96E52" w:rsidP="00F96E52">
      <w:pPr>
        <w:suppressAutoHyphens/>
        <w:spacing w:line="480" w:lineRule="auto"/>
        <w:ind w:firstLine="720"/>
        <w:jc w:val="both"/>
        <w:rPr>
          <w:rFonts w:ascii="Book Antiqua" w:hAnsi="Book Antiqua"/>
          <w:b/>
          <w:bCs/>
          <w:spacing w:val="-3"/>
          <w:lang w:val="es-PR"/>
        </w:rPr>
      </w:pPr>
      <w:r w:rsidRPr="00A625D1">
        <w:rPr>
          <w:rFonts w:ascii="Book Antiqua" w:hAnsi="Book Antiqua"/>
          <w:b/>
          <w:bCs/>
          <w:spacing w:val="-3"/>
          <w:lang w:val="es-PR"/>
        </w:rPr>
        <w:t>(3) Robo agravado.</w:t>
      </w:r>
    </w:p>
    <w:p w14:paraId="28B596CB" w14:textId="77777777" w:rsidR="00F96E52" w:rsidRPr="00A625D1" w:rsidRDefault="00F96E52" w:rsidP="00F96E52">
      <w:pPr>
        <w:suppressAutoHyphens/>
        <w:spacing w:line="480" w:lineRule="auto"/>
        <w:ind w:firstLine="720"/>
        <w:jc w:val="both"/>
        <w:rPr>
          <w:rFonts w:ascii="Book Antiqua" w:hAnsi="Book Antiqua"/>
          <w:b/>
          <w:bCs/>
          <w:spacing w:val="-3"/>
          <w:lang w:val="es-PR"/>
        </w:rPr>
      </w:pPr>
      <w:r w:rsidRPr="00A625D1">
        <w:rPr>
          <w:rFonts w:ascii="Book Antiqua" w:hAnsi="Book Antiqua"/>
          <w:b/>
          <w:bCs/>
          <w:spacing w:val="-3"/>
          <w:lang w:val="es-PR"/>
        </w:rPr>
        <w:t>(4) Secuestro agravado y secuestro de menores.</w:t>
      </w:r>
    </w:p>
    <w:p w14:paraId="5966A4A3" w14:textId="77777777" w:rsidR="00F96E52" w:rsidRPr="00A625D1" w:rsidRDefault="00F96E52" w:rsidP="00F96E52">
      <w:pPr>
        <w:suppressAutoHyphens/>
        <w:spacing w:line="480" w:lineRule="auto"/>
        <w:ind w:firstLine="720"/>
        <w:jc w:val="both"/>
        <w:rPr>
          <w:rFonts w:ascii="Book Antiqua" w:hAnsi="Book Antiqua"/>
          <w:b/>
          <w:bCs/>
          <w:spacing w:val="-3"/>
          <w:lang w:val="es-PR"/>
        </w:rPr>
      </w:pPr>
      <w:r w:rsidRPr="00A625D1">
        <w:rPr>
          <w:rFonts w:ascii="Book Antiqua" w:hAnsi="Book Antiqua"/>
          <w:b/>
          <w:bCs/>
          <w:spacing w:val="-3"/>
          <w:lang w:val="es-PR"/>
        </w:rPr>
        <w:t>(5) Agresión sexual.</w:t>
      </w:r>
    </w:p>
    <w:p w14:paraId="4880D9C9" w14:textId="1009E3E8" w:rsidR="00F96E52" w:rsidRPr="00643733" w:rsidRDefault="00F96E52" w:rsidP="00F96E52">
      <w:pPr>
        <w:suppressAutoHyphens/>
        <w:spacing w:line="480" w:lineRule="auto"/>
        <w:ind w:firstLine="720"/>
        <w:jc w:val="both"/>
        <w:rPr>
          <w:rFonts w:ascii="Book Antiqua" w:hAnsi="Book Antiqua"/>
          <w:i/>
          <w:iCs/>
          <w:spacing w:val="-3"/>
          <w:lang w:val="es-PR"/>
        </w:rPr>
      </w:pPr>
      <w:r w:rsidRPr="00A625D1">
        <w:rPr>
          <w:rFonts w:ascii="Book Antiqua" w:hAnsi="Book Antiqua"/>
          <w:b/>
          <w:bCs/>
          <w:spacing w:val="-3"/>
          <w:lang w:val="es-PR"/>
        </w:rPr>
        <w:t>(6) Violación a la Ley Núm. 54 de 15 de agosto de 1989, según enmendada, conocida como</w:t>
      </w:r>
      <w:r w:rsidR="00643733" w:rsidRPr="00A625D1">
        <w:rPr>
          <w:rFonts w:ascii="Book Antiqua" w:hAnsi="Book Antiqua"/>
          <w:b/>
          <w:bCs/>
          <w:spacing w:val="-3"/>
          <w:lang w:val="es-PR"/>
        </w:rPr>
        <w:t xml:space="preserve"> </w:t>
      </w:r>
      <w:r w:rsidRPr="00A625D1">
        <w:rPr>
          <w:rFonts w:ascii="Book Antiqua" w:hAnsi="Book Antiqua"/>
          <w:b/>
          <w:bCs/>
          <w:spacing w:val="-3"/>
          <w:lang w:val="es-PR"/>
        </w:rPr>
        <w:t>“Ley para la Prevención e Intervención con la Violencia Doméstica” que implique</w:t>
      </w:r>
      <w:r w:rsidR="00643733" w:rsidRPr="00A625D1">
        <w:rPr>
          <w:rFonts w:ascii="Book Antiqua" w:hAnsi="Book Antiqua"/>
          <w:b/>
          <w:bCs/>
          <w:spacing w:val="-3"/>
          <w:lang w:val="es-PR"/>
        </w:rPr>
        <w:t xml:space="preserve"> </w:t>
      </w:r>
      <w:r w:rsidRPr="00A625D1">
        <w:rPr>
          <w:rFonts w:ascii="Book Antiqua" w:hAnsi="Book Antiqua"/>
          <w:b/>
          <w:bCs/>
          <w:spacing w:val="-3"/>
          <w:lang w:val="es-PR"/>
        </w:rPr>
        <w:lastRenderedPageBreak/>
        <w:t>grave daño corporal.</w:t>
      </w:r>
      <w:r w:rsidR="00643733" w:rsidRPr="00A625D1">
        <w:rPr>
          <w:rFonts w:ascii="Book Antiqua" w:hAnsi="Book Antiqua"/>
          <w:b/>
          <w:bCs/>
          <w:spacing w:val="-3"/>
          <w:lang w:val="es-PR"/>
        </w:rPr>
        <w:t>]</w:t>
      </w:r>
      <w:r w:rsidR="00643733">
        <w:rPr>
          <w:rFonts w:ascii="Book Antiqua" w:hAnsi="Book Antiqua"/>
          <w:spacing w:val="-3"/>
          <w:lang w:val="es-PR"/>
        </w:rPr>
        <w:t xml:space="preserve"> </w:t>
      </w:r>
      <w:r w:rsidR="00643733">
        <w:rPr>
          <w:rFonts w:ascii="Book Antiqua" w:hAnsi="Book Antiqua"/>
          <w:i/>
          <w:iCs/>
          <w:spacing w:val="-3"/>
          <w:lang w:val="es-PR"/>
        </w:rPr>
        <w:t xml:space="preserve">conductas delictivas </w:t>
      </w:r>
      <w:r w:rsidR="00AC4491">
        <w:rPr>
          <w:rFonts w:ascii="Book Antiqua" w:hAnsi="Book Antiqua"/>
          <w:i/>
          <w:iCs/>
          <w:spacing w:val="-3"/>
          <w:lang w:val="es-PR"/>
        </w:rPr>
        <w:t xml:space="preserve">especificadas </w:t>
      </w:r>
      <w:r w:rsidR="00643733">
        <w:rPr>
          <w:rFonts w:ascii="Book Antiqua" w:hAnsi="Book Antiqua"/>
          <w:i/>
          <w:iCs/>
          <w:spacing w:val="-3"/>
          <w:lang w:val="es-PR"/>
        </w:rPr>
        <w:t xml:space="preserve">en el Artículo 4 de la </w:t>
      </w:r>
      <w:r w:rsidR="00643733" w:rsidRPr="00643733">
        <w:rPr>
          <w:rFonts w:ascii="Book Antiqua" w:hAnsi="Book Antiqua"/>
          <w:i/>
          <w:iCs/>
          <w:spacing w:val="-3"/>
          <w:lang w:val="es-PR"/>
        </w:rPr>
        <w:t>"Ley de Fianza Segura"</w:t>
      </w:r>
      <w:r w:rsidR="00AB635B">
        <w:rPr>
          <w:rFonts w:ascii="Book Antiqua" w:hAnsi="Book Antiqua"/>
          <w:i/>
          <w:iCs/>
          <w:spacing w:val="-3"/>
          <w:lang w:val="es-PR"/>
        </w:rPr>
        <w:t>.</w:t>
      </w:r>
    </w:p>
    <w:p w14:paraId="4E2C2DB4" w14:textId="135587C9" w:rsidR="00F96E52" w:rsidRDefault="00F96E52" w:rsidP="00F96E52">
      <w:pPr>
        <w:suppressAutoHyphens/>
        <w:spacing w:line="480" w:lineRule="auto"/>
        <w:ind w:firstLine="720"/>
        <w:jc w:val="both"/>
        <w:rPr>
          <w:rFonts w:ascii="Book Antiqua" w:hAnsi="Book Antiqua"/>
          <w:spacing w:val="-3"/>
          <w:lang w:val="es-PR"/>
        </w:rPr>
      </w:pPr>
      <w:r w:rsidRPr="00F96E52">
        <w:rPr>
          <w:rFonts w:ascii="Book Antiqua" w:hAnsi="Book Antiqua"/>
          <w:spacing w:val="-3"/>
          <w:lang w:val="es-PR"/>
        </w:rPr>
        <w:t>En las situaciones antes indicadas, una vez el tribunal ordena el arresto y éste es diligenciado,</w:t>
      </w:r>
      <w:r w:rsidR="00AB635B">
        <w:rPr>
          <w:rFonts w:ascii="Book Antiqua" w:hAnsi="Book Antiqua"/>
          <w:spacing w:val="-3"/>
          <w:lang w:val="es-PR"/>
        </w:rPr>
        <w:t xml:space="preserve"> </w:t>
      </w:r>
      <w:r w:rsidRPr="00F96E52">
        <w:rPr>
          <w:rFonts w:ascii="Book Antiqua" w:hAnsi="Book Antiqua"/>
          <w:spacing w:val="-3"/>
          <w:lang w:val="es-PR"/>
        </w:rPr>
        <w:t>la persona permanecerá detenida hasta que se celebre una vista en la cual se determinará si las</w:t>
      </w:r>
      <w:r w:rsidR="00AB635B">
        <w:rPr>
          <w:rFonts w:ascii="Book Antiqua" w:hAnsi="Book Antiqua"/>
          <w:spacing w:val="-3"/>
          <w:lang w:val="es-PR"/>
        </w:rPr>
        <w:t xml:space="preserve"> </w:t>
      </w:r>
      <w:r w:rsidRPr="00F96E52">
        <w:rPr>
          <w:rFonts w:ascii="Book Antiqua" w:hAnsi="Book Antiqua"/>
          <w:spacing w:val="-3"/>
          <w:lang w:val="es-PR"/>
        </w:rPr>
        <w:t>condiciones de la fianza fueron violentadas. La vista deberá celebrarse en un período de cuarenta</w:t>
      </w:r>
      <w:r w:rsidR="00AB635B">
        <w:rPr>
          <w:rFonts w:ascii="Book Antiqua" w:hAnsi="Book Antiqua"/>
          <w:spacing w:val="-3"/>
          <w:lang w:val="es-PR"/>
        </w:rPr>
        <w:t xml:space="preserve"> </w:t>
      </w:r>
      <w:r w:rsidRPr="00F96E52">
        <w:rPr>
          <w:rFonts w:ascii="Book Antiqua" w:hAnsi="Book Antiqua"/>
          <w:spacing w:val="-3"/>
          <w:lang w:val="es-PR"/>
        </w:rPr>
        <w:t>y ocho (48) horas; este término podrá extenderse a solicitud de la defensa</w:t>
      </w:r>
      <w:r w:rsidR="00AB635B">
        <w:rPr>
          <w:rFonts w:ascii="Book Antiqua" w:hAnsi="Book Antiqua"/>
          <w:spacing w:val="-3"/>
          <w:lang w:val="es-PR"/>
        </w:rPr>
        <w:t>.</w:t>
      </w:r>
    </w:p>
    <w:p w14:paraId="20EE86AD" w14:textId="7B872447" w:rsidR="00AB635B" w:rsidRDefault="00AB635B" w:rsidP="00F96E52">
      <w:pPr>
        <w:suppressAutoHyphens/>
        <w:spacing w:line="480" w:lineRule="auto"/>
        <w:ind w:firstLine="720"/>
        <w:jc w:val="both"/>
        <w:rPr>
          <w:rFonts w:ascii="Book Antiqua" w:hAnsi="Book Antiqua"/>
          <w:spacing w:val="-3"/>
          <w:lang w:val="es-PR"/>
        </w:rPr>
      </w:pPr>
      <w:r>
        <w:rPr>
          <w:rFonts w:ascii="Book Antiqua" w:hAnsi="Book Antiqua"/>
          <w:spacing w:val="-3"/>
          <w:lang w:val="es-PR"/>
        </w:rPr>
        <w:t>…”</w:t>
      </w:r>
    </w:p>
    <w:p w14:paraId="49A61721" w14:textId="56FBA84D" w:rsidR="00A7289B" w:rsidRDefault="00A7289B" w:rsidP="00A7289B">
      <w:pPr>
        <w:suppressAutoHyphens/>
        <w:spacing w:line="480" w:lineRule="auto"/>
        <w:ind w:firstLine="720"/>
        <w:jc w:val="both"/>
        <w:rPr>
          <w:rFonts w:ascii="Book Antiqua" w:hAnsi="Book Antiqua"/>
          <w:spacing w:val="-3"/>
          <w:lang w:val="es-PR"/>
        </w:rPr>
      </w:pPr>
      <w:r w:rsidRPr="009746E6">
        <w:rPr>
          <w:rFonts w:ascii="Book Antiqua" w:hAnsi="Book Antiqua"/>
          <w:spacing w:val="-3"/>
          <w:lang w:val="es-PR"/>
        </w:rPr>
        <w:t xml:space="preserve">Artículo </w:t>
      </w:r>
      <w:r>
        <w:rPr>
          <w:rFonts w:ascii="Book Antiqua" w:hAnsi="Book Antiqua"/>
          <w:spacing w:val="-3"/>
          <w:lang w:val="es-PR"/>
        </w:rPr>
        <w:t>9</w:t>
      </w:r>
      <w:r w:rsidRPr="009746E6">
        <w:rPr>
          <w:rFonts w:ascii="Book Antiqua" w:hAnsi="Book Antiqua"/>
          <w:spacing w:val="-3"/>
          <w:lang w:val="es-PR"/>
        </w:rPr>
        <w:t xml:space="preserve">.- </w:t>
      </w:r>
      <w:r w:rsidRPr="00E75E17">
        <w:rPr>
          <w:rFonts w:ascii="Book Antiqua" w:hAnsi="Book Antiqua"/>
          <w:spacing w:val="-3"/>
          <w:lang w:val="es-PR"/>
        </w:rPr>
        <w:t>Implementación, Supervisión y Revisión.</w:t>
      </w:r>
    </w:p>
    <w:p w14:paraId="7A6E51D7" w14:textId="77777777" w:rsidR="00A7289B" w:rsidRDefault="00A7289B" w:rsidP="00A7289B">
      <w:pPr>
        <w:suppressAutoHyphens/>
        <w:spacing w:line="480" w:lineRule="auto"/>
        <w:ind w:firstLine="720"/>
        <w:jc w:val="both"/>
        <w:rPr>
          <w:rFonts w:ascii="Book Antiqua" w:hAnsi="Book Antiqua"/>
          <w:spacing w:val="-3"/>
          <w:lang w:val="es-PR"/>
        </w:rPr>
      </w:pPr>
      <w:r>
        <w:rPr>
          <w:rFonts w:ascii="Book Antiqua" w:hAnsi="Book Antiqua"/>
          <w:spacing w:val="-3"/>
          <w:lang w:val="es-PR"/>
        </w:rPr>
        <w:t>L</w:t>
      </w:r>
      <w:r w:rsidRPr="00687FA8">
        <w:rPr>
          <w:rFonts w:ascii="Book Antiqua" w:hAnsi="Book Antiqua"/>
          <w:spacing w:val="-3"/>
          <w:lang w:val="es-PR"/>
        </w:rPr>
        <w:t xml:space="preserve">a Oficina de Administración de los Tribunales, deberá: </w:t>
      </w:r>
    </w:p>
    <w:p w14:paraId="02A2B3A2" w14:textId="77777777" w:rsidR="00A7289B" w:rsidRDefault="00A7289B" w:rsidP="00A7289B">
      <w:pPr>
        <w:suppressAutoHyphens/>
        <w:spacing w:line="480" w:lineRule="auto"/>
        <w:ind w:firstLine="720"/>
        <w:jc w:val="both"/>
        <w:rPr>
          <w:rFonts w:ascii="Book Antiqua" w:hAnsi="Book Antiqua"/>
          <w:spacing w:val="-3"/>
          <w:lang w:val="es-PR"/>
        </w:rPr>
      </w:pPr>
      <w:r w:rsidRPr="00687FA8">
        <w:rPr>
          <w:rFonts w:ascii="Book Antiqua" w:hAnsi="Book Antiqua"/>
          <w:spacing w:val="-3"/>
          <w:lang w:val="es-PR"/>
        </w:rPr>
        <w:t xml:space="preserve">(a) Publicar, dentro de los noventa (90) días siguientes a la vigencia de esta Ley, un compendio de </w:t>
      </w:r>
      <w:r>
        <w:rPr>
          <w:rFonts w:ascii="Book Antiqua" w:hAnsi="Book Antiqua"/>
          <w:spacing w:val="-3"/>
          <w:lang w:val="es-PR"/>
        </w:rPr>
        <w:t xml:space="preserve">los </w:t>
      </w:r>
      <w:r w:rsidRPr="00687FA8">
        <w:rPr>
          <w:rFonts w:ascii="Book Antiqua" w:hAnsi="Book Antiqua"/>
          <w:spacing w:val="-3"/>
          <w:lang w:val="es-PR"/>
        </w:rPr>
        <w:t xml:space="preserve">delitos comunes con sus cuantías mínimas correspondientes, como guía administrativa de referencia judicial; </w:t>
      </w:r>
    </w:p>
    <w:p w14:paraId="08384D1B" w14:textId="77777777" w:rsidR="00A7289B" w:rsidRDefault="00A7289B" w:rsidP="00A7289B">
      <w:pPr>
        <w:suppressAutoHyphens/>
        <w:spacing w:line="480" w:lineRule="auto"/>
        <w:ind w:firstLine="720"/>
        <w:jc w:val="both"/>
        <w:rPr>
          <w:rFonts w:ascii="Book Antiqua" w:hAnsi="Book Antiqua"/>
          <w:spacing w:val="-3"/>
          <w:lang w:val="es-PR"/>
        </w:rPr>
      </w:pPr>
      <w:r w:rsidRPr="00687FA8">
        <w:rPr>
          <w:rFonts w:ascii="Book Antiqua" w:hAnsi="Book Antiqua"/>
          <w:spacing w:val="-3"/>
          <w:lang w:val="es-PR"/>
        </w:rPr>
        <w:t xml:space="preserve">(b) </w:t>
      </w:r>
      <w:r>
        <w:rPr>
          <w:rFonts w:ascii="Book Antiqua" w:hAnsi="Book Antiqua"/>
          <w:spacing w:val="-3"/>
          <w:lang w:val="es-PR"/>
        </w:rPr>
        <w:t>C</w:t>
      </w:r>
      <w:r w:rsidRPr="00687FA8">
        <w:rPr>
          <w:rFonts w:ascii="Book Antiqua" w:hAnsi="Book Antiqua"/>
          <w:spacing w:val="-3"/>
          <w:lang w:val="es-PR"/>
        </w:rPr>
        <w:t>omo parte de su Informe Anual a la Asamblea Legislativa</w:t>
      </w:r>
      <w:r>
        <w:rPr>
          <w:rFonts w:ascii="Book Antiqua" w:hAnsi="Book Antiqua"/>
          <w:spacing w:val="-3"/>
          <w:lang w:val="es-PR"/>
        </w:rPr>
        <w:t>, incluir</w:t>
      </w:r>
      <w:r w:rsidRPr="00687FA8">
        <w:rPr>
          <w:rFonts w:ascii="Book Antiqua" w:hAnsi="Book Antiqua"/>
          <w:spacing w:val="-3"/>
          <w:lang w:val="es-PR"/>
        </w:rPr>
        <w:t xml:space="preserve"> una sección dedicada al análisis estadístico del uso de estas guías, </w:t>
      </w:r>
      <w:r>
        <w:rPr>
          <w:rFonts w:ascii="Book Antiqua" w:hAnsi="Book Antiqua"/>
          <w:spacing w:val="-3"/>
          <w:lang w:val="es-PR"/>
        </w:rPr>
        <w:t>con el detalle d</w:t>
      </w:r>
      <w:r w:rsidRPr="00687FA8">
        <w:rPr>
          <w:rFonts w:ascii="Book Antiqua" w:hAnsi="Book Antiqua"/>
          <w:spacing w:val="-3"/>
          <w:lang w:val="es-PR"/>
        </w:rPr>
        <w:t>el número de casos en que se impusieron fianzas inferiores, las razones fundadas</w:t>
      </w:r>
      <w:r>
        <w:rPr>
          <w:rFonts w:ascii="Book Antiqua" w:hAnsi="Book Antiqua"/>
          <w:spacing w:val="-3"/>
          <w:lang w:val="es-PR"/>
        </w:rPr>
        <w:t xml:space="preserve"> para ello</w:t>
      </w:r>
      <w:r w:rsidRPr="00687FA8">
        <w:rPr>
          <w:rFonts w:ascii="Book Antiqua" w:hAnsi="Book Antiqua"/>
          <w:spacing w:val="-3"/>
          <w:lang w:val="es-PR"/>
        </w:rPr>
        <w:t xml:space="preserve"> y cualquier recomendación institucional para su revisión; </w:t>
      </w:r>
    </w:p>
    <w:p w14:paraId="7947B534" w14:textId="3C04337E" w:rsidR="00A7289B" w:rsidRDefault="00A7289B" w:rsidP="00A7289B">
      <w:pPr>
        <w:suppressAutoHyphens/>
        <w:spacing w:line="480" w:lineRule="auto"/>
        <w:ind w:firstLine="720"/>
        <w:jc w:val="both"/>
        <w:rPr>
          <w:rFonts w:ascii="Book Antiqua" w:hAnsi="Book Antiqua"/>
          <w:spacing w:val="-3"/>
          <w:lang w:val="es-PR"/>
        </w:rPr>
      </w:pPr>
      <w:r w:rsidRPr="00687FA8">
        <w:rPr>
          <w:rFonts w:ascii="Book Antiqua" w:hAnsi="Book Antiqua"/>
          <w:spacing w:val="-3"/>
          <w:lang w:val="es-PR"/>
        </w:rPr>
        <w:t>(c) Coordinar adiestramientos para jueces y funcionarios pertinentes sobre la aplicación efectiva y constitucional de esta Ley.</w:t>
      </w:r>
    </w:p>
    <w:p w14:paraId="2C55CF3A" w14:textId="402088D2" w:rsidR="00FC671D" w:rsidRDefault="00DF7351" w:rsidP="002B181B">
      <w:pPr>
        <w:suppressAutoHyphens/>
        <w:spacing w:line="480" w:lineRule="auto"/>
        <w:ind w:firstLine="720"/>
        <w:jc w:val="both"/>
        <w:rPr>
          <w:rFonts w:ascii="Book Antiqua" w:hAnsi="Book Antiqua"/>
          <w:spacing w:val="-3"/>
          <w:lang w:val="es-PR"/>
        </w:rPr>
      </w:pPr>
      <w:r>
        <w:rPr>
          <w:rFonts w:ascii="Book Antiqua" w:hAnsi="Book Antiqua"/>
          <w:spacing w:val="-3"/>
          <w:lang w:val="es-PR"/>
        </w:rPr>
        <w:t>Artículo 10.-</w:t>
      </w:r>
      <w:r w:rsidR="00FC671D">
        <w:rPr>
          <w:rFonts w:ascii="Book Antiqua" w:hAnsi="Book Antiqua"/>
          <w:spacing w:val="-3"/>
          <w:lang w:val="es-PR"/>
        </w:rPr>
        <w:t xml:space="preserve">Prohibición de diferimiento </w:t>
      </w:r>
      <w:r w:rsidR="00B8278F">
        <w:rPr>
          <w:rFonts w:ascii="Book Antiqua" w:hAnsi="Book Antiqua"/>
          <w:spacing w:val="-3"/>
          <w:lang w:val="es-PR"/>
        </w:rPr>
        <w:t>o</w:t>
      </w:r>
      <w:r w:rsidR="00FC671D">
        <w:rPr>
          <w:rFonts w:ascii="Book Antiqua" w:hAnsi="Book Antiqua"/>
          <w:spacing w:val="-3"/>
          <w:lang w:val="es-PR"/>
        </w:rPr>
        <w:t xml:space="preserve"> pago parcial</w:t>
      </w:r>
      <w:r w:rsidR="00FC2737">
        <w:rPr>
          <w:rFonts w:ascii="Book Antiqua" w:hAnsi="Book Antiqua"/>
          <w:spacing w:val="-3"/>
          <w:lang w:val="es-PR"/>
        </w:rPr>
        <w:t>.</w:t>
      </w:r>
    </w:p>
    <w:p w14:paraId="52AE5C43" w14:textId="47C29BD6" w:rsidR="004C1C7C" w:rsidRPr="00687FA8" w:rsidRDefault="004C1C7C" w:rsidP="002B181B">
      <w:pPr>
        <w:suppressAutoHyphens/>
        <w:spacing w:line="480" w:lineRule="auto"/>
        <w:ind w:firstLine="720"/>
        <w:jc w:val="both"/>
        <w:rPr>
          <w:rFonts w:ascii="Book Antiqua" w:hAnsi="Book Antiqua"/>
          <w:spacing w:val="-3"/>
          <w:lang w:val="es-PR"/>
        </w:rPr>
      </w:pPr>
      <w:r w:rsidRPr="00DD6B75">
        <w:rPr>
          <w:rFonts w:ascii="Book Antiqua" w:hAnsi="Book Antiqua"/>
          <w:spacing w:val="-3"/>
          <w:lang w:val="es-PR"/>
        </w:rPr>
        <w:lastRenderedPageBreak/>
        <w:t>La cuantía de la fianza</w:t>
      </w:r>
      <w:r w:rsidR="00DD6D60">
        <w:rPr>
          <w:rFonts w:ascii="Book Antiqua" w:hAnsi="Book Antiqua"/>
          <w:spacing w:val="-3"/>
          <w:lang w:val="es-PR"/>
        </w:rPr>
        <w:t xml:space="preserve"> impuesta, siguiendo los procedimientos establecidos en </w:t>
      </w:r>
      <w:r w:rsidRPr="00DD6B75">
        <w:rPr>
          <w:rFonts w:ascii="Book Antiqua" w:hAnsi="Book Antiqua"/>
          <w:spacing w:val="-3"/>
          <w:lang w:val="es-PR"/>
        </w:rPr>
        <w:t>esta Ley no podrá ser diferida ni sustituida por la Oficina de Servicios con Antelación al Juicio, ni podrá ser cubierta mediante pago parcial del diez por ciento (10%), salvo que así se disponga medi</w:t>
      </w:r>
      <w:r w:rsidR="00260333">
        <w:rPr>
          <w:rFonts w:ascii="Book Antiqua" w:hAnsi="Book Antiqua"/>
          <w:spacing w:val="-3"/>
          <w:lang w:val="es-PR"/>
        </w:rPr>
        <w:t>ante ley especial</w:t>
      </w:r>
      <w:r w:rsidRPr="00DD6B75">
        <w:rPr>
          <w:rFonts w:ascii="Book Antiqua" w:hAnsi="Book Antiqua"/>
          <w:spacing w:val="-3"/>
          <w:lang w:val="es-PR"/>
        </w:rPr>
        <w:t>.</w:t>
      </w:r>
    </w:p>
    <w:bookmarkEnd w:id="0"/>
    <w:bookmarkEnd w:id="2"/>
    <w:p w14:paraId="06165CEC" w14:textId="3A3E9C74" w:rsidR="004C1C7C" w:rsidRDefault="004C1C7C" w:rsidP="004C1C7C">
      <w:pPr>
        <w:suppressAutoHyphens/>
        <w:spacing w:line="480" w:lineRule="auto"/>
        <w:ind w:firstLine="720"/>
        <w:jc w:val="both"/>
        <w:rPr>
          <w:rFonts w:ascii="Book Antiqua" w:hAnsi="Book Antiqua"/>
          <w:spacing w:val="-3"/>
          <w:lang w:val="es-PR"/>
        </w:rPr>
      </w:pPr>
      <w:r w:rsidRPr="009C6980">
        <w:rPr>
          <w:rFonts w:ascii="Book Antiqua" w:hAnsi="Book Antiqua"/>
          <w:spacing w:val="-3"/>
          <w:lang w:val="es-PR"/>
        </w:rPr>
        <w:t xml:space="preserve">Artículo </w:t>
      </w:r>
      <w:r w:rsidR="00260333">
        <w:rPr>
          <w:rFonts w:ascii="Book Antiqua" w:hAnsi="Book Antiqua"/>
          <w:spacing w:val="-3"/>
          <w:lang w:val="es-PR"/>
        </w:rPr>
        <w:t>11</w:t>
      </w:r>
      <w:r w:rsidRPr="009C6980">
        <w:rPr>
          <w:rFonts w:ascii="Book Antiqua" w:hAnsi="Book Antiqua"/>
          <w:spacing w:val="-3"/>
          <w:lang w:val="es-PR"/>
        </w:rPr>
        <w:t xml:space="preserve">.- Separabilidad. </w:t>
      </w:r>
    </w:p>
    <w:p w14:paraId="22F77066" w14:textId="77777777" w:rsidR="004C1C7C" w:rsidRPr="00A974BA" w:rsidRDefault="004C1C7C" w:rsidP="004C1C7C">
      <w:pPr>
        <w:suppressAutoHyphens/>
        <w:spacing w:line="480" w:lineRule="auto"/>
        <w:ind w:firstLine="720"/>
        <w:jc w:val="both"/>
        <w:rPr>
          <w:rFonts w:ascii="Book Antiqua" w:hAnsi="Book Antiqua"/>
          <w:spacing w:val="-3"/>
          <w:lang w:val="es-PR"/>
        </w:rPr>
      </w:pPr>
      <w:r w:rsidRPr="00A974BA">
        <w:rPr>
          <w:rFonts w:ascii="Book Antiqua" w:hAnsi="Book Antiqua"/>
          <w:spacing w:val="-3"/>
          <w:lang w:val="es-PR"/>
        </w:rPr>
        <w:t>Si cualquier cláusula, párrafo, artículo, disposición o parte de esta Ley fuere declarada inconstitucional o nula por un tribunal competente, tal decisión no afectará, perjudicará ni invalidará el resto de esta Ley, la cual continuará en pleno vigor y efecto.</w:t>
      </w:r>
    </w:p>
    <w:p w14:paraId="099FC868" w14:textId="10C8265E" w:rsidR="004C1C7C" w:rsidRDefault="004C1C7C" w:rsidP="004C1C7C">
      <w:pPr>
        <w:suppressAutoHyphens/>
        <w:spacing w:line="480" w:lineRule="auto"/>
        <w:ind w:firstLine="720"/>
        <w:jc w:val="both"/>
        <w:rPr>
          <w:rFonts w:ascii="Book Antiqua" w:hAnsi="Book Antiqua"/>
          <w:spacing w:val="-3"/>
          <w:lang w:val="es-PR"/>
        </w:rPr>
      </w:pPr>
      <w:r w:rsidRPr="00593A8E">
        <w:rPr>
          <w:rFonts w:ascii="Book Antiqua" w:hAnsi="Book Antiqua"/>
          <w:spacing w:val="-3"/>
          <w:lang w:val="es-PR"/>
        </w:rPr>
        <w:t xml:space="preserve">Artículo </w:t>
      </w:r>
      <w:r w:rsidR="00260333">
        <w:rPr>
          <w:rFonts w:ascii="Book Antiqua" w:hAnsi="Book Antiqua"/>
          <w:spacing w:val="-3"/>
          <w:lang w:val="es-PR"/>
        </w:rPr>
        <w:t>12</w:t>
      </w:r>
      <w:r w:rsidRPr="00593A8E">
        <w:rPr>
          <w:rFonts w:ascii="Book Antiqua" w:hAnsi="Book Antiqua"/>
          <w:spacing w:val="-3"/>
          <w:lang w:val="es-PR"/>
        </w:rPr>
        <w:t xml:space="preserve">.- Vigencia. </w:t>
      </w:r>
    </w:p>
    <w:p w14:paraId="0580CC3C" w14:textId="1554FCA9" w:rsidR="00B8278F" w:rsidRPr="004C1C7C" w:rsidRDefault="004C1C7C" w:rsidP="00DB21F6">
      <w:pPr>
        <w:suppressAutoHyphens/>
        <w:spacing w:line="480" w:lineRule="auto"/>
        <w:ind w:firstLine="720"/>
        <w:jc w:val="both"/>
        <w:rPr>
          <w:rFonts w:ascii="Book Antiqua" w:hAnsi="Book Antiqua"/>
          <w:spacing w:val="-3"/>
          <w:lang w:val="es-PR"/>
        </w:rPr>
      </w:pPr>
      <w:r w:rsidRPr="00DB3837">
        <w:rPr>
          <w:rFonts w:ascii="Book Antiqua" w:hAnsi="Book Antiqua"/>
          <w:spacing w:val="-3"/>
          <w:lang w:val="es-PR"/>
        </w:rPr>
        <w:t xml:space="preserve">Esta Ley entrará en </w:t>
      </w:r>
      <w:r w:rsidR="00DB21F6" w:rsidRPr="00DB3837">
        <w:rPr>
          <w:rFonts w:ascii="Book Antiqua" w:hAnsi="Book Antiqua"/>
          <w:spacing w:val="-3"/>
          <w:lang w:val="es-PR"/>
        </w:rPr>
        <w:t>vigor treinta</w:t>
      </w:r>
      <w:r w:rsidR="00FC2737">
        <w:rPr>
          <w:rFonts w:ascii="Book Antiqua" w:hAnsi="Book Antiqua"/>
          <w:spacing w:val="-3"/>
          <w:lang w:val="es-PR"/>
        </w:rPr>
        <w:t xml:space="preserve"> (30) días </w:t>
      </w:r>
      <w:r w:rsidRPr="00DB3837">
        <w:rPr>
          <w:rFonts w:ascii="Book Antiqua" w:hAnsi="Book Antiqua"/>
          <w:spacing w:val="-3"/>
          <w:lang w:val="es-PR"/>
        </w:rPr>
        <w:t>después de su aprobación.</w:t>
      </w:r>
      <w:r w:rsidR="00FC2737">
        <w:rPr>
          <w:rFonts w:ascii="Book Antiqua" w:hAnsi="Book Antiqua"/>
          <w:spacing w:val="-3"/>
          <w:lang w:val="es-PR"/>
        </w:rPr>
        <w:t xml:space="preserve"> </w:t>
      </w:r>
      <w:r w:rsidR="00261B4E">
        <w:rPr>
          <w:rFonts w:ascii="Book Antiqua" w:hAnsi="Book Antiqua"/>
          <w:spacing w:val="-3"/>
          <w:lang w:val="es-PR"/>
        </w:rPr>
        <w:t>En ese periodo de tiempo la O</w:t>
      </w:r>
      <w:r w:rsidR="00086AF8">
        <w:rPr>
          <w:rFonts w:ascii="Book Antiqua" w:hAnsi="Book Antiqua"/>
          <w:spacing w:val="-3"/>
          <w:lang w:val="es-PR"/>
        </w:rPr>
        <w:t xml:space="preserve">ficina de </w:t>
      </w:r>
      <w:r w:rsidR="00261B4E">
        <w:rPr>
          <w:rFonts w:ascii="Book Antiqua" w:hAnsi="Book Antiqua"/>
          <w:spacing w:val="-3"/>
          <w:lang w:val="es-PR"/>
        </w:rPr>
        <w:t>A</w:t>
      </w:r>
      <w:r w:rsidR="00086AF8">
        <w:rPr>
          <w:rFonts w:ascii="Book Antiqua" w:hAnsi="Book Antiqua"/>
          <w:spacing w:val="-3"/>
          <w:lang w:val="es-PR"/>
        </w:rPr>
        <w:t xml:space="preserve">dministración de </w:t>
      </w:r>
      <w:r w:rsidR="00261B4E">
        <w:rPr>
          <w:rFonts w:ascii="Book Antiqua" w:hAnsi="Book Antiqua"/>
          <w:spacing w:val="-3"/>
          <w:lang w:val="es-PR"/>
        </w:rPr>
        <w:t>T</w:t>
      </w:r>
      <w:r w:rsidR="00086AF8">
        <w:rPr>
          <w:rFonts w:ascii="Book Antiqua" w:hAnsi="Book Antiqua"/>
          <w:spacing w:val="-3"/>
          <w:lang w:val="es-PR"/>
        </w:rPr>
        <w:t>ribunales</w:t>
      </w:r>
      <w:r w:rsidR="00261B4E">
        <w:rPr>
          <w:rFonts w:ascii="Book Antiqua" w:hAnsi="Book Antiqua"/>
          <w:spacing w:val="-3"/>
          <w:lang w:val="es-PR"/>
        </w:rPr>
        <w:t xml:space="preserve"> deberá redactar un instrumento educativo que contenga el detalle de las </w:t>
      </w:r>
      <w:r w:rsidR="00AB26DD">
        <w:rPr>
          <w:rFonts w:ascii="Book Antiqua" w:hAnsi="Book Antiqua"/>
          <w:spacing w:val="-3"/>
          <w:lang w:val="es-PR"/>
        </w:rPr>
        <w:t>g</w:t>
      </w:r>
      <w:r w:rsidR="00DB21F6">
        <w:rPr>
          <w:rFonts w:ascii="Book Antiqua" w:hAnsi="Book Antiqua"/>
          <w:spacing w:val="-3"/>
          <w:lang w:val="es-PR"/>
        </w:rPr>
        <w:t>uías</w:t>
      </w:r>
      <w:r w:rsidR="00261B4E">
        <w:rPr>
          <w:rFonts w:ascii="Book Antiqua" w:hAnsi="Book Antiqua"/>
          <w:spacing w:val="-3"/>
          <w:lang w:val="es-PR"/>
        </w:rPr>
        <w:t xml:space="preserve"> </w:t>
      </w:r>
      <w:r w:rsidR="00AB26DD">
        <w:rPr>
          <w:rFonts w:ascii="Book Antiqua" w:hAnsi="Book Antiqua"/>
          <w:spacing w:val="-3"/>
          <w:lang w:val="es-PR"/>
        </w:rPr>
        <w:t>m</w:t>
      </w:r>
      <w:r w:rsidR="00261B4E">
        <w:rPr>
          <w:rFonts w:ascii="Book Antiqua" w:hAnsi="Book Antiqua"/>
          <w:spacing w:val="-3"/>
          <w:lang w:val="es-PR"/>
        </w:rPr>
        <w:t xml:space="preserve">andatorias para ser circulado </w:t>
      </w:r>
      <w:r w:rsidR="00DB21F6">
        <w:rPr>
          <w:rFonts w:ascii="Book Antiqua" w:hAnsi="Book Antiqua"/>
          <w:spacing w:val="-3"/>
          <w:lang w:val="es-PR"/>
        </w:rPr>
        <w:t>a</w:t>
      </w:r>
      <w:r w:rsidR="00261B4E">
        <w:rPr>
          <w:rFonts w:ascii="Book Antiqua" w:hAnsi="Book Antiqua"/>
          <w:spacing w:val="-3"/>
          <w:lang w:val="es-PR"/>
        </w:rPr>
        <w:t xml:space="preserve"> todos los jueces </w:t>
      </w:r>
      <w:r w:rsidR="00DB21F6">
        <w:rPr>
          <w:rFonts w:ascii="Book Antiqua" w:hAnsi="Book Antiqua"/>
          <w:spacing w:val="-3"/>
          <w:lang w:val="es-PR"/>
        </w:rPr>
        <w:t>y así</w:t>
      </w:r>
      <w:r w:rsidR="00261B4E">
        <w:rPr>
          <w:rFonts w:ascii="Book Antiqua" w:hAnsi="Book Antiqua"/>
          <w:spacing w:val="-3"/>
          <w:lang w:val="es-PR"/>
        </w:rPr>
        <w:t xml:space="preserve"> garantizar la implementación efectiva de esta Ley. De igual manera, </w:t>
      </w:r>
      <w:r w:rsidR="00DB21F6">
        <w:rPr>
          <w:rFonts w:ascii="Book Antiqua" w:hAnsi="Book Antiqua"/>
          <w:spacing w:val="-3"/>
          <w:lang w:val="es-PR"/>
        </w:rPr>
        <w:t>la O</w:t>
      </w:r>
      <w:r w:rsidR="00AB635B">
        <w:rPr>
          <w:rFonts w:ascii="Book Antiqua" w:hAnsi="Book Antiqua"/>
          <w:spacing w:val="-3"/>
          <w:lang w:val="es-PR"/>
        </w:rPr>
        <w:t xml:space="preserve">ficina de Administración de los Tribunales </w:t>
      </w:r>
      <w:r w:rsidR="00261B4E">
        <w:rPr>
          <w:rFonts w:ascii="Book Antiqua" w:hAnsi="Book Antiqua"/>
          <w:spacing w:val="-3"/>
          <w:lang w:val="es-PR"/>
        </w:rPr>
        <w:t xml:space="preserve">deberá desarrollar </w:t>
      </w:r>
      <w:r w:rsidR="00AB635B">
        <w:rPr>
          <w:rFonts w:ascii="Book Antiqua" w:hAnsi="Book Antiqua"/>
          <w:spacing w:val="-3"/>
          <w:lang w:val="es-PR"/>
        </w:rPr>
        <w:t xml:space="preserve">los adiestramientos, seminarios y programas de educación que sean necesarios para más completa </w:t>
      </w:r>
      <w:r w:rsidR="00261B4E">
        <w:rPr>
          <w:rFonts w:ascii="Book Antiqua" w:hAnsi="Book Antiqua"/>
          <w:spacing w:val="-3"/>
          <w:lang w:val="es-PR"/>
        </w:rPr>
        <w:t xml:space="preserve">aplicación de estas guías </w:t>
      </w:r>
      <w:r w:rsidR="00AB635B">
        <w:rPr>
          <w:rFonts w:ascii="Book Antiqua" w:hAnsi="Book Antiqua"/>
          <w:spacing w:val="-3"/>
          <w:lang w:val="es-PR"/>
        </w:rPr>
        <w:t xml:space="preserve">por parte de la Rama Judicial. </w:t>
      </w:r>
      <w:r w:rsidR="00261B4E">
        <w:rPr>
          <w:rFonts w:ascii="Book Antiqua" w:hAnsi="Book Antiqua"/>
          <w:spacing w:val="-3"/>
          <w:lang w:val="es-PR"/>
        </w:rPr>
        <w:t xml:space="preserve">  </w:t>
      </w:r>
    </w:p>
    <w:sectPr w:rsidR="00B8278F" w:rsidRPr="004C1C7C"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060FF" w14:textId="77777777" w:rsidR="00793189" w:rsidRDefault="00793189">
      <w:r>
        <w:separator/>
      </w:r>
    </w:p>
  </w:endnote>
  <w:endnote w:type="continuationSeparator" w:id="0">
    <w:p w14:paraId="08A97353" w14:textId="77777777" w:rsidR="00793189" w:rsidRDefault="00793189">
      <w:r>
        <w:continuationSeparator/>
      </w:r>
    </w:p>
  </w:endnote>
  <w:endnote w:type="continuationNotice" w:id="1">
    <w:p w14:paraId="61D29B03" w14:textId="77777777" w:rsidR="00793189" w:rsidRDefault="007931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3FEA662E-1C6C-40B4-B1AE-CCF6CDDC608E}"/>
    <w:embedBold r:id="rId2" w:fontKey="{86444FBF-EA9E-4C10-8649-0B8A9CAB1C3D}"/>
    <w:embedItalic r:id="rId3" w:fontKey="{E2CA3CCB-1F36-4ADA-B649-420C020D4042}"/>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82A63E35-C373-4742-AF14-4B00775EB93B}"/>
  </w:font>
  <w:font w:name="Georgia">
    <w:panose1 w:val="02040502050405020303"/>
    <w:charset w:val="00"/>
    <w:family w:val="roman"/>
    <w:pitch w:val="variable"/>
    <w:sig w:usb0="00000287" w:usb1="00000000" w:usb2="00000000" w:usb3="00000000" w:csb0="0000009F" w:csb1="00000000"/>
    <w:embedRegular r:id="rId5" w:fontKey="{768C0A97-725B-4C3C-9CEB-8739F8952FCB}"/>
    <w:embedItalic r:id="rId6" w:fontKey="{AC30A4F8-8A0B-4185-B210-FDACFEA25695}"/>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ptos">
    <w:charset w:val="00"/>
    <w:family w:val="swiss"/>
    <w:pitch w:val="variable"/>
    <w:sig w:usb0="20000287" w:usb1="00000003" w:usb2="00000000" w:usb3="00000000" w:csb0="0000019F" w:csb1="00000000"/>
    <w:embedRegular r:id="rId7" w:fontKey="{F3417A8F-A1C5-42E7-89DD-B291089BCD2E}"/>
    <w:embedItalic r:id="rId8" w:fontKey="{A1E11A1A-F49E-4979-B0F8-033078B00B5B}"/>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DF271776-AE9C-4AC2-A680-567F1B324867}"/>
  </w:font>
  <w:font w:name="Calibri">
    <w:panose1 w:val="020F0502020204030204"/>
    <w:charset w:val="00"/>
    <w:family w:val="swiss"/>
    <w:pitch w:val="variable"/>
    <w:sig w:usb0="E4002EFF" w:usb1="C200247B" w:usb2="00000009" w:usb3="00000000" w:csb0="000001FF" w:csb1="00000000"/>
    <w:embedRegular r:id="rId10" w:fontKey="{B65B858C-E4D0-41F7-BBFF-3BF1D8F17A4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2CEF9" w14:textId="77777777" w:rsidR="00793189" w:rsidRDefault="00793189">
      <w:r>
        <w:separator/>
      </w:r>
    </w:p>
  </w:footnote>
  <w:footnote w:type="continuationSeparator" w:id="0">
    <w:p w14:paraId="442C12F8" w14:textId="77777777" w:rsidR="00793189" w:rsidRDefault="00793189">
      <w:r>
        <w:continuationSeparator/>
      </w:r>
    </w:p>
  </w:footnote>
  <w:footnote w:type="continuationNotice" w:id="1">
    <w:p w14:paraId="68022C5D" w14:textId="77777777" w:rsidR="00793189" w:rsidRDefault="007931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1CB99EDF" w:rsidR="00FF2214" w:rsidRDefault="00850770">
    <w:pPr>
      <w:tabs>
        <w:tab w:val="center" w:pos="4320"/>
        <w:tab w:val="right" w:pos="8640"/>
      </w:tabs>
      <w:jc w:val="right"/>
      <w:rPr>
        <w:color w:val="000000"/>
      </w:rPr>
    </w:pPr>
    <w:r w:rsidRPr="009F6D79">
      <w:rPr>
        <w:color w:val="000000"/>
      </w:rPr>
      <w:t>A-0</w:t>
    </w:r>
    <w:r w:rsidR="009F6D79" w:rsidRPr="009F6D79">
      <w:rPr>
        <w:color w:val="000000"/>
      </w:rPr>
      <w:t>56</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36217031">
    <w:abstractNumId w:val="10"/>
  </w:num>
  <w:num w:numId="2" w16cid:durableId="1115905172">
    <w:abstractNumId w:val="4"/>
  </w:num>
  <w:num w:numId="3" w16cid:durableId="1728651237">
    <w:abstractNumId w:val="21"/>
  </w:num>
  <w:num w:numId="4" w16cid:durableId="1273436090">
    <w:abstractNumId w:val="15"/>
  </w:num>
  <w:num w:numId="5" w16cid:durableId="1993564423">
    <w:abstractNumId w:val="13"/>
  </w:num>
  <w:num w:numId="6" w16cid:durableId="314532663">
    <w:abstractNumId w:val="1"/>
  </w:num>
  <w:num w:numId="7" w16cid:durableId="777412676">
    <w:abstractNumId w:val="16"/>
  </w:num>
  <w:num w:numId="8" w16cid:durableId="1553999959">
    <w:abstractNumId w:val="0"/>
  </w:num>
  <w:num w:numId="9" w16cid:durableId="1319580631">
    <w:abstractNumId w:val="3"/>
  </w:num>
  <w:num w:numId="10" w16cid:durableId="172768325">
    <w:abstractNumId w:val="6"/>
  </w:num>
  <w:num w:numId="11" w16cid:durableId="17775645">
    <w:abstractNumId w:val="7"/>
  </w:num>
  <w:num w:numId="12" w16cid:durableId="875199226">
    <w:abstractNumId w:val="11"/>
  </w:num>
  <w:num w:numId="13" w16cid:durableId="1933706757">
    <w:abstractNumId w:val="9"/>
  </w:num>
  <w:num w:numId="14" w16cid:durableId="1424492860">
    <w:abstractNumId w:val="17"/>
  </w:num>
  <w:num w:numId="15" w16cid:durableId="622611353">
    <w:abstractNumId w:val="8"/>
  </w:num>
  <w:num w:numId="16" w16cid:durableId="1513641802">
    <w:abstractNumId w:val="20"/>
  </w:num>
  <w:num w:numId="17" w16cid:durableId="2031879697">
    <w:abstractNumId w:val="2"/>
  </w:num>
  <w:num w:numId="18" w16cid:durableId="293291636">
    <w:abstractNumId w:val="5"/>
  </w:num>
  <w:num w:numId="19" w16cid:durableId="2085057930">
    <w:abstractNumId w:val="12"/>
  </w:num>
  <w:num w:numId="20" w16cid:durableId="1705279046">
    <w:abstractNumId w:val="14"/>
  </w:num>
  <w:num w:numId="21" w16cid:durableId="1617787279">
    <w:abstractNumId w:val="18"/>
  </w:num>
  <w:num w:numId="22" w16cid:durableId="16368329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01E1"/>
    <w:rsid w:val="00031678"/>
    <w:rsid w:val="00032F6A"/>
    <w:rsid w:val="00040CAA"/>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37"/>
    <w:rsid w:val="000D7909"/>
    <w:rsid w:val="000E515E"/>
    <w:rsid w:val="000E6633"/>
    <w:rsid w:val="000F222B"/>
    <w:rsid w:val="00111BBD"/>
    <w:rsid w:val="00113415"/>
    <w:rsid w:val="001150B3"/>
    <w:rsid w:val="00115129"/>
    <w:rsid w:val="001216F2"/>
    <w:rsid w:val="0012419B"/>
    <w:rsid w:val="001255FB"/>
    <w:rsid w:val="001275A9"/>
    <w:rsid w:val="001336EE"/>
    <w:rsid w:val="00133D83"/>
    <w:rsid w:val="00133DFE"/>
    <w:rsid w:val="00142ECE"/>
    <w:rsid w:val="001433C2"/>
    <w:rsid w:val="00150C87"/>
    <w:rsid w:val="00152B9A"/>
    <w:rsid w:val="00157BB5"/>
    <w:rsid w:val="001613A5"/>
    <w:rsid w:val="001633E0"/>
    <w:rsid w:val="00164E97"/>
    <w:rsid w:val="001677A8"/>
    <w:rsid w:val="0017795B"/>
    <w:rsid w:val="00185EA9"/>
    <w:rsid w:val="00191362"/>
    <w:rsid w:val="001930DD"/>
    <w:rsid w:val="00194A5E"/>
    <w:rsid w:val="00194D59"/>
    <w:rsid w:val="0019674C"/>
    <w:rsid w:val="001969E8"/>
    <w:rsid w:val="001A1EA2"/>
    <w:rsid w:val="001B6185"/>
    <w:rsid w:val="001C05DD"/>
    <w:rsid w:val="001C1387"/>
    <w:rsid w:val="001C50A0"/>
    <w:rsid w:val="001C7468"/>
    <w:rsid w:val="001D07B3"/>
    <w:rsid w:val="001D0FDF"/>
    <w:rsid w:val="001D1537"/>
    <w:rsid w:val="001D4BBB"/>
    <w:rsid w:val="001D54A8"/>
    <w:rsid w:val="001E1A20"/>
    <w:rsid w:val="001F0F16"/>
    <w:rsid w:val="001F3565"/>
    <w:rsid w:val="001F4366"/>
    <w:rsid w:val="001F4416"/>
    <w:rsid w:val="00203B18"/>
    <w:rsid w:val="0021009A"/>
    <w:rsid w:val="00210471"/>
    <w:rsid w:val="002121D5"/>
    <w:rsid w:val="002138BE"/>
    <w:rsid w:val="002204F0"/>
    <w:rsid w:val="00230215"/>
    <w:rsid w:val="002304C5"/>
    <w:rsid w:val="002318F0"/>
    <w:rsid w:val="00231C2C"/>
    <w:rsid w:val="00233635"/>
    <w:rsid w:val="0023393F"/>
    <w:rsid w:val="002429DB"/>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B181B"/>
    <w:rsid w:val="002B2FBB"/>
    <w:rsid w:val="002B5618"/>
    <w:rsid w:val="002B62EE"/>
    <w:rsid w:val="002B7906"/>
    <w:rsid w:val="002C1726"/>
    <w:rsid w:val="002D6159"/>
    <w:rsid w:val="002D75E1"/>
    <w:rsid w:val="002D7EFD"/>
    <w:rsid w:val="002E5D86"/>
    <w:rsid w:val="002F21CF"/>
    <w:rsid w:val="002F48BA"/>
    <w:rsid w:val="002F5B16"/>
    <w:rsid w:val="00302F90"/>
    <w:rsid w:val="0030308D"/>
    <w:rsid w:val="00310744"/>
    <w:rsid w:val="00310FDD"/>
    <w:rsid w:val="0031323F"/>
    <w:rsid w:val="00313C97"/>
    <w:rsid w:val="00314E6B"/>
    <w:rsid w:val="00321AB7"/>
    <w:rsid w:val="0032794E"/>
    <w:rsid w:val="00332E7A"/>
    <w:rsid w:val="00340015"/>
    <w:rsid w:val="00343CBC"/>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6F6C"/>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78F"/>
    <w:rsid w:val="00444257"/>
    <w:rsid w:val="00452649"/>
    <w:rsid w:val="00461FBD"/>
    <w:rsid w:val="00462353"/>
    <w:rsid w:val="00462BEA"/>
    <w:rsid w:val="0046344B"/>
    <w:rsid w:val="00465256"/>
    <w:rsid w:val="004674AD"/>
    <w:rsid w:val="0048210C"/>
    <w:rsid w:val="0049425A"/>
    <w:rsid w:val="004A0930"/>
    <w:rsid w:val="004A0EAF"/>
    <w:rsid w:val="004A5974"/>
    <w:rsid w:val="004A63FB"/>
    <w:rsid w:val="004A763E"/>
    <w:rsid w:val="004B290C"/>
    <w:rsid w:val="004B357F"/>
    <w:rsid w:val="004C1C7C"/>
    <w:rsid w:val="004C411D"/>
    <w:rsid w:val="004C41AE"/>
    <w:rsid w:val="004C6236"/>
    <w:rsid w:val="004D03F5"/>
    <w:rsid w:val="004D0CDB"/>
    <w:rsid w:val="004D7071"/>
    <w:rsid w:val="004E04A9"/>
    <w:rsid w:val="004E6136"/>
    <w:rsid w:val="004F6B8B"/>
    <w:rsid w:val="005003F6"/>
    <w:rsid w:val="00500DD3"/>
    <w:rsid w:val="00502B14"/>
    <w:rsid w:val="00503836"/>
    <w:rsid w:val="00503C13"/>
    <w:rsid w:val="00504742"/>
    <w:rsid w:val="00506CA0"/>
    <w:rsid w:val="005075F3"/>
    <w:rsid w:val="00511693"/>
    <w:rsid w:val="00521CE8"/>
    <w:rsid w:val="005229AD"/>
    <w:rsid w:val="00524FBA"/>
    <w:rsid w:val="00526AC9"/>
    <w:rsid w:val="00527B13"/>
    <w:rsid w:val="005303AF"/>
    <w:rsid w:val="00534596"/>
    <w:rsid w:val="005427F8"/>
    <w:rsid w:val="00543529"/>
    <w:rsid w:val="00546040"/>
    <w:rsid w:val="00552C7A"/>
    <w:rsid w:val="005541CA"/>
    <w:rsid w:val="00556C43"/>
    <w:rsid w:val="005640D7"/>
    <w:rsid w:val="0056577A"/>
    <w:rsid w:val="00573345"/>
    <w:rsid w:val="0057336F"/>
    <w:rsid w:val="00573C36"/>
    <w:rsid w:val="0057614A"/>
    <w:rsid w:val="00576725"/>
    <w:rsid w:val="00576F23"/>
    <w:rsid w:val="00577130"/>
    <w:rsid w:val="00580739"/>
    <w:rsid w:val="00591957"/>
    <w:rsid w:val="005A3527"/>
    <w:rsid w:val="005A5C2E"/>
    <w:rsid w:val="005A5F0D"/>
    <w:rsid w:val="005B3512"/>
    <w:rsid w:val="005B3BBD"/>
    <w:rsid w:val="005C3826"/>
    <w:rsid w:val="005C3AFC"/>
    <w:rsid w:val="005C7524"/>
    <w:rsid w:val="005C7ECE"/>
    <w:rsid w:val="005D3EB3"/>
    <w:rsid w:val="005E3602"/>
    <w:rsid w:val="005E3680"/>
    <w:rsid w:val="005E4152"/>
    <w:rsid w:val="005E63C3"/>
    <w:rsid w:val="005E7EC5"/>
    <w:rsid w:val="005F0A2C"/>
    <w:rsid w:val="005F265C"/>
    <w:rsid w:val="005F2872"/>
    <w:rsid w:val="005F486E"/>
    <w:rsid w:val="006023F4"/>
    <w:rsid w:val="0060246B"/>
    <w:rsid w:val="00604DA6"/>
    <w:rsid w:val="006156E3"/>
    <w:rsid w:val="00615B4D"/>
    <w:rsid w:val="0061628B"/>
    <w:rsid w:val="0062471D"/>
    <w:rsid w:val="006414C7"/>
    <w:rsid w:val="00642C79"/>
    <w:rsid w:val="006430D0"/>
    <w:rsid w:val="00643733"/>
    <w:rsid w:val="0064494E"/>
    <w:rsid w:val="00647846"/>
    <w:rsid w:val="00654571"/>
    <w:rsid w:val="00657A02"/>
    <w:rsid w:val="00663D06"/>
    <w:rsid w:val="00670249"/>
    <w:rsid w:val="00670CA7"/>
    <w:rsid w:val="006730F1"/>
    <w:rsid w:val="0068065A"/>
    <w:rsid w:val="006819FE"/>
    <w:rsid w:val="00694E17"/>
    <w:rsid w:val="006A1488"/>
    <w:rsid w:val="006B17C2"/>
    <w:rsid w:val="006B3A56"/>
    <w:rsid w:val="006B78AD"/>
    <w:rsid w:val="006C4755"/>
    <w:rsid w:val="006C5540"/>
    <w:rsid w:val="006C6334"/>
    <w:rsid w:val="006D1974"/>
    <w:rsid w:val="006E1314"/>
    <w:rsid w:val="006E37D2"/>
    <w:rsid w:val="006E7A33"/>
    <w:rsid w:val="006F0B06"/>
    <w:rsid w:val="006F205C"/>
    <w:rsid w:val="006F2AC8"/>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63CE6"/>
    <w:rsid w:val="0077017C"/>
    <w:rsid w:val="00773ABA"/>
    <w:rsid w:val="0078017D"/>
    <w:rsid w:val="00781480"/>
    <w:rsid w:val="00791FA9"/>
    <w:rsid w:val="00793189"/>
    <w:rsid w:val="00795BD6"/>
    <w:rsid w:val="007A1A7B"/>
    <w:rsid w:val="007A346E"/>
    <w:rsid w:val="007A40FA"/>
    <w:rsid w:val="007A4745"/>
    <w:rsid w:val="007A5875"/>
    <w:rsid w:val="007B090C"/>
    <w:rsid w:val="007B6B38"/>
    <w:rsid w:val="007C7157"/>
    <w:rsid w:val="007D76E0"/>
    <w:rsid w:val="007E368D"/>
    <w:rsid w:val="007E4C22"/>
    <w:rsid w:val="007F1D2B"/>
    <w:rsid w:val="00804D98"/>
    <w:rsid w:val="00805B64"/>
    <w:rsid w:val="00807CED"/>
    <w:rsid w:val="00812840"/>
    <w:rsid w:val="008316F2"/>
    <w:rsid w:val="00831773"/>
    <w:rsid w:val="008337A4"/>
    <w:rsid w:val="00834801"/>
    <w:rsid w:val="00836115"/>
    <w:rsid w:val="00836710"/>
    <w:rsid w:val="008402C1"/>
    <w:rsid w:val="008450D8"/>
    <w:rsid w:val="00850770"/>
    <w:rsid w:val="00853ED6"/>
    <w:rsid w:val="008542F2"/>
    <w:rsid w:val="008574AE"/>
    <w:rsid w:val="008670BC"/>
    <w:rsid w:val="008863D7"/>
    <w:rsid w:val="0088798F"/>
    <w:rsid w:val="0089008A"/>
    <w:rsid w:val="00890C4D"/>
    <w:rsid w:val="00891773"/>
    <w:rsid w:val="008925BB"/>
    <w:rsid w:val="008A1828"/>
    <w:rsid w:val="008A1F5E"/>
    <w:rsid w:val="008A5641"/>
    <w:rsid w:val="008B3680"/>
    <w:rsid w:val="008C0934"/>
    <w:rsid w:val="008C4178"/>
    <w:rsid w:val="008D172D"/>
    <w:rsid w:val="008D2008"/>
    <w:rsid w:val="008D5A27"/>
    <w:rsid w:val="008D5B00"/>
    <w:rsid w:val="008E23CC"/>
    <w:rsid w:val="008E3AED"/>
    <w:rsid w:val="008E5542"/>
    <w:rsid w:val="008E5DA2"/>
    <w:rsid w:val="008F27E4"/>
    <w:rsid w:val="008F67F1"/>
    <w:rsid w:val="008F7FC7"/>
    <w:rsid w:val="0090179D"/>
    <w:rsid w:val="009061B2"/>
    <w:rsid w:val="009063F6"/>
    <w:rsid w:val="00910CF1"/>
    <w:rsid w:val="009140BD"/>
    <w:rsid w:val="00916051"/>
    <w:rsid w:val="0091725F"/>
    <w:rsid w:val="00922818"/>
    <w:rsid w:val="00930E48"/>
    <w:rsid w:val="00932D39"/>
    <w:rsid w:val="0093314A"/>
    <w:rsid w:val="0093744C"/>
    <w:rsid w:val="00942E06"/>
    <w:rsid w:val="00950505"/>
    <w:rsid w:val="00950A46"/>
    <w:rsid w:val="009511D6"/>
    <w:rsid w:val="00952875"/>
    <w:rsid w:val="00954675"/>
    <w:rsid w:val="00962C3E"/>
    <w:rsid w:val="00963E17"/>
    <w:rsid w:val="00965195"/>
    <w:rsid w:val="00970540"/>
    <w:rsid w:val="00975D82"/>
    <w:rsid w:val="009833D3"/>
    <w:rsid w:val="009927E5"/>
    <w:rsid w:val="00996A17"/>
    <w:rsid w:val="009A0ED5"/>
    <w:rsid w:val="009B47BF"/>
    <w:rsid w:val="009D1C75"/>
    <w:rsid w:val="009D5726"/>
    <w:rsid w:val="009D61E3"/>
    <w:rsid w:val="009D7450"/>
    <w:rsid w:val="009D79EC"/>
    <w:rsid w:val="009E36AA"/>
    <w:rsid w:val="009F15AE"/>
    <w:rsid w:val="009F5E7C"/>
    <w:rsid w:val="009F6D79"/>
    <w:rsid w:val="00A02203"/>
    <w:rsid w:val="00A04577"/>
    <w:rsid w:val="00A11BAB"/>
    <w:rsid w:val="00A1720E"/>
    <w:rsid w:val="00A212F7"/>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25D1"/>
    <w:rsid w:val="00A67A3A"/>
    <w:rsid w:val="00A7289B"/>
    <w:rsid w:val="00A770A7"/>
    <w:rsid w:val="00A7759E"/>
    <w:rsid w:val="00A8093F"/>
    <w:rsid w:val="00A860DC"/>
    <w:rsid w:val="00A92D34"/>
    <w:rsid w:val="00A94A37"/>
    <w:rsid w:val="00A9567F"/>
    <w:rsid w:val="00AA1BAB"/>
    <w:rsid w:val="00AB26DD"/>
    <w:rsid w:val="00AB417C"/>
    <w:rsid w:val="00AB635B"/>
    <w:rsid w:val="00AB6B2F"/>
    <w:rsid w:val="00AC4491"/>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31AC"/>
    <w:rsid w:val="00B23F46"/>
    <w:rsid w:val="00B24BAA"/>
    <w:rsid w:val="00B34B9F"/>
    <w:rsid w:val="00B41851"/>
    <w:rsid w:val="00B51DBD"/>
    <w:rsid w:val="00B5375E"/>
    <w:rsid w:val="00B57F92"/>
    <w:rsid w:val="00B60014"/>
    <w:rsid w:val="00B60332"/>
    <w:rsid w:val="00B61934"/>
    <w:rsid w:val="00B70B63"/>
    <w:rsid w:val="00B72A6A"/>
    <w:rsid w:val="00B74EC0"/>
    <w:rsid w:val="00B81E44"/>
    <w:rsid w:val="00B8278F"/>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06126"/>
    <w:rsid w:val="00C13DC9"/>
    <w:rsid w:val="00C2331C"/>
    <w:rsid w:val="00C25487"/>
    <w:rsid w:val="00C32AB8"/>
    <w:rsid w:val="00C32AF1"/>
    <w:rsid w:val="00C33CEB"/>
    <w:rsid w:val="00C361CD"/>
    <w:rsid w:val="00C400A1"/>
    <w:rsid w:val="00C47E72"/>
    <w:rsid w:val="00C56E4D"/>
    <w:rsid w:val="00C57448"/>
    <w:rsid w:val="00C635EB"/>
    <w:rsid w:val="00C71782"/>
    <w:rsid w:val="00C7694F"/>
    <w:rsid w:val="00C8076C"/>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32989"/>
    <w:rsid w:val="00D42696"/>
    <w:rsid w:val="00D43503"/>
    <w:rsid w:val="00D43E19"/>
    <w:rsid w:val="00D50765"/>
    <w:rsid w:val="00D50CD3"/>
    <w:rsid w:val="00D814BA"/>
    <w:rsid w:val="00D84992"/>
    <w:rsid w:val="00D937E3"/>
    <w:rsid w:val="00D938F9"/>
    <w:rsid w:val="00D95879"/>
    <w:rsid w:val="00D962FB"/>
    <w:rsid w:val="00DA5EB9"/>
    <w:rsid w:val="00DB21F6"/>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41C"/>
    <w:rsid w:val="00E30811"/>
    <w:rsid w:val="00E31356"/>
    <w:rsid w:val="00E3223D"/>
    <w:rsid w:val="00E356A8"/>
    <w:rsid w:val="00E45E9B"/>
    <w:rsid w:val="00E61DAB"/>
    <w:rsid w:val="00E64141"/>
    <w:rsid w:val="00E65583"/>
    <w:rsid w:val="00E67017"/>
    <w:rsid w:val="00E673B7"/>
    <w:rsid w:val="00E73B27"/>
    <w:rsid w:val="00E75D0B"/>
    <w:rsid w:val="00E83E85"/>
    <w:rsid w:val="00E8449E"/>
    <w:rsid w:val="00E87812"/>
    <w:rsid w:val="00E90225"/>
    <w:rsid w:val="00E93811"/>
    <w:rsid w:val="00E97260"/>
    <w:rsid w:val="00EA175C"/>
    <w:rsid w:val="00EA178E"/>
    <w:rsid w:val="00EA3595"/>
    <w:rsid w:val="00EA5801"/>
    <w:rsid w:val="00EA6377"/>
    <w:rsid w:val="00EB087E"/>
    <w:rsid w:val="00EB506F"/>
    <w:rsid w:val="00EC2169"/>
    <w:rsid w:val="00EC31D3"/>
    <w:rsid w:val="00EC69F6"/>
    <w:rsid w:val="00ED3996"/>
    <w:rsid w:val="00ED3D87"/>
    <w:rsid w:val="00ED5A58"/>
    <w:rsid w:val="00EE009B"/>
    <w:rsid w:val="00EE58A4"/>
    <w:rsid w:val="00EE7FDF"/>
    <w:rsid w:val="00EF2711"/>
    <w:rsid w:val="00EF2D8D"/>
    <w:rsid w:val="00F026C9"/>
    <w:rsid w:val="00F0629E"/>
    <w:rsid w:val="00F16B71"/>
    <w:rsid w:val="00F245C1"/>
    <w:rsid w:val="00F27415"/>
    <w:rsid w:val="00F3308A"/>
    <w:rsid w:val="00F36138"/>
    <w:rsid w:val="00F373F2"/>
    <w:rsid w:val="00F37EC1"/>
    <w:rsid w:val="00F42967"/>
    <w:rsid w:val="00F44B1E"/>
    <w:rsid w:val="00F519A3"/>
    <w:rsid w:val="00F55BC6"/>
    <w:rsid w:val="00F57042"/>
    <w:rsid w:val="00F571EB"/>
    <w:rsid w:val="00F65464"/>
    <w:rsid w:val="00F70223"/>
    <w:rsid w:val="00F70BEF"/>
    <w:rsid w:val="00F70D38"/>
    <w:rsid w:val="00F739FE"/>
    <w:rsid w:val="00F858BD"/>
    <w:rsid w:val="00F96E52"/>
    <w:rsid w:val="00FA0CB1"/>
    <w:rsid w:val="00FA11F4"/>
    <w:rsid w:val="00FB470E"/>
    <w:rsid w:val="00FB77D5"/>
    <w:rsid w:val="00FC2737"/>
    <w:rsid w:val="00FC5E4E"/>
    <w:rsid w:val="00FC62A0"/>
    <w:rsid w:val="00FC671D"/>
    <w:rsid w:val="00FD065B"/>
    <w:rsid w:val="00FD093E"/>
    <w:rsid w:val="00FE2D53"/>
    <w:rsid w:val="00FF2214"/>
    <w:rsid w:val="0206FCE5"/>
    <w:rsid w:val="180AD1F2"/>
    <w:rsid w:val="1B9D9E57"/>
    <w:rsid w:val="257C5BC4"/>
    <w:rsid w:val="4E2E3AD1"/>
    <w:rsid w:val="542407D0"/>
    <w:rsid w:val="56E75300"/>
    <w:rsid w:val="594B75FA"/>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2668</Words>
  <Characters>15214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Gladys J. Burgos Torres</cp:lastModifiedBy>
  <cp:revision>5</cp:revision>
  <cp:lastPrinted>2025-04-08T13:24:00Z</cp:lastPrinted>
  <dcterms:created xsi:type="dcterms:W3CDTF">2025-04-07T22:39:00Z</dcterms:created>
  <dcterms:modified xsi:type="dcterms:W3CDTF">2025-04-08T18:21:00Z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