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A0F1B" w14:textId="77777777" w:rsidR="000D5B0A" w:rsidRPr="00490AA2" w:rsidRDefault="000D5B0A" w:rsidP="000D5B0A">
      <w:pPr>
        <w:tabs>
          <w:tab w:val="right" w:pos="709"/>
        </w:tabs>
        <w:spacing w:line="360" w:lineRule="auto"/>
        <w:jc w:val="center"/>
        <w:rPr>
          <w:rFonts w:ascii="Book Antiqua" w:hAnsi="Book Antiqua"/>
          <w:b/>
          <w:sz w:val="28"/>
          <w:szCs w:val="28"/>
        </w:rPr>
      </w:pPr>
      <w:r w:rsidRPr="00490AA2">
        <w:rPr>
          <w:rFonts w:ascii="Book Antiqua" w:hAnsi="Book Antiqua"/>
          <w:b/>
          <w:sz w:val="28"/>
          <w:szCs w:val="28"/>
        </w:rPr>
        <w:t>GOBIERNO DE PUERTO RICO</w:t>
      </w:r>
    </w:p>
    <w:p w14:paraId="11E23BBA" w14:textId="7B7CA68C" w:rsidR="000D5B0A" w:rsidRPr="00490AA2" w:rsidRDefault="000D5B0A" w:rsidP="001C0771">
      <w:pPr>
        <w:suppressLineNumbers/>
        <w:tabs>
          <w:tab w:val="left" w:pos="7560"/>
        </w:tabs>
        <w:spacing w:after="0"/>
        <w:jc w:val="both"/>
        <w:rPr>
          <w:rFonts w:ascii="Book Antiqua" w:hAnsi="Book Antiqua"/>
        </w:rPr>
      </w:pPr>
      <w:r w:rsidRPr="00490AA2">
        <w:rPr>
          <w:rFonts w:ascii="Book Antiqua" w:hAnsi="Book Antiqua"/>
        </w:rPr>
        <w:t>20</w:t>
      </w:r>
      <w:r w:rsidRPr="00490AA2">
        <w:rPr>
          <w:rFonts w:ascii="Book Antiqua" w:hAnsi="Book Antiqua"/>
          <w:vertAlign w:val="superscript"/>
        </w:rPr>
        <w:t>ma.</w:t>
      </w:r>
      <w:r w:rsidRPr="00490AA2">
        <w:rPr>
          <w:rFonts w:ascii="Book Antiqua" w:hAnsi="Book Antiqua"/>
        </w:rPr>
        <w:t xml:space="preserve"> Asamblea</w:t>
      </w:r>
      <w:r w:rsidRPr="00490AA2">
        <w:rPr>
          <w:rFonts w:ascii="Book Antiqua" w:hAnsi="Book Antiqua"/>
        </w:rPr>
        <w:tab/>
        <w:t xml:space="preserve">   </w:t>
      </w:r>
      <w:r w:rsidR="001C0771">
        <w:rPr>
          <w:rFonts w:ascii="Book Antiqua" w:hAnsi="Book Antiqua"/>
        </w:rPr>
        <w:t xml:space="preserve">  </w:t>
      </w:r>
      <w:r>
        <w:rPr>
          <w:rFonts w:ascii="Book Antiqua" w:hAnsi="Book Antiqua"/>
        </w:rPr>
        <w:t>3</w:t>
      </w:r>
      <w:r>
        <w:rPr>
          <w:rFonts w:ascii="Book Antiqua" w:hAnsi="Book Antiqua"/>
          <w:vertAlign w:val="superscript"/>
        </w:rPr>
        <w:t>era.</w:t>
      </w:r>
      <w:r w:rsidR="001C0771">
        <w:rPr>
          <w:rFonts w:ascii="Book Antiqua" w:hAnsi="Book Antiqua"/>
          <w:vertAlign w:val="superscript"/>
        </w:rPr>
        <w:t xml:space="preserve"> </w:t>
      </w:r>
      <w:r w:rsidRPr="00490AA2">
        <w:rPr>
          <w:rFonts w:ascii="Book Antiqua" w:hAnsi="Book Antiqua"/>
        </w:rPr>
        <w:t xml:space="preserve">Sesión </w:t>
      </w:r>
    </w:p>
    <w:p w14:paraId="2F1A1BE6" w14:textId="4E391944" w:rsidR="000D5B0A" w:rsidRDefault="001C0771" w:rsidP="001C0771">
      <w:pPr>
        <w:spacing w:after="0"/>
        <w:rPr>
          <w:rFonts w:ascii="Book Antiqua" w:hAnsi="Book Antiqua"/>
          <w:b/>
        </w:rPr>
      </w:pPr>
      <w:r>
        <w:rPr>
          <w:rFonts w:ascii="Book Antiqua" w:hAnsi="Book Antiqua"/>
        </w:rPr>
        <w:t xml:space="preserve">  </w:t>
      </w:r>
      <w:r w:rsidR="000D5B0A" w:rsidRPr="00490AA2">
        <w:rPr>
          <w:rFonts w:ascii="Book Antiqua" w:hAnsi="Book Antiqua"/>
        </w:rPr>
        <w:t xml:space="preserve">       Legislativa</w:t>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r>
      <w:r w:rsidR="000D5B0A" w:rsidRPr="00490AA2">
        <w:rPr>
          <w:rFonts w:ascii="Book Antiqua" w:hAnsi="Book Antiqua"/>
        </w:rPr>
        <w:tab/>
        <w:t xml:space="preserve">    </w:t>
      </w:r>
      <w:r>
        <w:rPr>
          <w:rFonts w:ascii="Book Antiqua" w:hAnsi="Book Antiqua"/>
        </w:rPr>
        <w:t xml:space="preserve">   </w:t>
      </w:r>
      <w:r w:rsidR="000D5B0A" w:rsidRPr="00490AA2">
        <w:rPr>
          <w:rFonts w:ascii="Book Antiqua" w:hAnsi="Book Antiqua"/>
        </w:rPr>
        <w:t xml:space="preserve"> Ordinaria</w:t>
      </w:r>
    </w:p>
    <w:p w14:paraId="17AD0B6B" w14:textId="77777777" w:rsidR="000D5B0A" w:rsidRPr="009B1858" w:rsidRDefault="000D5B0A" w:rsidP="000D5B0A">
      <w:pPr>
        <w:rPr>
          <w:rFonts w:ascii="Book Antiqua" w:hAnsi="Book Antiqua"/>
          <w:b/>
        </w:rPr>
      </w:pPr>
    </w:p>
    <w:p w14:paraId="649BB893" w14:textId="77777777" w:rsidR="000D5B0A" w:rsidRPr="00490AA2" w:rsidRDefault="000D5B0A" w:rsidP="000D5B0A">
      <w:pPr>
        <w:spacing w:line="360" w:lineRule="auto"/>
        <w:jc w:val="center"/>
        <w:rPr>
          <w:rFonts w:ascii="Book Antiqua" w:hAnsi="Book Antiqua"/>
          <w:b/>
          <w:sz w:val="36"/>
          <w:szCs w:val="36"/>
        </w:rPr>
      </w:pPr>
      <w:r w:rsidRPr="00490AA2">
        <w:rPr>
          <w:rFonts w:ascii="Book Antiqua" w:hAnsi="Book Antiqua"/>
          <w:b/>
          <w:sz w:val="36"/>
          <w:szCs w:val="36"/>
        </w:rPr>
        <w:t>CÁMARA DE REPRESENTANTES</w:t>
      </w:r>
    </w:p>
    <w:p w14:paraId="4504BBCA" w14:textId="1425AD27" w:rsidR="000D5B0A" w:rsidRPr="00490AA2" w:rsidRDefault="000D5B0A" w:rsidP="000D5B0A">
      <w:pPr>
        <w:spacing w:line="360" w:lineRule="auto"/>
        <w:jc w:val="center"/>
        <w:rPr>
          <w:rFonts w:ascii="Book Antiqua" w:hAnsi="Book Antiqua"/>
          <w:b/>
          <w:sz w:val="52"/>
          <w:szCs w:val="52"/>
        </w:rPr>
      </w:pPr>
      <w:r w:rsidRPr="00490AA2">
        <w:rPr>
          <w:rFonts w:ascii="Book Antiqua" w:hAnsi="Book Antiqua"/>
          <w:b/>
          <w:sz w:val="52"/>
          <w:szCs w:val="52"/>
        </w:rPr>
        <w:t>P. de</w:t>
      </w:r>
      <w:r>
        <w:rPr>
          <w:rFonts w:ascii="Book Antiqua" w:hAnsi="Book Antiqua"/>
          <w:b/>
          <w:sz w:val="52"/>
          <w:szCs w:val="52"/>
        </w:rPr>
        <w:t>l S.</w:t>
      </w:r>
      <w:r w:rsidRPr="00490AA2">
        <w:rPr>
          <w:rFonts w:ascii="Book Antiqua" w:hAnsi="Book Antiqua"/>
          <w:b/>
          <w:sz w:val="52"/>
          <w:szCs w:val="52"/>
        </w:rPr>
        <w:t xml:space="preserve"> </w:t>
      </w:r>
      <w:r w:rsidR="0037152A">
        <w:rPr>
          <w:rFonts w:ascii="Book Antiqua" w:hAnsi="Book Antiqua"/>
          <w:b/>
          <w:sz w:val="52"/>
          <w:szCs w:val="52"/>
        </w:rPr>
        <w:t>484</w:t>
      </w:r>
    </w:p>
    <w:p w14:paraId="61A50CCC" w14:textId="77777777" w:rsidR="000D5B0A" w:rsidRPr="00490AA2" w:rsidRDefault="000D5B0A" w:rsidP="000D5B0A">
      <w:pPr>
        <w:contextualSpacing/>
        <w:jc w:val="center"/>
        <w:rPr>
          <w:rFonts w:ascii="Book Antiqua" w:hAnsi="Book Antiqua"/>
          <w:b/>
          <w:sz w:val="28"/>
          <w:szCs w:val="28"/>
        </w:rPr>
      </w:pPr>
      <w:r w:rsidRPr="00490AA2">
        <w:rPr>
          <w:rFonts w:ascii="Book Antiqua" w:hAnsi="Book Antiqua"/>
          <w:b/>
          <w:sz w:val="28"/>
          <w:szCs w:val="28"/>
        </w:rPr>
        <w:t>INFORME POSITIVO</w:t>
      </w:r>
    </w:p>
    <w:p w14:paraId="13E8D4D7" w14:textId="77777777" w:rsidR="000D5B0A" w:rsidRDefault="000D5B0A" w:rsidP="000D5B0A">
      <w:pPr>
        <w:contextualSpacing/>
        <w:jc w:val="center"/>
        <w:rPr>
          <w:rFonts w:ascii="Book Antiqua" w:hAnsi="Book Antiqua"/>
        </w:rPr>
      </w:pPr>
    </w:p>
    <w:p w14:paraId="58B3945B" w14:textId="533C332C" w:rsidR="00AD0009" w:rsidRDefault="00D91195" w:rsidP="00AD0009">
      <w:pPr>
        <w:spacing w:after="0" w:line="240" w:lineRule="auto"/>
        <w:contextualSpacing/>
        <w:jc w:val="center"/>
        <w:rPr>
          <w:rFonts w:ascii="Book Antiqua" w:hAnsi="Book Antiqua"/>
        </w:rPr>
      </w:pPr>
      <w:r>
        <w:rPr>
          <w:rFonts w:ascii="Book Antiqua" w:hAnsi="Book Antiqua"/>
        </w:rPr>
        <w:t xml:space="preserve">14 </w:t>
      </w:r>
      <w:r w:rsidR="000D5B0A">
        <w:rPr>
          <w:rFonts w:ascii="Book Antiqua" w:hAnsi="Book Antiqua"/>
        </w:rPr>
        <w:t xml:space="preserve">de mayo </w:t>
      </w:r>
      <w:r w:rsidR="000D5B0A" w:rsidRPr="00490AA2">
        <w:rPr>
          <w:rFonts w:ascii="Book Antiqua" w:hAnsi="Book Antiqua"/>
        </w:rPr>
        <w:t>de 202</w:t>
      </w:r>
      <w:r w:rsidR="000D5B0A">
        <w:rPr>
          <w:rFonts w:ascii="Book Antiqua" w:hAnsi="Book Antiqua"/>
        </w:rPr>
        <w:t>6</w:t>
      </w:r>
    </w:p>
    <w:p w14:paraId="63B69312" w14:textId="77777777" w:rsidR="00AD0009" w:rsidRDefault="00AD0009" w:rsidP="00AD0009">
      <w:pPr>
        <w:spacing w:after="0" w:line="240" w:lineRule="auto"/>
        <w:contextualSpacing/>
        <w:rPr>
          <w:rFonts w:ascii="Book Antiqua" w:hAnsi="Book Antiqua"/>
        </w:rPr>
      </w:pPr>
    </w:p>
    <w:p w14:paraId="5157D0F5" w14:textId="77777777" w:rsidR="00AD0009" w:rsidRPr="00A578C9" w:rsidRDefault="00AD0009" w:rsidP="00AD0009">
      <w:pPr>
        <w:spacing w:after="0" w:line="240" w:lineRule="auto"/>
        <w:contextualSpacing/>
        <w:rPr>
          <w:rFonts w:ascii="Book Antiqua" w:hAnsi="Book Antiqua"/>
        </w:rPr>
      </w:pPr>
    </w:p>
    <w:p w14:paraId="7E7DDE38" w14:textId="77777777" w:rsidR="000D5B0A" w:rsidRPr="00A578C9" w:rsidRDefault="000D5B0A" w:rsidP="00AD0009">
      <w:pPr>
        <w:spacing w:after="0" w:line="240" w:lineRule="auto"/>
        <w:contextualSpacing/>
        <w:rPr>
          <w:rFonts w:ascii="Book Antiqua" w:hAnsi="Book Antiqua"/>
        </w:rPr>
      </w:pPr>
      <w:r w:rsidRPr="00A578C9">
        <w:rPr>
          <w:rFonts w:ascii="Book Antiqua" w:hAnsi="Book Antiqua"/>
          <w:b/>
          <w:bCs/>
        </w:rPr>
        <w:t>A LA CÁMARA DE REPRESENTANTES DE PUERTO RICO:</w:t>
      </w:r>
      <w:r w:rsidRPr="00A578C9">
        <w:rPr>
          <w:rFonts w:ascii="Times New Roman" w:hAnsi="Times New Roman" w:cs="Times New Roman"/>
        </w:rPr>
        <w:t>  </w:t>
      </w:r>
      <w:r w:rsidRPr="00A578C9">
        <w:rPr>
          <w:rFonts w:ascii="Book Antiqua" w:hAnsi="Book Antiqua"/>
        </w:rPr>
        <w:t> </w:t>
      </w:r>
    </w:p>
    <w:p w14:paraId="3B1C241D" w14:textId="77777777" w:rsidR="00AD0009" w:rsidRDefault="00AD0009" w:rsidP="00AD0009">
      <w:pPr>
        <w:spacing w:after="0" w:line="240" w:lineRule="auto"/>
        <w:ind w:firstLine="708"/>
        <w:contextualSpacing/>
        <w:jc w:val="both"/>
        <w:rPr>
          <w:rFonts w:ascii="Book Antiqua" w:hAnsi="Book Antiqua" w:cs="Times New Roman"/>
        </w:rPr>
      </w:pPr>
    </w:p>
    <w:p w14:paraId="7D9278F3" w14:textId="30F827D0" w:rsidR="000D5B0A" w:rsidRDefault="000D5B0A" w:rsidP="00AD0009">
      <w:pPr>
        <w:spacing w:after="0" w:line="240" w:lineRule="auto"/>
        <w:ind w:firstLine="708"/>
        <w:contextualSpacing/>
        <w:jc w:val="both"/>
        <w:rPr>
          <w:rFonts w:ascii="Book Antiqua" w:hAnsi="Book Antiqua" w:cs="Times New Roman"/>
        </w:rPr>
      </w:pPr>
      <w:r w:rsidRPr="00181352">
        <w:rPr>
          <w:rFonts w:ascii="Book Antiqua" w:hAnsi="Book Antiqua" w:cs="Times New Roman"/>
        </w:rPr>
        <w:t xml:space="preserve">La Comisión de Gobierno, previo estudio y evaluación, tiene a bien someter a este Honorable Cuerpo el Informe Positivo sobre el Proyecto del Senado </w:t>
      </w:r>
      <w:r>
        <w:rPr>
          <w:rFonts w:ascii="Book Antiqua" w:hAnsi="Book Antiqua" w:cs="Times New Roman"/>
        </w:rPr>
        <w:t xml:space="preserve">484 sin </w:t>
      </w:r>
      <w:r w:rsidRPr="00181352">
        <w:rPr>
          <w:rFonts w:ascii="Book Antiqua" w:hAnsi="Book Antiqua" w:cs="Times New Roman"/>
        </w:rPr>
        <w:t>enmiendas.</w:t>
      </w:r>
    </w:p>
    <w:p w14:paraId="096FC2AE" w14:textId="77777777" w:rsidR="00AD0009" w:rsidRDefault="00AD0009" w:rsidP="00AD0009">
      <w:pPr>
        <w:spacing w:after="0" w:line="240" w:lineRule="auto"/>
        <w:contextualSpacing/>
        <w:jc w:val="center"/>
        <w:rPr>
          <w:rFonts w:ascii="Book Antiqua" w:hAnsi="Book Antiqua"/>
          <w:b/>
          <w:bCs/>
        </w:rPr>
      </w:pPr>
    </w:p>
    <w:p w14:paraId="7736F969" w14:textId="41A2464D" w:rsidR="000D5B0A" w:rsidRPr="00A578C9" w:rsidRDefault="000D5B0A" w:rsidP="00AD0009">
      <w:pPr>
        <w:spacing w:after="0" w:line="240" w:lineRule="auto"/>
        <w:contextualSpacing/>
        <w:jc w:val="center"/>
        <w:rPr>
          <w:rFonts w:ascii="Book Antiqua" w:hAnsi="Book Antiqua"/>
        </w:rPr>
      </w:pPr>
      <w:r w:rsidRPr="00A578C9">
        <w:rPr>
          <w:rFonts w:ascii="Book Antiqua" w:hAnsi="Book Antiqua"/>
          <w:b/>
          <w:bCs/>
        </w:rPr>
        <w:t>ALCANCE DE LA MEDIDA</w:t>
      </w:r>
    </w:p>
    <w:p w14:paraId="63274B45" w14:textId="77777777" w:rsidR="00AD0009" w:rsidRDefault="00AD0009" w:rsidP="00AD0009">
      <w:pPr>
        <w:spacing w:after="0" w:line="240" w:lineRule="auto"/>
        <w:ind w:firstLine="708"/>
        <w:contextualSpacing/>
        <w:jc w:val="both"/>
        <w:rPr>
          <w:rFonts w:ascii="Book Antiqua" w:hAnsi="Book Antiqua"/>
        </w:rPr>
      </w:pPr>
    </w:p>
    <w:p w14:paraId="4EB2818B" w14:textId="1F8C445C"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El Proyecto del Senado 484 propone designar el 9 de marzo de cada año como el “Día de la Mujer Líder en la Industria Agrícola” en Puerto Rico, en reconocimiento a la aportación y contribución de las mujeres en la agricultura, la agroindustria y la seguridad alimentaria del país.</w:t>
      </w:r>
    </w:p>
    <w:p w14:paraId="391F58F9" w14:textId="77777777" w:rsidR="00AD0009" w:rsidRDefault="00AD0009" w:rsidP="00AD0009">
      <w:pPr>
        <w:spacing w:after="0" w:line="240" w:lineRule="auto"/>
        <w:ind w:firstLine="708"/>
        <w:contextualSpacing/>
        <w:jc w:val="both"/>
        <w:rPr>
          <w:rFonts w:ascii="Book Antiqua" w:hAnsi="Book Antiqua"/>
        </w:rPr>
      </w:pPr>
    </w:p>
    <w:p w14:paraId="2E5D017F" w14:textId="757F8BB3" w:rsidR="000D5B0A" w:rsidRPr="00C40B8F" w:rsidRDefault="000D5B0A" w:rsidP="00AD0009">
      <w:pPr>
        <w:spacing w:after="0" w:line="240" w:lineRule="auto"/>
        <w:ind w:firstLine="708"/>
        <w:contextualSpacing/>
        <w:jc w:val="both"/>
        <w:rPr>
          <w:rFonts w:ascii="Book Antiqua" w:hAnsi="Book Antiqua"/>
        </w:rPr>
      </w:pPr>
      <w:r w:rsidRPr="000D5B0A">
        <w:rPr>
          <w:rFonts w:ascii="Book Antiqua" w:hAnsi="Book Antiqua"/>
        </w:rPr>
        <w:t>Asimismo, la medida exhorta al Departamento de Agricultura, al Departamento de Educación, al Departamento de Desarrollo Económico y Comercio y a entidades públicas y privadas relacionadas con el sector agrícola a promover actividades educativas, reconocimientos y campañas de orientación dirigidas a destacar el liderazgo femenino dentro de la industria agrícola puertorriqueña.</w:t>
      </w:r>
    </w:p>
    <w:p w14:paraId="14EAC63B" w14:textId="77777777" w:rsidR="00AD0009" w:rsidRDefault="00AD0009" w:rsidP="00AD0009">
      <w:pPr>
        <w:spacing w:after="0" w:line="240" w:lineRule="auto"/>
        <w:contextualSpacing/>
        <w:jc w:val="center"/>
        <w:rPr>
          <w:rFonts w:ascii="Book Antiqua" w:hAnsi="Book Antiqua"/>
          <w:b/>
          <w:bCs/>
        </w:rPr>
      </w:pPr>
    </w:p>
    <w:p w14:paraId="410F2B1F" w14:textId="02A5278C" w:rsidR="000D5B0A" w:rsidRPr="00032AF5" w:rsidRDefault="000D5B0A" w:rsidP="00AD0009">
      <w:pPr>
        <w:spacing w:after="0" w:line="240" w:lineRule="auto"/>
        <w:contextualSpacing/>
        <w:jc w:val="center"/>
        <w:rPr>
          <w:rFonts w:ascii="Book Antiqua" w:hAnsi="Book Antiqua"/>
          <w:b/>
          <w:bCs/>
        </w:rPr>
      </w:pPr>
      <w:r w:rsidRPr="00032AF5">
        <w:rPr>
          <w:rFonts w:ascii="Book Antiqua" w:hAnsi="Book Antiqua"/>
          <w:b/>
          <w:bCs/>
        </w:rPr>
        <w:t>AN</w:t>
      </w:r>
      <w:r>
        <w:rPr>
          <w:rFonts w:ascii="Book Antiqua" w:hAnsi="Book Antiqua"/>
          <w:b/>
          <w:bCs/>
        </w:rPr>
        <w:t>Á</w:t>
      </w:r>
      <w:r w:rsidRPr="00032AF5">
        <w:rPr>
          <w:rFonts w:ascii="Book Antiqua" w:hAnsi="Book Antiqua"/>
          <w:b/>
          <w:bCs/>
        </w:rPr>
        <w:t>LISIS DE LA MEDIDA</w:t>
      </w:r>
    </w:p>
    <w:p w14:paraId="21B44C49" w14:textId="77777777" w:rsidR="00AD0009" w:rsidRDefault="00AD0009" w:rsidP="00AD0009">
      <w:pPr>
        <w:spacing w:after="0" w:line="240" w:lineRule="auto"/>
        <w:ind w:firstLine="708"/>
        <w:contextualSpacing/>
        <w:jc w:val="both"/>
        <w:rPr>
          <w:rFonts w:ascii="Book Antiqua" w:hAnsi="Book Antiqua" w:cs="Times New Roman"/>
        </w:rPr>
      </w:pPr>
    </w:p>
    <w:p w14:paraId="164A23C6" w14:textId="0DC38AE6" w:rsidR="000D5B0A" w:rsidRPr="000D5B0A" w:rsidRDefault="000D5B0A" w:rsidP="00AD0009">
      <w:pPr>
        <w:spacing w:after="0" w:line="240" w:lineRule="auto"/>
        <w:ind w:firstLine="708"/>
        <w:contextualSpacing/>
        <w:jc w:val="both"/>
        <w:rPr>
          <w:rFonts w:ascii="Book Antiqua" w:hAnsi="Book Antiqua"/>
        </w:rPr>
      </w:pPr>
      <w:r w:rsidRPr="00147DE7">
        <w:rPr>
          <w:rFonts w:ascii="Book Antiqua" w:hAnsi="Book Antiqua" w:cs="Times New Roman"/>
        </w:rPr>
        <w:t>La</w:t>
      </w:r>
      <w:r w:rsidRPr="000D5B0A">
        <w:rPr>
          <w:rFonts w:ascii="Times New Roman" w:eastAsia="Times New Roman" w:hAnsi="Times New Roman" w:cs="Times New Roman"/>
          <w:kern w:val="0"/>
          <w:lang w:eastAsia="es-PR"/>
          <w14:ligatures w14:val="none"/>
        </w:rPr>
        <w:t xml:space="preserve"> </w:t>
      </w:r>
      <w:r w:rsidRPr="000D5B0A">
        <w:rPr>
          <w:rFonts w:ascii="Book Antiqua" w:hAnsi="Book Antiqua"/>
        </w:rPr>
        <w:t xml:space="preserve">agricultura constituye uno de los sectores estratégicos más importantes para el desarrollo económico, la sostenibilidad y la seguridad alimentaria de Puerto Rico. Históricamente, las mujeres han desempeñado un rol esencial en todas las áreas del sector agrícola, incluyendo la producción, administración, innovación, agroindustria y </w:t>
      </w:r>
      <w:r w:rsidRPr="000D5B0A">
        <w:rPr>
          <w:rFonts w:ascii="Book Antiqua" w:hAnsi="Book Antiqua"/>
        </w:rPr>
        <w:lastRenderedPageBreak/>
        <w:t xml:space="preserve">desarrollo comunitario. No obstante, sus aportaciones han recibido un reconocimiento limitado dentro de las políticas públicas y los espacios de </w:t>
      </w:r>
      <w:proofErr w:type="spellStart"/>
      <w:r w:rsidRPr="000D5B0A">
        <w:rPr>
          <w:rFonts w:ascii="Book Antiqua" w:hAnsi="Book Antiqua"/>
        </w:rPr>
        <w:t>visibilización</w:t>
      </w:r>
      <w:proofErr w:type="spellEnd"/>
      <w:r w:rsidRPr="000D5B0A">
        <w:rPr>
          <w:rFonts w:ascii="Book Antiqua" w:hAnsi="Book Antiqua"/>
        </w:rPr>
        <w:t xml:space="preserve"> institucional.</w:t>
      </w:r>
    </w:p>
    <w:p w14:paraId="3B7BCD40" w14:textId="77777777" w:rsidR="00AD0009" w:rsidRDefault="00AD0009" w:rsidP="00AD0009">
      <w:pPr>
        <w:spacing w:after="0" w:line="240" w:lineRule="auto"/>
        <w:ind w:firstLine="708"/>
        <w:contextualSpacing/>
        <w:jc w:val="both"/>
        <w:rPr>
          <w:rFonts w:ascii="Book Antiqua" w:hAnsi="Book Antiqua" w:cs="Times New Roman"/>
        </w:rPr>
      </w:pPr>
    </w:p>
    <w:p w14:paraId="354B26AA" w14:textId="1CDF3EE0" w:rsidR="000D5B0A" w:rsidRPr="000D5B0A" w:rsidRDefault="000D5B0A" w:rsidP="00AD0009">
      <w:pPr>
        <w:spacing w:after="0" w:line="240" w:lineRule="auto"/>
        <w:ind w:firstLine="708"/>
        <w:contextualSpacing/>
        <w:jc w:val="both"/>
        <w:rPr>
          <w:rFonts w:ascii="Book Antiqua" w:hAnsi="Book Antiqua" w:cs="Times New Roman"/>
        </w:rPr>
      </w:pPr>
      <w:r w:rsidRPr="000D5B0A">
        <w:rPr>
          <w:rFonts w:ascii="Book Antiqua" w:hAnsi="Book Antiqua" w:cs="Times New Roman"/>
        </w:rPr>
        <w:t>El Proyecto del Senado 484 persigue reconocer oficialmente la contribución de las mujeres líderes en la industria agrícola mediante la designación de una fecha conmemorativa dirigida a destacar su impacto en el fortalecimiento del sector agrícola y la resiliencia alimentaria del País.</w:t>
      </w:r>
    </w:p>
    <w:p w14:paraId="523D008A" w14:textId="77777777" w:rsidR="00AD0009" w:rsidRDefault="00AD0009" w:rsidP="00AD0009">
      <w:pPr>
        <w:spacing w:after="0" w:line="240" w:lineRule="auto"/>
        <w:ind w:firstLine="708"/>
        <w:contextualSpacing/>
        <w:jc w:val="both"/>
        <w:rPr>
          <w:rFonts w:ascii="Book Antiqua" w:hAnsi="Book Antiqua" w:cs="Times New Roman"/>
        </w:rPr>
      </w:pPr>
    </w:p>
    <w:p w14:paraId="1F172964" w14:textId="177DDABB" w:rsidR="000D5B0A" w:rsidRPr="000D5B0A" w:rsidRDefault="000D5B0A" w:rsidP="00AD0009">
      <w:pPr>
        <w:spacing w:after="0" w:line="240" w:lineRule="auto"/>
        <w:ind w:firstLine="708"/>
        <w:contextualSpacing/>
        <w:jc w:val="both"/>
        <w:rPr>
          <w:rFonts w:ascii="Book Antiqua" w:hAnsi="Book Antiqua" w:cs="Times New Roman"/>
        </w:rPr>
      </w:pPr>
      <w:r w:rsidRPr="000D5B0A">
        <w:rPr>
          <w:rFonts w:ascii="Book Antiqua" w:hAnsi="Book Antiqua" w:cs="Times New Roman"/>
        </w:rPr>
        <w:t>La Comisión reconoce que esta medida se encuentra alineada con iniciativas de política pública dirigidas a fomentar la equidad, la inclusión y el reconocimiento del liderato femenino en sectores estratégicos para el desarrollo económico y social de Puerto Rico.</w:t>
      </w:r>
    </w:p>
    <w:p w14:paraId="0B5D8C7C" w14:textId="77777777" w:rsidR="00AD0009" w:rsidRDefault="00AD0009" w:rsidP="00AD0009">
      <w:pPr>
        <w:spacing w:after="0" w:line="240" w:lineRule="auto"/>
        <w:ind w:firstLine="708"/>
        <w:contextualSpacing/>
        <w:jc w:val="both"/>
        <w:rPr>
          <w:rFonts w:ascii="Book Antiqua" w:hAnsi="Book Antiqua" w:cs="Times New Roman"/>
        </w:rPr>
      </w:pPr>
    </w:p>
    <w:p w14:paraId="569BAECE" w14:textId="094A885A" w:rsidR="000D5B0A" w:rsidRPr="000D5B0A" w:rsidRDefault="000D5B0A" w:rsidP="00AD0009">
      <w:pPr>
        <w:spacing w:after="0" w:line="240" w:lineRule="auto"/>
        <w:ind w:firstLine="708"/>
        <w:contextualSpacing/>
        <w:jc w:val="both"/>
        <w:rPr>
          <w:rFonts w:ascii="Book Antiqua" w:hAnsi="Book Antiqua" w:cs="Times New Roman"/>
        </w:rPr>
      </w:pPr>
      <w:r w:rsidRPr="000D5B0A">
        <w:rPr>
          <w:rFonts w:ascii="Book Antiqua" w:hAnsi="Book Antiqua" w:cs="Times New Roman"/>
        </w:rPr>
        <w:t xml:space="preserve">Asimismo, la medida promueve la </w:t>
      </w:r>
      <w:proofErr w:type="spellStart"/>
      <w:r w:rsidRPr="000D5B0A">
        <w:rPr>
          <w:rFonts w:ascii="Book Antiqua" w:hAnsi="Book Antiqua" w:cs="Times New Roman"/>
        </w:rPr>
        <w:t>visibilización</w:t>
      </w:r>
      <w:proofErr w:type="spellEnd"/>
      <w:r w:rsidRPr="000D5B0A">
        <w:rPr>
          <w:rFonts w:ascii="Book Antiqua" w:hAnsi="Book Antiqua" w:cs="Times New Roman"/>
        </w:rPr>
        <w:t xml:space="preserve"> de modelos de liderazgo femenino dentro de un sector históricamente dominado por hombres, fomentando la participación de futuras generaciones de mujeres en áreas relacionadas con la agricultura, la innovación agroindustrial y la sostenibilidad alimentaria.</w:t>
      </w:r>
    </w:p>
    <w:p w14:paraId="0D94FC7B" w14:textId="77777777" w:rsidR="00AD0009" w:rsidRDefault="00AD0009" w:rsidP="00AD0009">
      <w:pPr>
        <w:spacing w:after="0" w:line="240" w:lineRule="auto"/>
        <w:ind w:firstLine="708"/>
        <w:contextualSpacing/>
        <w:jc w:val="both"/>
        <w:rPr>
          <w:rFonts w:ascii="Book Antiqua" w:hAnsi="Book Antiqua" w:cs="Times New Roman"/>
        </w:rPr>
      </w:pPr>
    </w:p>
    <w:p w14:paraId="20C9983F" w14:textId="1EE335D5" w:rsidR="000D5B0A" w:rsidRPr="00D17FE8" w:rsidRDefault="000D5B0A" w:rsidP="00AD0009">
      <w:pPr>
        <w:spacing w:after="0" w:line="240" w:lineRule="auto"/>
        <w:ind w:firstLine="708"/>
        <w:contextualSpacing/>
        <w:jc w:val="both"/>
        <w:rPr>
          <w:rFonts w:ascii="Book Antiqua" w:hAnsi="Book Antiqua" w:cs="Times New Roman"/>
        </w:rPr>
      </w:pPr>
      <w:r w:rsidRPr="000D5B0A">
        <w:rPr>
          <w:rFonts w:ascii="Book Antiqua" w:hAnsi="Book Antiqua" w:cs="Times New Roman"/>
        </w:rPr>
        <w:t>De igual forma, la Comisión entiende meritorio destacar que las mujeres agricultoras y líderes agroindustriales desempeñan un rol importante en las economías rurales, el empresarismo agrícola y el fortalecimiento de la autosuficiencia alimentaria de Puerto Rico.</w:t>
      </w:r>
    </w:p>
    <w:p w14:paraId="4174010E" w14:textId="77777777" w:rsidR="00AD0009" w:rsidRDefault="00AD0009" w:rsidP="00AD0009">
      <w:pPr>
        <w:spacing w:after="0" w:line="240" w:lineRule="auto"/>
        <w:contextualSpacing/>
        <w:jc w:val="center"/>
        <w:rPr>
          <w:rFonts w:ascii="Book Antiqua" w:hAnsi="Book Antiqua"/>
          <w:b/>
          <w:bCs/>
        </w:rPr>
      </w:pPr>
    </w:p>
    <w:p w14:paraId="70E265BA" w14:textId="27A6B4D4" w:rsidR="000D5B0A" w:rsidRPr="008F7C47" w:rsidRDefault="000D5B0A" w:rsidP="00AD0009">
      <w:pPr>
        <w:spacing w:after="0" w:line="240" w:lineRule="auto"/>
        <w:contextualSpacing/>
        <w:jc w:val="center"/>
        <w:rPr>
          <w:rFonts w:ascii="Book Antiqua" w:hAnsi="Book Antiqua"/>
          <w:b/>
          <w:bCs/>
        </w:rPr>
      </w:pPr>
      <w:r w:rsidRPr="008F7C47">
        <w:rPr>
          <w:rFonts w:ascii="Book Antiqua" w:hAnsi="Book Antiqua"/>
          <w:b/>
          <w:bCs/>
        </w:rPr>
        <w:t>ALCANCE DEL INFORME</w:t>
      </w:r>
    </w:p>
    <w:p w14:paraId="71D18C72" w14:textId="77777777" w:rsidR="00AD0009" w:rsidRDefault="00AD0009" w:rsidP="00AD0009">
      <w:pPr>
        <w:spacing w:after="0" w:line="240" w:lineRule="auto"/>
        <w:ind w:firstLine="708"/>
        <w:contextualSpacing/>
        <w:jc w:val="both"/>
        <w:rPr>
          <w:rFonts w:ascii="Book Antiqua" w:hAnsi="Book Antiqua"/>
        </w:rPr>
      </w:pPr>
    </w:p>
    <w:p w14:paraId="58C1B75B" w14:textId="2CA5F5FB" w:rsid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La Comisión de Gobierno de la Cámara de Representantes de Puerto Rico solicitó memoriales explicativos y comentarios sobre el Proyecto del Senado 484 al Departamento de Estado, </w:t>
      </w:r>
      <w:r>
        <w:rPr>
          <w:rFonts w:ascii="Book Antiqua" w:hAnsi="Book Antiqua"/>
        </w:rPr>
        <w:t xml:space="preserve">al Departamento de Agricultura, a la Oficina de la Procuradora de las Mujeres, </w:t>
      </w:r>
      <w:r w:rsidRPr="000D5B0A">
        <w:rPr>
          <w:rFonts w:ascii="Book Antiqua" w:hAnsi="Book Antiqua"/>
        </w:rPr>
        <w:t>al Departamento de Educación</w:t>
      </w:r>
      <w:r w:rsidR="001E6F28">
        <w:rPr>
          <w:rFonts w:ascii="Book Antiqua" w:hAnsi="Book Antiqua"/>
        </w:rPr>
        <w:t xml:space="preserve">, al </w:t>
      </w:r>
      <w:r w:rsidR="001E6F28" w:rsidRPr="000D5B0A">
        <w:rPr>
          <w:rFonts w:ascii="Book Antiqua" w:hAnsi="Book Antiqua"/>
        </w:rPr>
        <w:t xml:space="preserve">Departamento de Desarrollo Económico y </w:t>
      </w:r>
      <w:proofErr w:type="gramStart"/>
      <w:r w:rsidR="001E6F28" w:rsidRPr="000D5B0A">
        <w:rPr>
          <w:rFonts w:ascii="Book Antiqua" w:hAnsi="Book Antiqua"/>
        </w:rPr>
        <w:t>Comercio</w:t>
      </w:r>
      <w:r w:rsidR="000D6233">
        <w:rPr>
          <w:rFonts w:ascii="Book Antiqua" w:hAnsi="Book Antiqua"/>
        </w:rPr>
        <w:t>,</w:t>
      </w:r>
      <w:r w:rsidR="001E6F28" w:rsidRPr="000D5B0A">
        <w:rPr>
          <w:rFonts w:ascii="Book Antiqua" w:hAnsi="Book Antiqua"/>
        </w:rPr>
        <w:t xml:space="preserve"> </w:t>
      </w:r>
      <w:r w:rsidR="001E6F28">
        <w:rPr>
          <w:rFonts w:ascii="Book Antiqua" w:hAnsi="Book Antiqua"/>
        </w:rPr>
        <w:t xml:space="preserve"> </w:t>
      </w:r>
      <w:r w:rsidRPr="000D5B0A">
        <w:rPr>
          <w:rFonts w:ascii="Book Antiqua" w:hAnsi="Book Antiqua"/>
        </w:rPr>
        <w:t xml:space="preserve"> </w:t>
      </w:r>
      <w:proofErr w:type="gramEnd"/>
      <w:r w:rsidRPr="000D5B0A">
        <w:rPr>
          <w:rFonts w:ascii="Book Antiqua" w:hAnsi="Book Antiqua"/>
        </w:rPr>
        <w:t>y a la Oficina de Presupuesto de la Asamblea Legislativa (OPAL).</w:t>
      </w:r>
    </w:p>
    <w:p w14:paraId="6EFC8FA2" w14:textId="77777777" w:rsidR="00AD0009" w:rsidRDefault="00AD0009" w:rsidP="00AD0009">
      <w:pPr>
        <w:spacing w:after="0" w:line="240" w:lineRule="auto"/>
        <w:ind w:firstLine="708"/>
        <w:contextualSpacing/>
        <w:jc w:val="both"/>
        <w:rPr>
          <w:rFonts w:ascii="Book Antiqua" w:hAnsi="Book Antiqua"/>
        </w:rPr>
      </w:pPr>
    </w:p>
    <w:p w14:paraId="6F8D0BD7" w14:textId="0F05DD04" w:rsidR="0052727E" w:rsidRPr="000D5B0A" w:rsidRDefault="0052727E" w:rsidP="00AD0009">
      <w:pPr>
        <w:spacing w:after="0" w:line="240" w:lineRule="auto"/>
        <w:ind w:firstLine="708"/>
        <w:contextualSpacing/>
        <w:jc w:val="both"/>
        <w:rPr>
          <w:rFonts w:ascii="Book Antiqua" w:hAnsi="Book Antiqua"/>
        </w:rPr>
      </w:pPr>
      <w:r>
        <w:rPr>
          <w:rFonts w:ascii="Book Antiqua" w:hAnsi="Book Antiqua"/>
        </w:rPr>
        <w:t xml:space="preserve">Se recibieron y evaluaron los siguientes memoriales. </w:t>
      </w:r>
    </w:p>
    <w:p w14:paraId="484E3C13" w14:textId="77777777" w:rsidR="00AD0009" w:rsidRDefault="00AD0009" w:rsidP="00AD0009">
      <w:pPr>
        <w:spacing w:after="0" w:line="240" w:lineRule="auto"/>
        <w:ind w:firstLine="708"/>
        <w:contextualSpacing/>
        <w:jc w:val="center"/>
        <w:rPr>
          <w:rFonts w:ascii="Book Antiqua" w:hAnsi="Book Antiqua"/>
          <w:b/>
          <w:bCs/>
        </w:rPr>
      </w:pPr>
    </w:p>
    <w:p w14:paraId="1AA3FAF9" w14:textId="6A1F27FE" w:rsidR="000D5B0A" w:rsidRPr="000D5B0A" w:rsidRDefault="000D5B0A" w:rsidP="00AD0009">
      <w:pPr>
        <w:spacing w:after="0" w:line="240" w:lineRule="auto"/>
        <w:ind w:firstLine="708"/>
        <w:contextualSpacing/>
        <w:jc w:val="center"/>
        <w:rPr>
          <w:rFonts w:ascii="Book Antiqua" w:hAnsi="Book Antiqua"/>
          <w:b/>
          <w:bCs/>
        </w:rPr>
      </w:pPr>
      <w:r w:rsidRPr="000D5B0A">
        <w:rPr>
          <w:rFonts w:ascii="Book Antiqua" w:hAnsi="Book Antiqua"/>
          <w:b/>
          <w:bCs/>
        </w:rPr>
        <w:t>Departamento de Estado</w:t>
      </w:r>
    </w:p>
    <w:p w14:paraId="1163A0CB" w14:textId="77777777" w:rsidR="00AD0009" w:rsidRDefault="00AD0009" w:rsidP="00AD0009">
      <w:pPr>
        <w:spacing w:after="0" w:line="240" w:lineRule="auto"/>
        <w:ind w:firstLine="708"/>
        <w:contextualSpacing/>
        <w:jc w:val="both"/>
        <w:rPr>
          <w:rFonts w:ascii="Book Antiqua" w:hAnsi="Book Antiqua"/>
        </w:rPr>
      </w:pPr>
    </w:p>
    <w:p w14:paraId="1FDFDEED" w14:textId="7C6387F4"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El Departamento de Estado expresó su respaldo a la medida propuesta, destacando que la misma persigue una intención legítima y encomiable al visibilizar y reconocer el liderazgo de las mujeres dentro de la industria agrícola. </w:t>
      </w:r>
    </w:p>
    <w:p w14:paraId="736A8E1F" w14:textId="77777777" w:rsidR="00AD0009" w:rsidRDefault="00AD0009" w:rsidP="00AD0009">
      <w:pPr>
        <w:spacing w:after="0" w:line="240" w:lineRule="auto"/>
        <w:ind w:firstLine="708"/>
        <w:contextualSpacing/>
        <w:jc w:val="both"/>
        <w:rPr>
          <w:rFonts w:ascii="Book Antiqua" w:hAnsi="Book Antiqua"/>
        </w:rPr>
      </w:pPr>
    </w:p>
    <w:p w14:paraId="6A77F3FA" w14:textId="361C36AE"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Asimismo, señaló que la designación de una fecha conmemorativa oficial puede fortalecer la equidad de género dentro del sector agrícola, promover modelos de éxito y </w:t>
      </w:r>
      <w:r w:rsidRPr="000D5B0A">
        <w:rPr>
          <w:rFonts w:ascii="Book Antiqua" w:hAnsi="Book Antiqua"/>
        </w:rPr>
        <w:lastRenderedPageBreak/>
        <w:t xml:space="preserve">fomentar políticas públicas dirigidas a incentivar la participación plena de las mujeres en dicho sector. </w:t>
      </w:r>
    </w:p>
    <w:p w14:paraId="461E48AC" w14:textId="77777777" w:rsidR="00AD0009" w:rsidRDefault="00AD0009" w:rsidP="00AD0009">
      <w:pPr>
        <w:spacing w:after="0" w:line="240" w:lineRule="auto"/>
        <w:ind w:firstLine="708"/>
        <w:contextualSpacing/>
        <w:jc w:val="both"/>
        <w:rPr>
          <w:rFonts w:ascii="Book Antiqua" w:hAnsi="Book Antiqua"/>
        </w:rPr>
      </w:pPr>
    </w:p>
    <w:p w14:paraId="16D79B69" w14:textId="59DB1E17"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El Departamento de Estado también destacó que las mujeres han contribuido significativamente al desarrollo del sector agrícola, la agroindustria y la sostenibilidad alimentaria del país, razón por la cual avaló la aprobación de la medida. </w:t>
      </w:r>
    </w:p>
    <w:p w14:paraId="566AF754" w14:textId="77777777" w:rsidR="00AD0009" w:rsidRDefault="00AD0009" w:rsidP="00AD0009">
      <w:pPr>
        <w:spacing w:after="0" w:line="240" w:lineRule="auto"/>
        <w:ind w:firstLine="708"/>
        <w:contextualSpacing/>
        <w:jc w:val="center"/>
        <w:rPr>
          <w:rFonts w:ascii="Book Antiqua" w:hAnsi="Book Antiqua"/>
          <w:b/>
          <w:bCs/>
        </w:rPr>
      </w:pPr>
    </w:p>
    <w:p w14:paraId="6871B999" w14:textId="12D6D30B" w:rsidR="000D5B0A" w:rsidRPr="000D5B0A" w:rsidRDefault="000D5B0A" w:rsidP="00AD0009">
      <w:pPr>
        <w:spacing w:after="0" w:line="240" w:lineRule="auto"/>
        <w:ind w:firstLine="708"/>
        <w:contextualSpacing/>
        <w:jc w:val="center"/>
        <w:rPr>
          <w:rFonts w:ascii="Book Antiqua" w:hAnsi="Book Antiqua"/>
          <w:b/>
          <w:bCs/>
        </w:rPr>
      </w:pPr>
      <w:r w:rsidRPr="000D5B0A">
        <w:rPr>
          <w:rFonts w:ascii="Book Antiqua" w:hAnsi="Book Antiqua"/>
          <w:b/>
          <w:bCs/>
        </w:rPr>
        <w:t>Departamento de Educación</w:t>
      </w:r>
    </w:p>
    <w:p w14:paraId="58E9CA37" w14:textId="77777777" w:rsidR="00AD0009" w:rsidRDefault="00AD0009" w:rsidP="00AD0009">
      <w:pPr>
        <w:spacing w:after="0" w:line="240" w:lineRule="auto"/>
        <w:ind w:firstLine="708"/>
        <w:contextualSpacing/>
        <w:jc w:val="both"/>
        <w:rPr>
          <w:rFonts w:ascii="Book Antiqua" w:hAnsi="Book Antiqua"/>
        </w:rPr>
      </w:pPr>
    </w:p>
    <w:p w14:paraId="6DEA1419" w14:textId="609F4368"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Por su parte, el Departamento de Educación compareció durante el trámite legislativo ante el Senado de Puerto Rico y expresó que la medida es cónsona con los principios educativos relacionados con la promoción de la equidad y el reconocimiento de las aportaciones de las mujeres en distintos sectores de la sociedad.</w:t>
      </w:r>
    </w:p>
    <w:p w14:paraId="35D9BD77" w14:textId="77777777" w:rsidR="00AD0009" w:rsidRDefault="00AD0009" w:rsidP="00AD0009">
      <w:pPr>
        <w:spacing w:after="0" w:line="240" w:lineRule="auto"/>
        <w:ind w:firstLine="708"/>
        <w:contextualSpacing/>
        <w:jc w:val="both"/>
        <w:rPr>
          <w:rFonts w:ascii="Book Antiqua" w:hAnsi="Book Antiqua"/>
        </w:rPr>
      </w:pPr>
    </w:p>
    <w:p w14:paraId="4811E40A" w14:textId="1BFF8D3A"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Asimismo, indicó que actualmente el calendario escolar reconoce el 8 de marzo como el Día Internacional de la Mujer Trabajadora y expresó que, de aprobarse la medida, el Departamento continuaría promoviendo actividades educativas dirigidas a destacar la aportación de las mujeres líderes en la industria agrícola.</w:t>
      </w:r>
    </w:p>
    <w:p w14:paraId="0FA1D139" w14:textId="77777777" w:rsidR="00AD0009" w:rsidRDefault="00AD0009" w:rsidP="00AD0009">
      <w:pPr>
        <w:spacing w:after="0" w:line="240" w:lineRule="auto"/>
        <w:ind w:firstLine="708"/>
        <w:contextualSpacing/>
        <w:jc w:val="center"/>
        <w:rPr>
          <w:rFonts w:ascii="Book Antiqua" w:hAnsi="Book Antiqua"/>
          <w:b/>
          <w:bCs/>
        </w:rPr>
      </w:pPr>
    </w:p>
    <w:p w14:paraId="71662F44" w14:textId="7D465E6F" w:rsidR="000D5B0A" w:rsidRPr="000D5B0A" w:rsidRDefault="000D5B0A" w:rsidP="00AD0009">
      <w:pPr>
        <w:spacing w:after="0" w:line="240" w:lineRule="auto"/>
        <w:ind w:firstLine="708"/>
        <w:contextualSpacing/>
        <w:jc w:val="center"/>
        <w:rPr>
          <w:rFonts w:ascii="Book Antiqua" w:hAnsi="Book Antiqua"/>
          <w:b/>
          <w:bCs/>
        </w:rPr>
      </w:pPr>
      <w:r w:rsidRPr="000D5B0A">
        <w:rPr>
          <w:rFonts w:ascii="Book Antiqua" w:hAnsi="Book Antiqua"/>
          <w:b/>
          <w:bCs/>
        </w:rPr>
        <w:t>Oficina de Presupuesto de la Asamblea Legislativa (OPAL)</w:t>
      </w:r>
    </w:p>
    <w:p w14:paraId="448A850F" w14:textId="77777777" w:rsidR="00AD0009" w:rsidRDefault="00AD0009" w:rsidP="00AD0009">
      <w:pPr>
        <w:spacing w:after="0" w:line="240" w:lineRule="auto"/>
        <w:ind w:firstLine="708"/>
        <w:contextualSpacing/>
        <w:jc w:val="both"/>
        <w:rPr>
          <w:rFonts w:ascii="Book Antiqua" w:hAnsi="Book Antiqua"/>
        </w:rPr>
      </w:pPr>
    </w:p>
    <w:p w14:paraId="78304986" w14:textId="4DE425CA"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La Oficina de Presupuesto de la Asamblea Legislativa (OPAL) evaluó el impacto fiscal del Proyecto del Senado 484 y concluyó que la medida no representa impacto fiscal para el Estado. </w:t>
      </w:r>
    </w:p>
    <w:p w14:paraId="7BA53CEA" w14:textId="77777777" w:rsidR="00AD0009" w:rsidRDefault="00AD0009" w:rsidP="00AD0009">
      <w:pPr>
        <w:spacing w:after="0" w:line="240" w:lineRule="auto"/>
        <w:ind w:firstLine="708"/>
        <w:contextualSpacing/>
        <w:jc w:val="both"/>
        <w:rPr>
          <w:rFonts w:ascii="Book Antiqua" w:hAnsi="Book Antiqua"/>
        </w:rPr>
      </w:pPr>
    </w:p>
    <w:p w14:paraId="6F818367" w14:textId="111F5FA7"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Según surge del Informe 2026-265, la medida se limita a establecer una fecha conmemorativa y exhortaciones dirigidas a promover actividades educativas y de reconocimiento dentro de los recursos existentes de las agencias gubernamentales, sin crear programas nuevos, asignar fondos adicionales ni requerir estructuras administrativas adicionales. </w:t>
      </w:r>
    </w:p>
    <w:p w14:paraId="757DA253" w14:textId="77777777" w:rsidR="00AD0009" w:rsidRDefault="00AD0009" w:rsidP="00AD0009">
      <w:pPr>
        <w:spacing w:after="0" w:line="240" w:lineRule="auto"/>
        <w:ind w:firstLine="708"/>
        <w:contextualSpacing/>
        <w:jc w:val="center"/>
        <w:rPr>
          <w:rFonts w:ascii="Book Antiqua" w:hAnsi="Book Antiqua"/>
          <w:b/>
          <w:bCs/>
        </w:rPr>
      </w:pPr>
    </w:p>
    <w:p w14:paraId="569AEBA5" w14:textId="0D1EE681" w:rsidR="000D5B0A" w:rsidRPr="000D5B0A" w:rsidRDefault="000D5B0A" w:rsidP="00AD0009">
      <w:pPr>
        <w:spacing w:after="0" w:line="240" w:lineRule="auto"/>
        <w:ind w:firstLine="708"/>
        <w:contextualSpacing/>
        <w:jc w:val="center"/>
        <w:rPr>
          <w:rFonts w:ascii="Book Antiqua" w:hAnsi="Book Antiqua"/>
          <w:b/>
          <w:bCs/>
        </w:rPr>
      </w:pPr>
      <w:r w:rsidRPr="000D5B0A">
        <w:rPr>
          <w:rFonts w:ascii="Book Antiqua" w:hAnsi="Book Antiqua"/>
          <w:b/>
          <w:bCs/>
        </w:rPr>
        <w:t>IMPACTO FISCAL</w:t>
      </w:r>
    </w:p>
    <w:p w14:paraId="175900D7" w14:textId="77777777" w:rsidR="00AD0009" w:rsidRDefault="00AD0009" w:rsidP="00AD0009">
      <w:pPr>
        <w:spacing w:after="0" w:line="240" w:lineRule="auto"/>
        <w:ind w:firstLine="708"/>
        <w:contextualSpacing/>
        <w:jc w:val="both"/>
        <w:rPr>
          <w:rFonts w:ascii="Book Antiqua" w:hAnsi="Book Antiqua"/>
        </w:rPr>
      </w:pPr>
    </w:p>
    <w:p w14:paraId="104F0212" w14:textId="6FC94495"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 xml:space="preserve">Conforme al análisis realizado por la Oficina de Presupuesto de la Asamblea Legislativa (OPAL), el Proyecto del Senado 484 no representa impacto fiscal para el Gobierno de Puerto Rico. </w:t>
      </w:r>
    </w:p>
    <w:p w14:paraId="32CF5B6B" w14:textId="77777777" w:rsidR="00AD0009" w:rsidRDefault="00AD0009" w:rsidP="00AD0009">
      <w:pPr>
        <w:spacing w:after="0" w:line="240" w:lineRule="auto"/>
        <w:ind w:firstLine="708"/>
        <w:contextualSpacing/>
        <w:jc w:val="both"/>
        <w:rPr>
          <w:rFonts w:ascii="Book Antiqua" w:hAnsi="Book Antiqua"/>
        </w:rPr>
      </w:pPr>
    </w:p>
    <w:p w14:paraId="201CE084" w14:textId="4C82038F" w:rsidR="0052727E" w:rsidRPr="0037152A" w:rsidRDefault="000D5B0A" w:rsidP="00AD0009">
      <w:pPr>
        <w:spacing w:after="0" w:line="240" w:lineRule="auto"/>
        <w:ind w:firstLine="708"/>
        <w:contextualSpacing/>
        <w:jc w:val="both"/>
        <w:rPr>
          <w:rFonts w:ascii="Book Antiqua" w:hAnsi="Book Antiqua"/>
        </w:rPr>
      </w:pPr>
      <w:r w:rsidRPr="000D5B0A">
        <w:rPr>
          <w:rFonts w:ascii="Book Antiqua" w:hAnsi="Book Antiqua"/>
        </w:rPr>
        <w:t>La medida no crea programas gubernamentales nuevos ni establece asignaciones presupuestarias específicas, por lo que las actividades relacionadas con su implementación podrán realizarse utilizando los recursos existentes de las agencias concernidas.</w:t>
      </w:r>
    </w:p>
    <w:p w14:paraId="1BF67E66" w14:textId="77777777" w:rsidR="00AD0009" w:rsidRDefault="00AD0009" w:rsidP="00AD0009">
      <w:pPr>
        <w:spacing w:after="0" w:line="240" w:lineRule="auto"/>
        <w:contextualSpacing/>
        <w:jc w:val="center"/>
        <w:rPr>
          <w:rFonts w:ascii="Book Antiqua" w:hAnsi="Book Antiqua"/>
          <w:b/>
          <w:bCs/>
        </w:rPr>
      </w:pPr>
    </w:p>
    <w:p w14:paraId="58633599" w14:textId="57F2E2E0" w:rsidR="000D5B0A" w:rsidRPr="000D5B0A" w:rsidRDefault="000D5B0A" w:rsidP="00AD0009">
      <w:pPr>
        <w:spacing w:after="0" w:line="240" w:lineRule="auto"/>
        <w:contextualSpacing/>
        <w:jc w:val="center"/>
        <w:rPr>
          <w:rFonts w:ascii="Book Antiqua" w:hAnsi="Book Antiqua"/>
          <w:b/>
          <w:bCs/>
        </w:rPr>
      </w:pPr>
      <w:r w:rsidRPr="000D5B0A">
        <w:rPr>
          <w:rFonts w:ascii="Book Antiqua" w:hAnsi="Book Antiqua"/>
          <w:b/>
          <w:bCs/>
        </w:rPr>
        <w:lastRenderedPageBreak/>
        <w:t>CONCLUSIÓN</w:t>
      </w:r>
    </w:p>
    <w:p w14:paraId="0EBE1C03" w14:textId="77777777" w:rsidR="00AD0009" w:rsidRDefault="00AD0009" w:rsidP="00AD0009">
      <w:pPr>
        <w:spacing w:after="0" w:line="240" w:lineRule="auto"/>
        <w:ind w:firstLine="708"/>
        <w:contextualSpacing/>
        <w:jc w:val="both"/>
        <w:rPr>
          <w:rFonts w:ascii="Book Antiqua" w:hAnsi="Book Antiqua"/>
        </w:rPr>
      </w:pPr>
    </w:p>
    <w:p w14:paraId="710C22DE" w14:textId="5A5BCC6B"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La Comisión de Gobierno de la Cámara de Representantes concluye que el Proyecto del Senado 484 atiende una iniciativa meritoria dirigida a reconocer y visibilizar la aportación de las mujeres líderes en la industria agrícola de Puerto Rico.</w:t>
      </w:r>
    </w:p>
    <w:p w14:paraId="3363A306" w14:textId="77777777" w:rsidR="00AD0009" w:rsidRDefault="00AD0009" w:rsidP="00AD0009">
      <w:pPr>
        <w:spacing w:after="0" w:line="240" w:lineRule="auto"/>
        <w:ind w:firstLine="708"/>
        <w:contextualSpacing/>
        <w:jc w:val="both"/>
        <w:rPr>
          <w:rFonts w:ascii="Book Antiqua" w:hAnsi="Book Antiqua"/>
        </w:rPr>
      </w:pPr>
    </w:p>
    <w:p w14:paraId="79A29B40" w14:textId="2E454B39"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La medida promueve el reconocimiento del liderazgo femenino dentro de un sector estratégico para la economía, la sostenibilidad y la seguridad alimentaria del País, fomentando además la integración de futuras generaciones de mujeres al sector agrícola y agroindustrial.</w:t>
      </w:r>
    </w:p>
    <w:p w14:paraId="7C556C8F" w14:textId="77777777" w:rsidR="00AD0009" w:rsidRDefault="00AD0009" w:rsidP="00AD0009">
      <w:pPr>
        <w:spacing w:after="0" w:line="240" w:lineRule="auto"/>
        <w:ind w:firstLine="708"/>
        <w:contextualSpacing/>
        <w:jc w:val="both"/>
        <w:rPr>
          <w:rFonts w:ascii="Book Antiqua" w:hAnsi="Book Antiqua"/>
        </w:rPr>
      </w:pPr>
    </w:p>
    <w:p w14:paraId="6E2AE926" w14:textId="1071E471"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Asimismo, los memoriales evaluados reflejan respaldo institucional a la medida y reconocen la importancia de destacar el rol transformador de las mujeres dentro de la agricultura puertorriqueña.</w:t>
      </w:r>
    </w:p>
    <w:p w14:paraId="5494447C" w14:textId="77777777" w:rsidR="00AD0009" w:rsidRDefault="00AD0009" w:rsidP="00AD0009">
      <w:pPr>
        <w:spacing w:after="0" w:line="240" w:lineRule="auto"/>
        <w:ind w:firstLine="708"/>
        <w:contextualSpacing/>
        <w:jc w:val="both"/>
        <w:rPr>
          <w:rFonts w:ascii="Book Antiqua" w:hAnsi="Book Antiqua"/>
        </w:rPr>
      </w:pPr>
    </w:p>
    <w:p w14:paraId="7F3F3D3A" w14:textId="74329BEA" w:rsidR="000D5B0A" w:rsidRP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De igual forma, la evaluación realizada por la Oficina de Presupuesto de la Asamblea Legislativa confirma que la medida no representa impacto fiscal para el Estado, al tratarse de una legislación de carácter conmemorativo y exhortativo.</w:t>
      </w:r>
    </w:p>
    <w:p w14:paraId="3DE3C999" w14:textId="77777777" w:rsidR="00AD0009" w:rsidRDefault="00AD0009" w:rsidP="00AD0009">
      <w:pPr>
        <w:spacing w:after="0" w:line="240" w:lineRule="auto"/>
        <w:ind w:firstLine="708"/>
        <w:contextualSpacing/>
        <w:jc w:val="both"/>
        <w:rPr>
          <w:rFonts w:ascii="Book Antiqua" w:hAnsi="Book Antiqua"/>
        </w:rPr>
      </w:pPr>
    </w:p>
    <w:p w14:paraId="7D78080F" w14:textId="3CE1930B" w:rsidR="000D5B0A" w:rsidRDefault="000D5B0A" w:rsidP="00AD0009">
      <w:pPr>
        <w:spacing w:after="0" w:line="240" w:lineRule="auto"/>
        <w:ind w:firstLine="708"/>
        <w:contextualSpacing/>
        <w:jc w:val="both"/>
        <w:rPr>
          <w:rFonts w:ascii="Book Antiqua" w:hAnsi="Book Antiqua"/>
        </w:rPr>
      </w:pPr>
      <w:r w:rsidRPr="000D5B0A">
        <w:rPr>
          <w:rFonts w:ascii="Book Antiqua" w:hAnsi="Book Antiqua"/>
        </w:rPr>
        <w:t>POR TODO LO ANTES EXPUESTO, la Comisión de Gobierno de la Cámara de Representantes de Puerto Rico, previo estudio y consideración, tiene a bien someter ante este Alto Cuerpo el Informe Positivo sobre el Proyecto del Senado 484, recomendando su aprobación</w:t>
      </w:r>
      <w:r w:rsidR="004D6650">
        <w:rPr>
          <w:rFonts w:ascii="Book Antiqua" w:hAnsi="Book Antiqua"/>
        </w:rPr>
        <w:t xml:space="preserve"> sin enmiendas</w:t>
      </w:r>
      <w:r w:rsidRPr="000D5B0A">
        <w:rPr>
          <w:rFonts w:ascii="Book Antiqua" w:hAnsi="Book Antiqua"/>
        </w:rPr>
        <w:t>.</w:t>
      </w:r>
    </w:p>
    <w:p w14:paraId="00C19E76" w14:textId="77777777" w:rsidR="00AD0009" w:rsidRDefault="00AD0009" w:rsidP="00AD0009">
      <w:pPr>
        <w:spacing w:after="0" w:line="240" w:lineRule="auto"/>
        <w:contextualSpacing/>
        <w:rPr>
          <w:rFonts w:ascii="Book Antiqua" w:hAnsi="Book Antiqua"/>
        </w:rPr>
      </w:pPr>
    </w:p>
    <w:p w14:paraId="0C2F3988" w14:textId="77777777" w:rsidR="00AD0009" w:rsidRDefault="00AD0009" w:rsidP="00AD0009">
      <w:pPr>
        <w:spacing w:after="0" w:line="240" w:lineRule="auto"/>
        <w:contextualSpacing/>
        <w:rPr>
          <w:rFonts w:ascii="Book Antiqua" w:hAnsi="Book Antiqua"/>
        </w:rPr>
      </w:pPr>
    </w:p>
    <w:p w14:paraId="00DA2170" w14:textId="66B9CB85" w:rsidR="000D5B0A" w:rsidRPr="00A578C9" w:rsidRDefault="000D5B0A" w:rsidP="00AD0009">
      <w:pPr>
        <w:spacing w:after="0" w:line="240" w:lineRule="auto"/>
        <w:contextualSpacing/>
        <w:rPr>
          <w:rFonts w:ascii="Book Antiqua" w:hAnsi="Book Antiqua"/>
        </w:rPr>
      </w:pPr>
      <w:r w:rsidRPr="00A578C9">
        <w:rPr>
          <w:rFonts w:ascii="Book Antiqua" w:hAnsi="Book Antiqua"/>
        </w:rPr>
        <w:t>Respetuosamente sometido,</w:t>
      </w:r>
      <w:r w:rsidRPr="00A578C9">
        <w:rPr>
          <w:rFonts w:ascii="Times New Roman" w:hAnsi="Times New Roman" w:cs="Times New Roman"/>
        </w:rPr>
        <w:t>  </w:t>
      </w:r>
      <w:r w:rsidRPr="00A578C9">
        <w:rPr>
          <w:rFonts w:ascii="Book Antiqua" w:hAnsi="Book Antiqua"/>
        </w:rPr>
        <w:t> </w:t>
      </w:r>
    </w:p>
    <w:p w14:paraId="4B416E13" w14:textId="77777777" w:rsidR="000D5B0A" w:rsidRDefault="000D5B0A" w:rsidP="00AD0009">
      <w:pPr>
        <w:spacing w:after="0" w:line="240" w:lineRule="auto"/>
        <w:contextualSpacing/>
        <w:rPr>
          <w:rFonts w:ascii="Book Antiqua" w:hAnsi="Book Antiqua"/>
        </w:rPr>
      </w:pPr>
      <w:r w:rsidRPr="00A578C9">
        <w:rPr>
          <w:rFonts w:ascii="Book Antiqua" w:hAnsi="Book Antiqua"/>
        </w:rPr>
        <w:t> </w:t>
      </w:r>
    </w:p>
    <w:p w14:paraId="55E062ED" w14:textId="77777777" w:rsidR="00AD0009" w:rsidRDefault="00AD0009" w:rsidP="00AD0009">
      <w:pPr>
        <w:spacing w:after="0" w:line="240" w:lineRule="auto"/>
        <w:contextualSpacing/>
        <w:rPr>
          <w:rFonts w:ascii="Book Antiqua" w:hAnsi="Book Antiqua"/>
        </w:rPr>
      </w:pPr>
    </w:p>
    <w:p w14:paraId="63D39E4C" w14:textId="77777777" w:rsidR="00AD0009" w:rsidRDefault="00AD0009" w:rsidP="00AD0009">
      <w:pPr>
        <w:spacing w:after="0" w:line="240" w:lineRule="auto"/>
        <w:contextualSpacing/>
        <w:rPr>
          <w:rFonts w:ascii="Book Antiqua" w:hAnsi="Book Antiqua"/>
        </w:rPr>
      </w:pPr>
    </w:p>
    <w:p w14:paraId="0BEC7743" w14:textId="77777777" w:rsidR="00AD0009" w:rsidRPr="00A578C9" w:rsidRDefault="00AD0009" w:rsidP="00AD0009">
      <w:pPr>
        <w:spacing w:after="0" w:line="240" w:lineRule="auto"/>
        <w:contextualSpacing/>
        <w:rPr>
          <w:rFonts w:ascii="Book Antiqua" w:hAnsi="Book Antiqua"/>
        </w:rPr>
      </w:pPr>
    </w:p>
    <w:p w14:paraId="2828A513" w14:textId="77777777" w:rsidR="000D5B0A" w:rsidRPr="00A578C9" w:rsidRDefault="000D5B0A" w:rsidP="00AD0009">
      <w:pPr>
        <w:spacing w:after="0" w:line="240" w:lineRule="auto"/>
        <w:contextualSpacing/>
        <w:rPr>
          <w:rFonts w:ascii="Book Antiqua" w:hAnsi="Book Antiqua"/>
        </w:rPr>
      </w:pPr>
      <w:r w:rsidRPr="00A578C9">
        <w:rPr>
          <w:rFonts w:ascii="Book Antiqua" w:hAnsi="Book Antiqua"/>
          <w:b/>
          <w:bCs/>
        </w:rPr>
        <w:t>Hon. Víctor L. Parés-Otero</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3A51847F" w14:textId="77777777" w:rsidR="000D5B0A" w:rsidRPr="00A578C9" w:rsidRDefault="000D5B0A" w:rsidP="00AD0009">
      <w:pPr>
        <w:spacing w:after="0" w:line="240" w:lineRule="auto"/>
        <w:contextualSpacing/>
        <w:rPr>
          <w:rFonts w:ascii="Book Antiqua" w:hAnsi="Book Antiqua"/>
        </w:rPr>
      </w:pPr>
      <w:r w:rsidRPr="00A578C9">
        <w:rPr>
          <w:rFonts w:ascii="Book Antiqua" w:hAnsi="Book Antiqua"/>
        </w:rPr>
        <w:t>Presidente</w:t>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Book Antiqua" w:hAnsi="Book Antiqua"/>
        </w:rPr>
        <w:tab/>
      </w:r>
      <w:r w:rsidRPr="00A578C9">
        <w:rPr>
          <w:rFonts w:ascii="Times New Roman" w:hAnsi="Times New Roman" w:cs="Times New Roman"/>
        </w:rPr>
        <w:t>  </w:t>
      </w:r>
      <w:r w:rsidRPr="00A578C9">
        <w:rPr>
          <w:rFonts w:ascii="Book Antiqua" w:hAnsi="Book Antiqua"/>
        </w:rPr>
        <w:t> </w:t>
      </w:r>
    </w:p>
    <w:p w14:paraId="6454D79F" w14:textId="77777777" w:rsidR="000D5B0A" w:rsidRPr="00A578C9" w:rsidRDefault="000D5B0A" w:rsidP="00AD0009">
      <w:pPr>
        <w:spacing w:after="0" w:line="240" w:lineRule="auto"/>
        <w:contextualSpacing/>
        <w:rPr>
          <w:rFonts w:ascii="Book Antiqua" w:hAnsi="Book Antiqua"/>
        </w:rPr>
      </w:pPr>
      <w:r w:rsidRPr="00A578C9">
        <w:rPr>
          <w:rFonts w:ascii="Book Antiqua" w:hAnsi="Book Antiqua"/>
        </w:rPr>
        <w:t>Comisión de Gobierno</w:t>
      </w:r>
      <w:r w:rsidRPr="00A578C9">
        <w:rPr>
          <w:rFonts w:ascii="Times New Roman" w:hAnsi="Times New Roman" w:cs="Times New Roman"/>
        </w:rPr>
        <w:t>  </w:t>
      </w:r>
      <w:r w:rsidRPr="00A578C9">
        <w:rPr>
          <w:rFonts w:ascii="Book Antiqua" w:hAnsi="Book Antiqua"/>
        </w:rPr>
        <w:t> </w:t>
      </w:r>
    </w:p>
    <w:p w14:paraId="25E0E6A6" w14:textId="77777777" w:rsidR="000D5B0A" w:rsidRPr="003D39DE" w:rsidRDefault="000D5B0A" w:rsidP="00AD0009">
      <w:pPr>
        <w:spacing w:after="0" w:line="240" w:lineRule="auto"/>
        <w:contextualSpacing/>
        <w:rPr>
          <w:rFonts w:ascii="Book Antiqua" w:hAnsi="Book Antiqua"/>
        </w:rPr>
      </w:pPr>
      <w:r w:rsidRPr="00A578C9">
        <w:rPr>
          <w:rFonts w:ascii="Book Antiqua" w:hAnsi="Book Antiqua"/>
        </w:rPr>
        <w:t>Cámara de Representantes</w:t>
      </w:r>
      <w:r w:rsidRPr="00A578C9">
        <w:rPr>
          <w:rFonts w:ascii="Times New Roman" w:hAnsi="Times New Roman" w:cs="Times New Roman"/>
        </w:rPr>
        <w:t>  </w:t>
      </w:r>
      <w:r w:rsidRPr="00A578C9">
        <w:rPr>
          <w:rFonts w:ascii="Book Antiqua" w:hAnsi="Book Antiqua"/>
        </w:rPr>
        <w:t> </w:t>
      </w:r>
    </w:p>
    <w:p w14:paraId="15899523" w14:textId="77777777" w:rsidR="000D5B0A" w:rsidRDefault="000D5B0A" w:rsidP="00AD0009">
      <w:pPr>
        <w:spacing w:after="0" w:line="240" w:lineRule="auto"/>
        <w:contextualSpacing/>
      </w:pPr>
    </w:p>
    <w:sectPr w:rsidR="000D5B0A" w:rsidSect="0037152A">
      <w:headerReference w:type="default" r:id="rId7"/>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B41B6" w14:textId="77777777" w:rsidR="00C218FD" w:rsidRDefault="00C218FD" w:rsidP="0037152A">
      <w:pPr>
        <w:spacing w:after="0" w:line="240" w:lineRule="auto"/>
      </w:pPr>
      <w:r>
        <w:separator/>
      </w:r>
    </w:p>
  </w:endnote>
  <w:endnote w:type="continuationSeparator" w:id="0">
    <w:p w14:paraId="135C7C83" w14:textId="77777777" w:rsidR="00C218FD" w:rsidRDefault="00C218FD" w:rsidP="00371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649758"/>
      <w:docPartObj>
        <w:docPartGallery w:val="Page Numbers (Bottom of Page)"/>
        <w:docPartUnique/>
      </w:docPartObj>
    </w:sdtPr>
    <w:sdtEndPr>
      <w:rPr>
        <w:noProof/>
      </w:rPr>
    </w:sdtEndPr>
    <w:sdtContent>
      <w:p w14:paraId="351CE02A" w14:textId="500D1109" w:rsidR="004F4CD4" w:rsidRDefault="004F4C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E2BBB" w14:textId="77777777" w:rsidR="004F4CD4" w:rsidRDefault="004F4C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778987"/>
      <w:docPartObj>
        <w:docPartGallery w:val="Page Numbers (Bottom of Page)"/>
        <w:docPartUnique/>
      </w:docPartObj>
    </w:sdtPr>
    <w:sdtEndPr/>
    <w:sdtContent>
      <w:p w14:paraId="48660B2C" w14:textId="56D9FFAA" w:rsidR="0037152A" w:rsidRDefault="0037152A">
        <w:pPr>
          <w:pStyle w:val="Footer"/>
          <w:jc w:val="center"/>
        </w:pPr>
        <w:r>
          <w:fldChar w:fldCharType="begin"/>
        </w:r>
        <w:r>
          <w:instrText>PAGE   \* MERGEFORMAT</w:instrText>
        </w:r>
        <w:r>
          <w:fldChar w:fldCharType="separate"/>
        </w:r>
        <w:r>
          <w:rPr>
            <w:lang w:val="es-ES"/>
          </w:rPr>
          <w:t>2</w:t>
        </w:r>
        <w:r>
          <w:fldChar w:fldCharType="end"/>
        </w:r>
      </w:p>
    </w:sdtContent>
  </w:sdt>
  <w:p w14:paraId="58C99500" w14:textId="77777777" w:rsidR="0037152A" w:rsidRDefault="00371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22740" w14:textId="77777777" w:rsidR="00C218FD" w:rsidRDefault="00C218FD" w:rsidP="0037152A">
      <w:pPr>
        <w:spacing w:after="0" w:line="240" w:lineRule="auto"/>
      </w:pPr>
      <w:r>
        <w:separator/>
      </w:r>
    </w:p>
  </w:footnote>
  <w:footnote w:type="continuationSeparator" w:id="0">
    <w:p w14:paraId="46A61A8F" w14:textId="77777777" w:rsidR="00C218FD" w:rsidRDefault="00C218FD" w:rsidP="00371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F7666" w14:textId="1BC4739E" w:rsidR="0037152A" w:rsidRDefault="0037152A">
    <w:pPr>
      <w:pStyle w:val="Header"/>
      <w:rPr>
        <w:rFonts w:ascii="Book Antiqua" w:hAnsi="Book Antiqua"/>
        <w:sz w:val="20"/>
        <w:szCs w:val="20"/>
      </w:rPr>
    </w:pPr>
    <w:r>
      <w:rPr>
        <w:rFonts w:ascii="Book Antiqua" w:hAnsi="Book Antiqua"/>
        <w:sz w:val="20"/>
        <w:szCs w:val="20"/>
      </w:rPr>
      <w:t>Informe Positivo</w:t>
    </w:r>
  </w:p>
  <w:p w14:paraId="006E9231" w14:textId="3269A935" w:rsidR="0037152A" w:rsidRDefault="0037152A">
    <w:pPr>
      <w:pStyle w:val="Header"/>
      <w:rPr>
        <w:rFonts w:ascii="Book Antiqua" w:hAnsi="Book Antiqua"/>
        <w:sz w:val="20"/>
        <w:szCs w:val="20"/>
      </w:rPr>
    </w:pPr>
    <w:r>
      <w:rPr>
        <w:rFonts w:ascii="Book Antiqua" w:hAnsi="Book Antiqua"/>
        <w:sz w:val="20"/>
        <w:szCs w:val="20"/>
      </w:rPr>
      <w:t>Proyecto del Senado 484</w:t>
    </w:r>
  </w:p>
  <w:p w14:paraId="342D6965" w14:textId="6F3E89B2" w:rsidR="0037152A" w:rsidRPr="0037152A" w:rsidRDefault="0037152A">
    <w:pPr>
      <w:pStyle w:val="Header"/>
      <w:rPr>
        <w:rFonts w:ascii="Book Antiqua" w:hAnsi="Book Antiqua"/>
        <w:sz w:val="20"/>
        <w:szCs w:val="20"/>
      </w:rPr>
    </w:pPr>
    <w:r>
      <w:rPr>
        <w:rFonts w:ascii="Book Antiqua" w:hAnsi="Book Antiqua"/>
        <w:sz w:val="20"/>
        <w:szCs w:val="20"/>
      </w:rPr>
      <w:t>Comisión de Gobierno</w:t>
    </w:r>
  </w:p>
  <w:p w14:paraId="49E0B911" w14:textId="77777777" w:rsidR="0037152A" w:rsidRDefault="003715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D0106"/>
    <w:multiLevelType w:val="multilevel"/>
    <w:tmpl w:val="BF0E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5221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0A"/>
    <w:rsid w:val="000D5B0A"/>
    <w:rsid w:val="000D6233"/>
    <w:rsid w:val="001C0771"/>
    <w:rsid w:val="001E6F28"/>
    <w:rsid w:val="00273D4D"/>
    <w:rsid w:val="00330ADF"/>
    <w:rsid w:val="0037152A"/>
    <w:rsid w:val="003D3E67"/>
    <w:rsid w:val="004440D0"/>
    <w:rsid w:val="004D6650"/>
    <w:rsid w:val="004F4CD4"/>
    <w:rsid w:val="0052727E"/>
    <w:rsid w:val="00641921"/>
    <w:rsid w:val="008F51B3"/>
    <w:rsid w:val="00A73A48"/>
    <w:rsid w:val="00AD0009"/>
    <w:rsid w:val="00C218FD"/>
    <w:rsid w:val="00D9119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66202"/>
  <w15:chartTrackingRefBased/>
  <w15:docId w15:val="{1E18D9C9-353F-4DCD-9A89-DDB1E2B30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0A"/>
  </w:style>
  <w:style w:type="paragraph" w:styleId="Heading1">
    <w:name w:val="heading 1"/>
    <w:basedOn w:val="Normal"/>
    <w:next w:val="Normal"/>
    <w:link w:val="Heading1Char"/>
    <w:uiPriority w:val="9"/>
    <w:qFormat/>
    <w:rsid w:val="000D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D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D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B0A"/>
    <w:rPr>
      <w:rFonts w:eastAsiaTheme="majorEastAsia" w:cstheme="majorBidi"/>
      <w:color w:val="272727" w:themeColor="text1" w:themeTint="D8"/>
    </w:rPr>
  </w:style>
  <w:style w:type="paragraph" w:styleId="Title">
    <w:name w:val="Title"/>
    <w:basedOn w:val="Normal"/>
    <w:next w:val="Normal"/>
    <w:link w:val="TitleChar"/>
    <w:uiPriority w:val="10"/>
    <w:qFormat/>
    <w:rsid w:val="000D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B0A"/>
    <w:pPr>
      <w:spacing w:before="160"/>
      <w:jc w:val="center"/>
    </w:pPr>
    <w:rPr>
      <w:i/>
      <w:iCs/>
      <w:color w:val="404040" w:themeColor="text1" w:themeTint="BF"/>
    </w:rPr>
  </w:style>
  <w:style w:type="character" w:customStyle="1" w:styleId="QuoteChar">
    <w:name w:val="Quote Char"/>
    <w:basedOn w:val="DefaultParagraphFont"/>
    <w:link w:val="Quote"/>
    <w:uiPriority w:val="29"/>
    <w:rsid w:val="000D5B0A"/>
    <w:rPr>
      <w:i/>
      <w:iCs/>
      <w:color w:val="404040" w:themeColor="text1" w:themeTint="BF"/>
    </w:rPr>
  </w:style>
  <w:style w:type="paragraph" w:styleId="ListParagraph">
    <w:name w:val="List Paragraph"/>
    <w:basedOn w:val="Normal"/>
    <w:uiPriority w:val="34"/>
    <w:qFormat/>
    <w:rsid w:val="000D5B0A"/>
    <w:pPr>
      <w:ind w:left="720"/>
      <w:contextualSpacing/>
    </w:pPr>
  </w:style>
  <w:style w:type="character" w:styleId="IntenseEmphasis">
    <w:name w:val="Intense Emphasis"/>
    <w:basedOn w:val="DefaultParagraphFont"/>
    <w:uiPriority w:val="21"/>
    <w:qFormat/>
    <w:rsid w:val="000D5B0A"/>
    <w:rPr>
      <w:i/>
      <w:iCs/>
      <w:color w:val="0F4761" w:themeColor="accent1" w:themeShade="BF"/>
    </w:rPr>
  </w:style>
  <w:style w:type="paragraph" w:styleId="IntenseQuote">
    <w:name w:val="Intense Quote"/>
    <w:basedOn w:val="Normal"/>
    <w:next w:val="Normal"/>
    <w:link w:val="IntenseQuoteChar"/>
    <w:uiPriority w:val="30"/>
    <w:qFormat/>
    <w:rsid w:val="000D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5B0A"/>
    <w:rPr>
      <w:i/>
      <w:iCs/>
      <w:color w:val="0F4761" w:themeColor="accent1" w:themeShade="BF"/>
    </w:rPr>
  </w:style>
  <w:style w:type="character" w:styleId="IntenseReference">
    <w:name w:val="Intense Reference"/>
    <w:basedOn w:val="DefaultParagraphFont"/>
    <w:uiPriority w:val="32"/>
    <w:qFormat/>
    <w:rsid w:val="000D5B0A"/>
    <w:rPr>
      <w:b/>
      <w:bCs/>
      <w:smallCaps/>
      <w:color w:val="0F4761" w:themeColor="accent1" w:themeShade="BF"/>
      <w:spacing w:val="5"/>
    </w:rPr>
  </w:style>
  <w:style w:type="paragraph" w:styleId="NormalWeb">
    <w:name w:val="Normal (Web)"/>
    <w:basedOn w:val="Normal"/>
    <w:uiPriority w:val="99"/>
    <w:semiHidden/>
    <w:unhideWhenUsed/>
    <w:rsid w:val="000D5B0A"/>
    <w:rPr>
      <w:rFonts w:ascii="Times New Roman" w:hAnsi="Times New Roman" w:cs="Times New Roman"/>
    </w:rPr>
  </w:style>
  <w:style w:type="paragraph" w:styleId="Header">
    <w:name w:val="header"/>
    <w:basedOn w:val="Normal"/>
    <w:link w:val="HeaderChar"/>
    <w:uiPriority w:val="99"/>
    <w:unhideWhenUsed/>
    <w:rsid w:val="003715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52A"/>
  </w:style>
  <w:style w:type="paragraph" w:styleId="Footer">
    <w:name w:val="footer"/>
    <w:basedOn w:val="Normal"/>
    <w:link w:val="FooterChar"/>
    <w:uiPriority w:val="99"/>
    <w:unhideWhenUsed/>
    <w:rsid w:val="003715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1055</Words>
  <Characters>6014</Characters>
  <Application>Microsoft Office Word</Application>
  <DocSecurity>4</DocSecurity>
  <Lines>50</Lines>
  <Paragraphs>14</Paragraphs>
  <ScaleCrop>false</ScaleCrop>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2026-05-11T13:38:00Z</cp:lastPrinted>
  <dcterms:created xsi:type="dcterms:W3CDTF">2026-05-14T20:39:00Z</dcterms:created>
  <dcterms:modified xsi:type="dcterms:W3CDTF">2026-05-14T20:39:00Z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15e1c9bd-00fc-41b5-9ba1-62a7077d7971</vt:lpwstr>
  </property>
</Properties>
</file>