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2295EB2B"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w:t>
      </w:r>
      <w:r w:rsidR="00B45E0B">
        <w:rPr>
          <w:rFonts w:ascii="Book Antiqua" w:eastAsia="Book Antiqua" w:hAnsi="Book Antiqua" w:cs="Book Antiqua"/>
          <w:lang w:val="es-ES"/>
        </w:rPr>
        <w:t>0ma.</w:t>
      </w:r>
      <w:r w:rsidR="00C54AD6" w:rsidRPr="00851E49">
        <w:rPr>
          <w:rFonts w:ascii="Book Antiqua" w:eastAsia="Book Antiqua" w:hAnsi="Book Antiqua" w:cs="Book Antiqua"/>
          <w:lang w:val="es-ES"/>
        </w:rPr>
        <w:t xml:space="preserve"> Asamblea</w:t>
      </w:r>
      <w:r w:rsidR="00C54AD6" w:rsidRPr="00851E49">
        <w:rPr>
          <w:rFonts w:ascii="Book Antiqua" w:eastAsia="Book Antiqua" w:hAnsi="Book Antiqua" w:cs="Book Antiqua"/>
          <w:lang w:val="es-ES"/>
        </w:rPr>
        <w:tab/>
      </w:r>
      <w:r w:rsidR="00FD3042">
        <w:rPr>
          <w:rFonts w:ascii="Book Antiqua" w:eastAsia="Book Antiqua" w:hAnsi="Book Antiqua" w:cs="Book Antiqua"/>
          <w:lang w:val="es-ES"/>
        </w:rPr>
        <w:t>2d</w:t>
      </w:r>
      <w:r w:rsidR="00B45E0B">
        <w:rPr>
          <w:rFonts w:ascii="Book Antiqua" w:eastAsia="Book Antiqua" w:hAnsi="Book Antiqua" w:cs="Book Antiqua"/>
          <w:lang w:val="es-ES"/>
        </w:rPr>
        <w:t>a.</w:t>
      </w:r>
      <w:r w:rsidR="0038510E" w:rsidRPr="00851E49">
        <w:rPr>
          <w:rFonts w:ascii="Book Antiqua" w:eastAsia="Book Antiqua" w:hAnsi="Book Antiqua" w:cs="Book Antiqua"/>
          <w:lang w:val="es-ES"/>
        </w:rPr>
        <w:t xml:space="preserve"> 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7E70DE69" w:rsidR="00DF7D86" w:rsidRPr="00851E49" w:rsidRDefault="00611979">
      <w:pPr>
        <w:spacing w:line="360" w:lineRule="auto"/>
        <w:jc w:val="center"/>
        <w:rPr>
          <w:rFonts w:ascii="Book Antiqua" w:eastAsia="Book Antiqua" w:hAnsi="Book Antiqua" w:cs="Book Antiqua"/>
          <w:b/>
          <w:sz w:val="52"/>
          <w:szCs w:val="52"/>
          <w:lang w:val="es-ES"/>
        </w:rPr>
      </w:pPr>
      <w:r w:rsidRPr="00851E49">
        <w:rPr>
          <w:rFonts w:ascii="Book Antiqua" w:eastAsia="Book Antiqua" w:hAnsi="Book Antiqua" w:cs="Book Antiqua"/>
          <w:b/>
          <w:sz w:val="52"/>
          <w:szCs w:val="52"/>
          <w:lang w:val="es-ES"/>
        </w:rPr>
        <w:t>P. de</w:t>
      </w:r>
      <w:r w:rsidR="00B45E0B">
        <w:rPr>
          <w:rFonts w:ascii="Book Antiqua" w:eastAsia="Book Antiqua" w:hAnsi="Book Antiqua" w:cs="Book Antiqua"/>
          <w:b/>
          <w:sz w:val="52"/>
          <w:szCs w:val="52"/>
          <w:lang w:val="es-ES"/>
        </w:rPr>
        <w:t>l</w:t>
      </w:r>
      <w:r w:rsidRPr="00851E49">
        <w:rPr>
          <w:rFonts w:ascii="Book Antiqua" w:eastAsia="Book Antiqua" w:hAnsi="Book Antiqua" w:cs="Book Antiqua"/>
          <w:b/>
          <w:sz w:val="52"/>
          <w:szCs w:val="52"/>
          <w:lang w:val="es-ES"/>
        </w:rPr>
        <w:t>.</w:t>
      </w:r>
      <w:r w:rsidR="00FD3042">
        <w:rPr>
          <w:rFonts w:ascii="Book Antiqua" w:eastAsia="Book Antiqua" w:hAnsi="Book Antiqua" w:cs="Book Antiqua"/>
          <w:b/>
          <w:sz w:val="52"/>
          <w:szCs w:val="52"/>
          <w:lang w:val="es-ES"/>
        </w:rPr>
        <w:t xml:space="preserve"> S. 487</w:t>
      </w:r>
    </w:p>
    <w:p w14:paraId="6CA3DF2C" w14:textId="77777777" w:rsidR="00DF7D86" w:rsidRPr="00C96EF8" w:rsidRDefault="0038510E">
      <w:pPr>
        <w:spacing w:line="360" w:lineRule="auto"/>
        <w:jc w:val="center"/>
        <w:rPr>
          <w:rFonts w:ascii="Book Antiqua" w:eastAsia="Book Antiqua" w:hAnsi="Book Antiqua" w:cs="Book Antiqua"/>
          <w:b/>
          <w:sz w:val="32"/>
          <w:szCs w:val="32"/>
          <w:lang w:val="es-ES"/>
        </w:rPr>
      </w:pPr>
      <w:r w:rsidRPr="00C96EF8">
        <w:rPr>
          <w:rFonts w:ascii="Book Antiqua" w:eastAsia="Book Antiqua" w:hAnsi="Book Antiqua" w:cs="Book Antiqua"/>
          <w:b/>
          <w:sz w:val="32"/>
          <w:szCs w:val="32"/>
          <w:lang w:val="es-ES"/>
        </w:rPr>
        <w:t>INFORME POSITIVO</w:t>
      </w:r>
    </w:p>
    <w:p w14:paraId="65B59E42" w14:textId="54EEEF19" w:rsidR="00DF7D86" w:rsidRPr="00851E49" w:rsidRDefault="003B1E03">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31</w:t>
      </w:r>
      <w:r w:rsidR="001015D5">
        <w:rPr>
          <w:rFonts w:ascii="Book Antiqua" w:eastAsia="Book Antiqua" w:hAnsi="Book Antiqua" w:cs="Book Antiqua"/>
          <w:lang w:val="es-ES"/>
        </w:rPr>
        <w:t xml:space="preserve"> </w:t>
      </w:r>
      <w:r>
        <w:rPr>
          <w:rFonts w:ascii="Book Antiqua" w:eastAsia="Book Antiqua" w:hAnsi="Book Antiqua" w:cs="Book Antiqua"/>
          <w:lang w:val="es-ES"/>
        </w:rPr>
        <w:t>DE</w:t>
      </w:r>
      <w:r w:rsidR="00A42724">
        <w:rPr>
          <w:rFonts w:ascii="Book Antiqua" w:eastAsia="Book Antiqua" w:hAnsi="Book Antiqua" w:cs="Book Antiqua"/>
          <w:lang w:val="es-ES"/>
        </w:rPr>
        <w:t xml:space="preserve"> </w:t>
      </w:r>
      <w:r>
        <w:rPr>
          <w:rFonts w:ascii="Book Antiqua" w:eastAsia="Book Antiqua" w:hAnsi="Book Antiqua" w:cs="Book Antiqua"/>
          <w:lang w:val="es-ES"/>
        </w:rPr>
        <w:t>OCTUBRE</w:t>
      </w:r>
      <w:r w:rsidR="00786E78">
        <w:rPr>
          <w:rFonts w:ascii="Book Antiqua" w:eastAsia="Book Antiqua" w:hAnsi="Book Antiqua" w:cs="Book Antiqua"/>
          <w:lang w:val="es-ES"/>
        </w:rPr>
        <w:t xml:space="preserve"> </w:t>
      </w:r>
      <w:r>
        <w:rPr>
          <w:rFonts w:ascii="Book Antiqua" w:eastAsia="Book Antiqua" w:hAnsi="Book Antiqua" w:cs="Book Antiqua"/>
          <w:lang w:val="es-ES"/>
        </w:rPr>
        <w:t>DE</w:t>
      </w:r>
      <w:r w:rsidR="00C54AD6" w:rsidRPr="00851E49">
        <w:rPr>
          <w:rFonts w:ascii="Book Antiqua" w:eastAsia="Book Antiqua" w:hAnsi="Book Antiqua" w:cs="Book Antiqua"/>
          <w:lang w:val="es-ES"/>
        </w:rPr>
        <w:t xml:space="preserv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1E34E626" w:rsidR="00DF7D86" w:rsidRPr="00851E49" w:rsidRDefault="0038510E" w:rsidP="00C96EF8">
      <w:pPr>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C96EF8">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1051822F" w:rsidR="00DF7D86" w:rsidRPr="00B63464" w:rsidRDefault="00C96EF8" w:rsidP="00C96EF8">
      <w:pPr>
        <w:jc w:val="both"/>
        <w:rPr>
          <w:rFonts w:ascii="Book Antiqua" w:eastAsia="Book Antiqua" w:hAnsi="Book Antiqua" w:cs="Book Antiqua"/>
          <w:lang w:val="es-PR"/>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w:t>
      </w:r>
      <w:r w:rsidR="001304BE" w:rsidRPr="00851E49">
        <w:rPr>
          <w:rFonts w:ascii="Book Antiqua" w:eastAsia="Book Antiqua" w:hAnsi="Book Antiqua" w:cs="Book Antiqua"/>
          <w:lang w:val="es-ES"/>
        </w:rPr>
        <w:t>Comisión</w:t>
      </w:r>
      <w:r w:rsidR="008B6397" w:rsidRPr="008B6397">
        <w:rPr>
          <w:rFonts w:ascii="Book Antiqua" w:eastAsia="Book Antiqua" w:hAnsi="Book Antiqua" w:cs="Book Antiqua"/>
          <w:lang w:val="es-PR"/>
        </w:rPr>
        <w:t xml:space="preserve"> de </w:t>
      </w:r>
      <w:r w:rsidR="00A42724">
        <w:rPr>
          <w:rFonts w:ascii="Book Antiqua" w:eastAsia="Book Antiqua" w:hAnsi="Book Antiqua" w:cs="Book Antiqua"/>
          <w:lang w:val="es-PR"/>
        </w:rPr>
        <w:t xml:space="preserve">Hacienda </w:t>
      </w:r>
      <w:r w:rsidR="0038510E" w:rsidRPr="00851E49">
        <w:rPr>
          <w:rFonts w:ascii="Book Antiqua" w:eastAsia="Book Antiqua" w:hAnsi="Book Antiqua" w:cs="Book Antiqua"/>
          <w:lang w:val="es-ES"/>
        </w:rPr>
        <w:t>de la Cámara de Representantes</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onsideración del P. de</w:t>
      </w:r>
      <w:r w:rsidR="00FD3042">
        <w:rPr>
          <w:rFonts w:ascii="Book Antiqua" w:eastAsia="Book Antiqua" w:hAnsi="Book Antiqua" w:cs="Book Antiqua"/>
          <w:lang w:val="es-ES"/>
        </w:rPr>
        <w:t>l S. 487</w:t>
      </w:r>
      <w:r w:rsidR="0038510E" w:rsidRPr="00851E49">
        <w:rPr>
          <w:rFonts w:ascii="Book Antiqua" w:eastAsia="Book Antiqua" w:hAnsi="Book Antiqua" w:cs="Book Antiqua"/>
          <w:lang w:val="es-ES"/>
        </w:rPr>
        <w:t>, tiene a bien</w:t>
      </w:r>
      <w:r w:rsidR="00D93990">
        <w:rPr>
          <w:rFonts w:ascii="Book Antiqua" w:eastAsia="Book Antiqua" w:hAnsi="Book Antiqua" w:cs="Book Antiqua"/>
          <w:lang w:val="es-ES"/>
        </w:rPr>
        <w:t xml:space="preserve"> recomendar</w:t>
      </w:r>
      <w:r>
        <w:rPr>
          <w:rFonts w:ascii="Book Antiqua" w:eastAsia="Book Antiqua" w:hAnsi="Book Antiqua" w:cs="Book Antiqua"/>
          <w:lang w:val="es-ES"/>
        </w:rPr>
        <w:t xml:space="preserve"> a este Honorable Cuerpo</w:t>
      </w:r>
      <w:r w:rsidR="00D93990">
        <w:rPr>
          <w:rFonts w:ascii="Book Antiqua" w:eastAsia="Book Antiqua" w:hAnsi="Book Antiqua" w:cs="Book Antiqua"/>
          <w:lang w:val="es-ES"/>
        </w:rPr>
        <w:t xml:space="preserve"> su </w:t>
      </w:r>
      <w:r w:rsidR="007B257D" w:rsidRPr="00851E49">
        <w:rPr>
          <w:rFonts w:ascii="Book Antiqua" w:eastAsia="Book Antiqua" w:hAnsi="Book Antiqua" w:cs="Book Antiqua"/>
          <w:lang w:val="es-ES"/>
        </w:rPr>
        <w:t>aprobación</w:t>
      </w:r>
      <w:r w:rsidR="0038510E" w:rsidRPr="00851E49">
        <w:rPr>
          <w:rFonts w:ascii="Book Antiqua" w:eastAsia="Book Antiqua" w:hAnsi="Book Antiqua" w:cs="Book Antiqua"/>
          <w:lang w:val="es-ES"/>
        </w:rPr>
        <w:t xml:space="preserve"> </w:t>
      </w:r>
      <w:r w:rsidR="00FD3042">
        <w:rPr>
          <w:rFonts w:ascii="Book Antiqua" w:eastAsia="Book Antiqua" w:hAnsi="Book Antiqua" w:cs="Book Antiqua"/>
          <w:lang w:val="es-ES"/>
        </w:rPr>
        <w:t>con las</w:t>
      </w:r>
      <w:r w:rsidR="00826766">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enmiendas</w:t>
      </w:r>
      <w:r w:rsidR="00FD3042">
        <w:rPr>
          <w:rFonts w:ascii="Book Antiqua" w:eastAsia="Book Antiqua" w:hAnsi="Book Antiqua" w:cs="Book Antiqua"/>
          <w:lang w:val="es-ES"/>
        </w:rPr>
        <w:t xml:space="preserve"> incluidas en el entirillado electrónico que se acompaña</w:t>
      </w:r>
      <w:r w:rsidR="0038510E" w:rsidRPr="00851E49">
        <w:rPr>
          <w:rFonts w:ascii="Book Antiqua" w:eastAsia="Book Antiqua" w:hAnsi="Book Antiqua" w:cs="Book Antiqua"/>
          <w:lang w:val="es-ES"/>
        </w:rPr>
        <w:t xml:space="preserve">.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1C28B63D" w14:textId="77777777" w:rsidR="00FD3042" w:rsidRPr="00FD3042" w:rsidRDefault="00A42724" w:rsidP="00FD3042">
      <w:pPr>
        <w:jc w:val="both"/>
        <w:rPr>
          <w:rFonts w:ascii="Book Antiqua" w:eastAsia="Book Antiqua" w:hAnsi="Book Antiqua" w:cs="Book Antiqua"/>
          <w:lang w:val="es-ES"/>
        </w:rPr>
      </w:pPr>
      <w:r>
        <w:rPr>
          <w:rFonts w:ascii="Book Antiqua" w:eastAsia="Book Antiqua" w:hAnsi="Book Antiqua" w:cs="Book Antiqua"/>
          <w:lang w:val="es-ES"/>
        </w:rPr>
        <w:t>El Proyecto de</w:t>
      </w:r>
      <w:r w:rsidR="00FD3042">
        <w:rPr>
          <w:rFonts w:ascii="Book Antiqua" w:eastAsia="Book Antiqua" w:hAnsi="Book Antiqua" w:cs="Book Antiqua"/>
          <w:lang w:val="es-ES"/>
        </w:rPr>
        <w:t>l Senado</w:t>
      </w:r>
      <w:r w:rsidRPr="00A42724">
        <w:rPr>
          <w:rFonts w:ascii="Book Antiqua" w:eastAsia="Book Antiqua" w:hAnsi="Book Antiqua" w:cs="Book Antiqua"/>
          <w:lang w:val="es-ES"/>
        </w:rPr>
        <w:t xml:space="preserve"> </w:t>
      </w:r>
      <w:r>
        <w:rPr>
          <w:rFonts w:ascii="Book Antiqua" w:eastAsia="Book Antiqua" w:hAnsi="Book Antiqua" w:cs="Book Antiqua"/>
          <w:lang w:val="es-ES"/>
        </w:rPr>
        <w:t>4</w:t>
      </w:r>
      <w:r w:rsidR="00FD3042">
        <w:rPr>
          <w:rFonts w:ascii="Book Antiqua" w:eastAsia="Book Antiqua" w:hAnsi="Book Antiqua" w:cs="Book Antiqua"/>
          <w:lang w:val="es-ES"/>
        </w:rPr>
        <w:t xml:space="preserve">87, según radicada por el Senado de Puerto Rico </w:t>
      </w:r>
      <w:r>
        <w:rPr>
          <w:rFonts w:ascii="Book Antiqua" w:eastAsia="Book Antiqua" w:hAnsi="Book Antiqua" w:cs="Book Antiqua"/>
          <w:lang w:val="es-ES"/>
        </w:rPr>
        <w:t xml:space="preserve">tiene como propósito </w:t>
      </w:r>
      <w:r w:rsidR="00FD3042" w:rsidRPr="00FD3042">
        <w:rPr>
          <w:rFonts w:ascii="Book Antiqua" w:eastAsia="Book Antiqua" w:hAnsi="Book Antiqua" w:cs="Book Antiqua"/>
          <w:lang w:val="es-ES"/>
        </w:rPr>
        <w:t xml:space="preserve">enmendar las Secciones 1033.15 y 1081.05 de la Ley Núm. 1-2011, según enmendada, mejor conocida como “Código de Rentas Internas de Puerto Rico de 2011, a los fines de aumentar la deducción permitida por concepto de aportaciones a cuentas de ahorro para educación; y para otros fines relacionados. </w:t>
      </w:r>
    </w:p>
    <w:p w14:paraId="4CA2B719" w14:textId="60E3F197" w:rsidR="008F62A0" w:rsidRPr="00FD3042" w:rsidRDefault="008F62A0" w:rsidP="008F62A0">
      <w:pPr>
        <w:jc w:val="both"/>
        <w:rPr>
          <w:rFonts w:ascii="Book Antiqua" w:eastAsia="Book Antiqua" w:hAnsi="Book Antiqua" w:cs="Book Antiqua"/>
        </w:rPr>
      </w:pPr>
    </w:p>
    <w:p w14:paraId="23D4A5BC" w14:textId="195721B6" w:rsidR="007A63E2" w:rsidRPr="008F62A0" w:rsidRDefault="007A63E2" w:rsidP="00A42724">
      <w:pPr>
        <w:jc w:val="both"/>
        <w:rPr>
          <w:rFonts w:ascii="Book Antiqua" w:eastAsia="Book Antiqua" w:hAnsi="Book Antiqua" w:cs="Book Antiqua"/>
        </w:rPr>
      </w:pPr>
    </w:p>
    <w:p w14:paraId="1749423E" w14:textId="77777777" w:rsidR="008F62A0" w:rsidRDefault="008F62A0" w:rsidP="008F62A0">
      <w:pPr>
        <w:jc w:val="both"/>
        <w:rPr>
          <w:rFonts w:ascii="Book Antiqua" w:hAnsi="Book Antiqua"/>
          <w:szCs w:val="24"/>
          <w:lang w:val="es-ES_tradnl"/>
        </w:rPr>
      </w:pPr>
      <w:r w:rsidRPr="008F62A0">
        <w:rPr>
          <w:rFonts w:ascii="Book Antiqua" w:eastAsia="Book Antiqua" w:hAnsi="Book Antiqua" w:cs="Book Antiqua"/>
          <w:lang w:val="es-ES"/>
        </w:rPr>
        <w:t>La educación es un pilar esencial para el desarrollo personal, profesional y colectivo de Puerto Rico. Además de abrir puertas a mejores oportunidades laborales y fomentar las habilidades críticas y creativas de nuestros jóvenes, contribuye significativamente al desarrollo económico y social de nuestra isla.  Una población con mayor nivel educativo está mejor equipada para impulsar la innovación, elevar la productividad y generar soluciones a los desafíos globales. Asimismo, la formación universitaria promueve una ciudadanía informada y activa, capaz de tomar decisiones responsables y fortalecer las bases democráticas y la cohesión social. El invertir en una educación superior no solo transforma vidas individuales, sino que también potencia el crecimiento sostenible y competitivo de los países.</w:t>
      </w:r>
      <w:r w:rsidRPr="00EE05AF">
        <w:rPr>
          <w:rFonts w:ascii="Book Antiqua" w:hAnsi="Book Antiqua"/>
          <w:szCs w:val="24"/>
          <w:lang w:val="es-ES_tradnl"/>
        </w:rPr>
        <w:tab/>
      </w:r>
    </w:p>
    <w:p w14:paraId="1530FF39" w14:textId="77777777" w:rsidR="008F62A0" w:rsidRDefault="008F62A0" w:rsidP="008F62A0">
      <w:pPr>
        <w:jc w:val="both"/>
        <w:rPr>
          <w:rFonts w:ascii="Book Antiqua" w:hAnsi="Book Antiqua"/>
          <w:szCs w:val="24"/>
          <w:lang w:val="es-ES_tradnl"/>
        </w:rPr>
      </w:pPr>
    </w:p>
    <w:p w14:paraId="707EFCCB" w14:textId="0A7272D4" w:rsid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lastRenderedPageBreak/>
        <w:t xml:space="preserve">Reconociendo la importancia de </w:t>
      </w:r>
      <w:bookmarkStart w:id="0" w:name="_Hlk194774016"/>
      <w:r w:rsidRPr="008F62A0">
        <w:rPr>
          <w:rFonts w:ascii="Book Antiqua" w:eastAsia="Book Antiqua" w:hAnsi="Book Antiqua" w:cs="Book Antiqua"/>
          <w:lang w:val="es-ES"/>
        </w:rPr>
        <w:t>fomentar la educación en todos sus niveles</w:t>
      </w:r>
      <w:bookmarkEnd w:id="0"/>
      <w:r w:rsidRPr="008F62A0">
        <w:rPr>
          <w:rFonts w:ascii="Book Antiqua" w:eastAsia="Book Antiqua" w:hAnsi="Book Antiqua" w:cs="Book Antiqua"/>
          <w:lang w:val="es-ES"/>
        </w:rPr>
        <w:t>, el Estado tiene el deber de proveer herramientas que permitan a las familias planificar y sufragar los costos relacionados con la educación de sus hijos. En el entorno económico actual y la creciente necesidad de acceso a educación de calidad, resulta imperativo fortalecer los incentivos que promuevan el ahorro con este propósito.</w:t>
      </w:r>
    </w:p>
    <w:p w14:paraId="7A95F302" w14:textId="77777777" w:rsidR="008F62A0" w:rsidRPr="008F62A0" w:rsidRDefault="008F62A0" w:rsidP="008F62A0">
      <w:pPr>
        <w:jc w:val="both"/>
        <w:rPr>
          <w:rFonts w:ascii="Book Antiqua" w:eastAsia="Book Antiqua" w:hAnsi="Book Antiqua" w:cs="Book Antiqua"/>
          <w:lang w:val="es-ES"/>
        </w:rPr>
      </w:pPr>
    </w:p>
    <w:p w14:paraId="7D64E0CE" w14:textId="01A5A741" w:rsidR="008F62A0" w:rsidRP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De acuerdo con datos provistos por el Comité de Reforma Contributiva establecido por la Honorable Gobernadora Jennifer González-Colón, en el año contributivo 2022 apenas 2,012 contribuyentes reportaron aportaciones a cuentas IRA educativas, lo cual representa un pequeño porcentaje de la población contributiva total. Sin embargo, más del 80% de estos contribuyentes se encuentran en escalas de ingreso superiores a los $41,500, lo que demuestra que el beneficio es utilizado principalmente por sectores formales que ya practican el ahorro y requieren incentivos más robustos para continuar haciéndolo. Elevar el límite deducible a $1,000 anuales contribuirá a expandir ese impacto en Puerto Rico, al igual que fomentamos el comportamiento financiero responsable, la cultura del ahorro y brindamos a más puertorriqueños la oportunidad de acceder a una educación de calidad sin recurrir al endeudamiento excesivo.</w:t>
      </w:r>
    </w:p>
    <w:p w14:paraId="0DA9AAB5" w14:textId="77777777" w:rsidR="001A258C" w:rsidRPr="00EE05AF" w:rsidRDefault="001A258C" w:rsidP="001A258C">
      <w:pPr>
        <w:spacing w:before="100" w:beforeAutospacing="1" w:after="120"/>
        <w:jc w:val="both"/>
        <w:rPr>
          <w:rFonts w:ascii="Book Antiqua" w:hAnsi="Book Antiqua"/>
          <w:bCs/>
          <w:szCs w:val="24"/>
          <w:lang w:val="es-PR"/>
        </w:rPr>
      </w:pPr>
      <w:r w:rsidRPr="001A258C">
        <w:rPr>
          <w:rFonts w:ascii="Book Antiqua" w:eastAsia="Book Antiqua" w:hAnsi="Book Antiqua" w:cs="Book Antiqua"/>
          <w:lang w:val="es-ES"/>
        </w:rPr>
        <w:t>En los Estados Unidos (EU), la problemática del endeudamiento estudiantil está afectando profundamente el poder adquisitivo y el desarrollo profesional de los graduados universitarios.  Desde el año 2000, las matrículas y cuotas se han casi triplicado, alcanzando un promedio de $14,688 en 2023. A pesar de que asistir a la universidad suele asociarse con un mayor potencial de ingresos, el crecimiento de los costos educativos ha superado significativamente el aumento salarial en combinación con los índices de inflación.  El costo promedio para obtener un título de cuatro años o bachillerato en EU es de $30,884 dólares, incluyendo matrícula, cuotas, alojamiento y alimentación</w:t>
      </w:r>
      <w:r w:rsidRPr="00EE05AF">
        <w:rPr>
          <w:rFonts w:ascii="Book Antiqua" w:hAnsi="Book Antiqua"/>
          <w:bCs/>
          <w:szCs w:val="24"/>
          <w:lang w:val="es-PR"/>
        </w:rPr>
        <w:t>.</w:t>
      </w:r>
      <w:r w:rsidRPr="00EE05AF">
        <w:rPr>
          <w:rFonts w:ascii="Book Antiqua" w:hAnsi="Book Antiqua"/>
          <w:bCs/>
          <w:szCs w:val="24"/>
          <w:vertAlign w:val="superscript"/>
          <w:lang w:val="es-PR"/>
        </w:rPr>
        <w:footnoteReference w:id="1"/>
      </w:r>
    </w:p>
    <w:p w14:paraId="7581E051" w14:textId="77777777" w:rsid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Actualmente, la ley Núm. 1-2011, según enmendada, conocida como el “Código de Rentas Internas de Puerto Rico de 2011”, ya reconoce las cuentas de ahorro para la educación como instrumentos válidos para fomentar dicho ahorro mediante deducciones contributivas. Sin embargo, los límites actuales de deducción fijados en quinientos (500) dólares por beneficiario al año resultan insuficientes para lograr un impacto significativo en el presupuesto familiar y la planificación educativa.</w:t>
      </w:r>
    </w:p>
    <w:p w14:paraId="293D0ADC" w14:textId="77777777" w:rsidR="008F62A0" w:rsidRPr="008F62A0" w:rsidRDefault="008F62A0" w:rsidP="008F62A0">
      <w:pPr>
        <w:jc w:val="both"/>
        <w:rPr>
          <w:rFonts w:ascii="Book Antiqua" w:eastAsia="Book Antiqua" w:hAnsi="Book Antiqua" w:cs="Book Antiqua"/>
          <w:lang w:val="es-ES"/>
        </w:rPr>
      </w:pPr>
    </w:p>
    <w:p w14:paraId="12877219" w14:textId="1AB6B19D" w:rsidR="008F62A0" w:rsidRPr="008F62A0" w:rsidRDefault="008F62A0" w:rsidP="008F62A0">
      <w:pPr>
        <w:jc w:val="both"/>
        <w:rPr>
          <w:rFonts w:ascii="Book Antiqua" w:eastAsia="Book Antiqua" w:hAnsi="Book Antiqua" w:cs="Book Antiqua"/>
          <w:lang w:val="es-ES"/>
        </w:rPr>
      </w:pPr>
      <w:r w:rsidRPr="008F62A0">
        <w:rPr>
          <w:rFonts w:ascii="Book Antiqua" w:eastAsia="Book Antiqua" w:hAnsi="Book Antiqua" w:cs="Book Antiqua"/>
          <w:lang w:val="es-ES"/>
        </w:rPr>
        <w:t xml:space="preserve">Esta </w:t>
      </w:r>
      <w:r w:rsidR="0062162C">
        <w:rPr>
          <w:rFonts w:ascii="Book Antiqua" w:eastAsia="Book Antiqua" w:hAnsi="Book Antiqua" w:cs="Book Antiqua"/>
          <w:lang w:val="es-ES"/>
        </w:rPr>
        <w:t>Ley</w:t>
      </w:r>
      <w:r w:rsidRPr="008F62A0">
        <w:rPr>
          <w:rFonts w:ascii="Book Antiqua" w:eastAsia="Book Antiqua" w:hAnsi="Book Antiqua" w:cs="Book Antiqua"/>
          <w:lang w:val="es-ES"/>
        </w:rPr>
        <w:t xml:space="preserve"> tiene la intención de aumentar la deducción máxima permitida por concepto de aportaciones a cuentas de ahorro para la educación a mil (1,000) dólares anuales. De igual forma, equipara al tope de deducción para IRA educativa del Código de Rentas Internas Federal (IRS), para lograr uniformidad en el tratamiento contributivo de esta herramienta. Esta enmienda no solo reconoce la realidad inflacionaria y el costo creciente de la educación, sino que también envía un mensaje claro de la política pública que se </w:t>
      </w:r>
      <w:r w:rsidRPr="008F62A0">
        <w:rPr>
          <w:rFonts w:ascii="Book Antiqua" w:eastAsia="Book Antiqua" w:hAnsi="Book Antiqua" w:cs="Book Antiqua"/>
          <w:lang w:val="es-ES"/>
        </w:rPr>
        <w:lastRenderedPageBreak/>
        <w:t xml:space="preserve">quiere establecer de respaldo a las familias que se esfuerzan por proveer un mejor futuro educativo a sus hijos.  Igualmente, a través de esta medida se logra armonizar las disposiciones de distintas secciones del Código de Rentas Internas relacionadas con estas cuentas, a fin de garantizar uniformidad, claridad y efectividad en la aplicación del beneficio. </w:t>
      </w:r>
    </w:p>
    <w:p w14:paraId="07E2E41A" w14:textId="77777777" w:rsidR="008F62A0" w:rsidRPr="008F62A0" w:rsidRDefault="008F62A0" w:rsidP="00A42724">
      <w:pPr>
        <w:jc w:val="both"/>
        <w:rPr>
          <w:rFonts w:ascii="Book Antiqua" w:eastAsia="Book Antiqua" w:hAnsi="Book Antiqua" w:cs="Book Antiqua"/>
          <w:lang w:val="es-ES"/>
        </w:rPr>
      </w:pPr>
    </w:p>
    <w:p w14:paraId="4595A8FA" w14:textId="24A37BFE" w:rsidR="003B38A4" w:rsidRPr="00CA4A00" w:rsidRDefault="003B38A4" w:rsidP="00CA4A00">
      <w:pPr>
        <w:jc w:val="center"/>
        <w:rPr>
          <w:rFonts w:ascii="Book Antiqua" w:eastAsia="Book Antiqua" w:hAnsi="Book Antiqua" w:cs="Book Antiqua"/>
          <w:b/>
          <w:bCs/>
          <w:lang w:val="es-ES"/>
        </w:rPr>
      </w:pPr>
      <w:r w:rsidRPr="008F62A0">
        <w:rPr>
          <w:rFonts w:ascii="Book Antiqua" w:eastAsia="Book Antiqua" w:hAnsi="Book Antiqua" w:cs="Book Antiqua"/>
          <w:b/>
          <w:bCs/>
          <w:lang w:val="es-ES"/>
        </w:rPr>
        <w:t>ANÁLISIS DE LA MEDIDA</w:t>
      </w:r>
    </w:p>
    <w:p w14:paraId="4DEFCE72" w14:textId="67CD639B" w:rsidR="00472202" w:rsidRDefault="00472202" w:rsidP="00472202">
      <w:pPr>
        <w:pStyle w:val="NormalWeb"/>
        <w:jc w:val="both"/>
        <w:rPr>
          <w:rFonts w:ascii="Book Antiqua" w:hAnsi="Book Antiqua"/>
          <w:lang w:val="es-ES_tradnl"/>
        </w:rPr>
      </w:pPr>
      <w:r w:rsidRPr="004947D5">
        <w:rPr>
          <w:rFonts w:ascii="Book Antiqua" w:hAnsi="Book Antiqua"/>
          <w:lang w:val="es-ES_tradnl"/>
        </w:rPr>
        <w:t xml:space="preserve">La Comisión de Hacienda evaluó el memorial sometido por la </w:t>
      </w:r>
      <w:r w:rsidRPr="00907A36">
        <w:rPr>
          <w:rFonts w:ascii="Book Antiqua" w:hAnsi="Book Antiqua"/>
          <w:lang w:val="es-ES_tradnl"/>
        </w:rPr>
        <w:t>Autoridad de Asesoría Financiera y Agencia Fiscal</w:t>
      </w:r>
      <w:r w:rsidRPr="004947D5">
        <w:rPr>
          <w:rFonts w:ascii="Book Antiqua" w:hAnsi="Book Antiqua"/>
          <w:lang w:val="es-ES_tradnl"/>
        </w:rPr>
        <w:t xml:space="preserve"> (AAFAF)</w:t>
      </w:r>
      <w:r w:rsidR="00CA4A00">
        <w:rPr>
          <w:rFonts w:ascii="Book Antiqua" w:hAnsi="Book Antiqua"/>
          <w:lang w:val="es-ES_tradnl"/>
        </w:rPr>
        <w:t xml:space="preserve"> y</w:t>
      </w:r>
      <w:r w:rsidR="008D3D2B">
        <w:rPr>
          <w:rFonts w:ascii="Book Antiqua" w:hAnsi="Book Antiqua"/>
          <w:lang w:val="es-ES_tradnl"/>
        </w:rPr>
        <w:t xml:space="preserve"> conjuntamente</w:t>
      </w:r>
      <w:r w:rsidR="00CA4A00">
        <w:rPr>
          <w:rFonts w:ascii="Book Antiqua" w:hAnsi="Book Antiqua"/>
          <w:lang w:val="es-ES_tradnl"/>
        </w:rPr>
        <w:t xml:space="preserve"> del Departamento de Hacienda </w:t>
      </w:r>
      <w:r w:rsidR="008D3D2B">
        <w:rPr>
          <w:rFonts w:ascii="Book Antiqua" w:hAnsi="Book Antiqua"/>
          <w:lang w:val="es-ES_tradnl"/>
        </w:rPr>
        <w:t xml:space="preserve">y la Oficina de Gerencia y Presupuesto </w:t>
      </w:r>
      <w:r w:rsidR="00CA4A00">
        <w:rPr>
          <w:rFonts w:ascii="Book Antiqua" w:hAnsi="Book Antiqua"/>
          <w:lang w:val="es-ES_tradnl"/>
        </w:rPr>
        <w:t>en torno al P. de la C. 499</w:t>
      </w:r>
      <w:r w:rsidR="0062162C">
        <w:rPr>
          <w:rFonts w:ascii="Book Antiqua" w:hAnsi="Book Antiqua"/>
          <w:lang w:val="es-ES_tradnl"/>
        </w:rPr>
        <w:t>, proyecto equivalente al P. del S. 487 en la Cámara de Representantes</w:t>
      </w:r>
      <w:r w:rsidRPr="004947D5">
        <w:rPr>
          <w:rFonts w:ascii="Book Antiqua" w:hAnsi="Book Antiqua"/>
          <w:lang w:val="es-ES_tradnl"/>
        </w:rPr>
        <w:t xml:space="preserve">.  </w:t>
      </w:r>
    </w:p>
    <w:p w14:paraId="03CFD7C4" w14:textId="77777777" w:rsidR="00472202" w:rsidRPr="00907A36" w:rsidRDefault="00472202" w:rsidP="00472202">
      <w:pPr>
        <w:pStyle w:val="NormalWeb"/>
        <w:jc w:val="center"/>
        <w:rPr>
          <w:rFonts w:ascii="Book Antiqua" w:hAnsi="Book Antiqua"/>
          <w:b/>
          <w:bCs/>
          <w:lang w:val="es-ES_tradnl"/>
        </w:rPr>
      </w:pPr>
      <w:r w:rsidRPr="00907A36">
        <w:rPr>
          <w:rFonts w:ascii="Book Antiqua" w:hAnsi="Book Antiqua"/>
          <w:b/>
          <w:bCs/>
          <w:lang w:val="es-ES_tradnl"/>
        </w:rPr>
        <w:t>Autoridad de Asesoría Financiera y Agencia Fiscal</w:t>
      </w:r>
    </w:p>
    <w:p w14:paraId="06167D5C" w14:textId="76C754B4" w:rsidR="00CA4A00" w:rsidRDefault="00CA4A00" w:rsidP="00CA4A00">
      <w:pPr>
        <w:jc w:val="both"/>
        <w:rPr>
          <w:rFonts w:ascii="Book Antiqua" w:hAnsi="Book Antiqua"/>
          <w:lang w:val="es-PR"/>
        </w:rPr>
      </w:pPr>
      <w:r w:rsidRPr="00CA4A00">
        <w:rPr>
          <w:rFonts w:ascii="Book Antiqua" w:hAnsi="Book Antiqua"/>
          <w:lang w:val="es-PR"/>
        </w:rPr>
        <w:t>El Proyecto d</w:t>
      </w:r>
      <w:r w:rsidR="0062162C">
        <w:rPr>
          <w:rFonts w:ascii="Book Antiqua" w:hAnsi="Book Antiqua"/>
          <w:lang w:val="es-PR"/>
        </w:rPr>
        <w:t>el Senado 487</w:t>
      </w:r>
      <w:r w:rsidRPr="00CA4A00">
        <w:rPr>
          <w:rFonts w:ascii="Book Antiqua" w:hAnsi="Book Antiqua"/>
          <w:lang w:val="es-PR"/>
        </w:rPr>
        <w:t xml:space="preserve"> propone enmendar el Código de Rentas Internas de Puerto Rico de 2011 para aumentar de $500 a $1,000 anuales el límite de deducción contributiva por aportaciones a cuentas de ahorro educativo. Esta medida, aplicable a partir del año contributivo 2025, también busca armonizar el tratamiento fiscal de estas cuentas, facilitando su interpretación y aplicación.</w:t>
      </w:r>
    </w:p>
    <w:p w14:paraId="28448028" w14:textId="77777777" w:rsidR="00CA4A00" w:rsidRPr="00CA4A00" w:rsidRDefault="00CA4A00" w:rsidP="00CA4A00">
      <w:pPr>
        <w:jc w:val="both"/>
        <w:rPr>
          <w:rFonts w:ascii="Book Antiqua" w:hAnsi="Book Antiqua"/>
          <w:lang w:val="es-PR"/>
        </w:rPr>
      </w:pPr>
    </w:p>
    <w:p w14:paraId="27D3E0BB" w14:textId="77777777" w:rsidR="00CA4A00" w:rsidRDefault="00CA4A00" w:rsidP="00CA4A00">
      <w:pPr>
        <w:jc w:val="both"/>
        <w:rPr>
          <w:rFonts w:ascii="Book Antiqua" w:hAnsi="Book Antiqua"/>
          <w:lang w:val="es-PR"/>
        </w:rPr>
      </w:pPr>
      <w:r w:rsidRPr="00CA4A00">
        <w:rPr>
          <w:rFonts w:ascii="Book Antiqua" w:hAnsi="Book Antiqua"/>
          <w:lang w:val="es-PR"/>
        </w:rPr>
        <w:t>El objetivo central es incentivar el ahorro familiar para cubrir los crecientes costos de la educación en la Isla, en un contexto de acceso limitado al crédito educativo y una necesidad urgente de elevar el nivel académico de la población. Con este cambio, se espera fomentar una mayor participación ciudadana en el uso de estas cuentas, promover la autosuficiencia financiera y reducir la dependencia del endeudamiento.</w:t>
      </w:r>
    </w:p>
    <w:p w14:paraId="079D6CF8" w14:textId="77777777" w:rsidR="00CA4A00" w:rsidRPr="00CA4A00" w:rsidRDefault="00CA4A00" w:rsidP="00CA4A00">
      <w:pPr>
        <w:jc w:val="both"/>
        <w:rPr>
          <w:rFonts w:ascii="Book Antiqua" w:hAnsi="Book Antiqua"/>
          <w:lang w:val="es-PR"/>
        </w:rPr>
      </w:pPr>
    </w:p>
    <w:p w14:paraId="06612327" w14:textId="703326FC" w:rsidR="00CA4A00" w:rsidRDefault="0062162C" w:rsidP="00CA4A00">
      <w:pPr>
        <w:jc w:val="both"/>
        <w:rPr>
          <w:rFonts w:ascii="Book Antiqua" w:hAnsi="Book Antiqua"/>
          <w:lang w:val="es-PR"/>
        </w:rPr>
      </w:pPr>
      <w:r>
        <w:rPr>
          <w:rFonts w:ascii="Book Antiqua" w:hAnsi="Book Antiqua"/>
          <w:lang w:val="es-PR"/>
        </w:rPr>
        <w:t>Esta ley</w:t>
      </w:r>
      <w:r w:rsidR="00CA4A00" w:rsidRPr="00CA4A00">
        <w:rPr>
          <w:rFonts w:ascii="Book Antiqua" w:hAnsi="Book Antiqua"/>
          <w:lang w:val="es-PR"/>
        </w:rPr>
        <w:t xml:space="preserve"> responde a una deficiencia estructural del sistema contributivo local, ya que el límite actual de deducción no ha sido actualizado en más de una década, pese al aumento significativo en los gastos educativos. Al alinearse con el Código federal y facilitar el acceso a este beneficio, se busca ampliar su impacto poblacional.</w:t>
      </w:r>
    </w:p>
    <w:p w14:paraId="797A643B" w14:textId="77777777" w:rsidR="00CA4A00" w:rsidRPr="00CA4A00" w:rsidRDefault="00CA4A00" w:rsidP="00CA4A00">
      <w:pPr>
        <w:jc w:val="both"/>
        <w:rPr>
          <w:rFonts w:ascii="Book Antiqua" w:hAnsi="Book Antiqua"/>
          <w:lang w:val="es-PR"/>
        </w:rPr>
      </w:pPr>
    </w:p>
    <w:p w14:paraId="578E5201" w14:textId="77777777" w:rsidR="00CA4A00" w:rsidRDefault="00CA4A00" w:rsidP="00CA4A00">
      <w:pPr>
        <w:jc w:val="both"/>
        <w:rPr>
          <w:rFonts w:ascii="Book Antiqua" w:hAnsi="Book Antiqua"/>
          <w:lang w:val="es-PR"/>
        </w:rPr>
      </w:pPr>
      <w:r w:rsidRPr="00CA4A00">
        <w:rPr>
          <w:rFonts w:ascii="Book Antiqua" w:hAnsi="Book Antiqua"/>
          <w:lang w:val="es-PR"/>
        </w:rPr>
        <w:t>Desde una perspectiva fiscal, la propuesta es considerada responsable, viable y consistente con el Plan Fiscal certificado en 2024. Este reconoce la importancia del ahorro como estrategia para reducir desigualdades y fortalecer el capital humano. El aumento propuesto no implica nuevos gastos gubernamentales, ni compromete metas fiscales, y se implementaría dentro del marco regulatorio ya existente.</w:t>
      </w:r>
    </w:p>
    <w:p w14:paraId="566E277F" w14:textId="77777777" w:rsidR="00CA4A00" w:rsidRPr="00CA4A00" w:rsidRDefault="00CA4A00" w:rsidP="00CA4A00">
      <w:pPr>
        <w:jc w:val="both"/>
        <w:rPr>
          <w:rFonts w:ascii="Book Antiqua" w:hAnsi="Book Antiqua"/>
          <w:lang w:val="es-PR"/>
        </w:rPr>
      </w:pPr>
    </w:p>
    <w:p w14:paraId="09ECCB1B" w14:textId="14D93522" w:rsidR="00CA4A00" w:rsidRDefault="00CA4A00" w:rsidP="00CA4A00">
      <w:pPr>
        <w:jc w:val="both"/>
        <w:rPr>
          <w:rFonts w:ascii="Book Antiqua" w:hAnsi="Book Antiqua"/>
          <w:lang w:val="es-PR"/>
        </w:rPr>
      </w:pPr>
      <w:r w:rsidRPr="00CA4A00">
        <w:rPr>
          <w:rFonts w:ascii="Book Antiqua" w:hAnsi="Book Antiqua"/>
          <w:lang w:val="es-PR"/>
        </w:rPr>
        <w:t>Finalmente, la medida está alineada con el Programa de Gobierno de la actual Administración, que promueve el fortalecimiento del ahorro familiar y el acceso equitativo a la educación. Por tanto, el P</w:t>
      </w:r>
      <w:r w:rsidR="0062162C">
        <w:rPr>
          <w:rFonts w:ascii="Book Antiqua" w:hAnsi="Book Antiqua"/>
          <w:lang w:val="es-PR"/>
        </w:rPr>
        <w:t>S 487</w:t>
      </w:r>
      <w:r w:rsidRPr="00CA4A00">
        <w:rPr>
          <w:rFonts w:ascii="Book Antiqua" w:hAnsi="Book Antiqua"/>
          <w:lang w:val="es-PR"/>
        </w:rPr>
        <w:t xml:space="preserve"> representa una reforma fiscal moderada pero estratégica, que apoya la planificación económica, la movilidad social y el desarrollo sostenible de Puerto Rico. La AAFAF recomienda su aprobación.</w:t>
      </w:r>
    </w:p>
    <w:p w14:paraId="7CC01F2B" w14:textId="77777777" w:rsidR="00EF10EE" w:rsidRDefault="00EF10EE" w:rsidP="00CA4A00">
      <w:pPr>
        <w:jc w:val="both"/>
        <w:rPr>
          <w:rFonts w:ascii="Book Antiqua" w:hAnsi="Book Antiqua"/>
          <w:lang w:val="es-PR"/>
        </w:rPr>
      </w:pPr>
    </w:p>
    <w:p w14:paraId="3B2E9D79" w14:textId="77777777" w:rsidR="00EF10EE" w:rsidRDefault="00EF10EE" w:rsidP="00CA4A00">
      <w:pPr>
        <w:jc w:val="both"/>
        <w:rPr>
          <w:rFonts w:ascii="Book Antiqua" w:hAnsi="Book Antiqua"/>
          <w:lang w:val="es-PR"/>
        </w:rPr>
      </w:pPr>
    </w:p>
    <w:p w14:paraId="3FAF437B" w14:textId="77777777" w:rsidR="00F82D10" w:rsidRDefault="00F82D10" w:rsidP="00CA4A00">
      <w:pPr>
        <w:jc w:val="both"/>
        <w:rPr>
          <w:rFonts w:ascii="Book Antiqua" w:hAnsi="Book Antiqua"/>
          <w:lang w:val="es-PR"/>
        </w:rPr>
      </w:pPr>
    </w:p>
    <w:p w14:paraId="7CED2D0D" w14:textId="5447CFEB" w:rsidR="00F82D10" w:rsidRDefault="00F82D10" w:rsidP="00F82D10">
      <w:pPr>
        <w:jc w:val="center"/>
        <w:rPr>
          <w:rFonts w:ascii="Book Antiqua" w:hAnsi="Book Antiqua"/>
          <w:b/>
          <w:bCs/>
          <w:lang w:val="es-PR"/>
        </w:rPr>
      </w:pPr>
      <w:r w:rsidRPr="00F82D10">
        <w:rPr>
          <w:rFonts w:ascii="Book Antiqua" w:hAnsi="Book Antiqua"/>
          <w:b/>
          <w:bCs/>
          <w:lang w:val="es-PR"/>
        </w:rPr>
        <w:t>Departamento de Hacienda</w:t>
      </w:r>
      <w:r w:rsidR="008D3D2B">
        <w:rPr>
          <w:rFonts w:ascii="Book Antiqua" w:hAnsi="Book Antiqua"/>
          <w:b/>
          <w:bCs/>
          <w:lang w:val="es-PR"/>
        </w:rPr>
        <w:t xml:space="preserve"> y la Oficina de Gerencia y Presupuesto</w:t>
      </w:r>
    </w:p>
    <w:p w14:paraId="05EED61C" w14:textId="77777777" w:rsidR="00F82D10" w:rsidRPr="00F82D10" w:rsidRDefault="00F82D10" w:rsidP="00F82D10">
      <w:pPr>
        <w:jc w:val="center"/>
        <w:rPr>
          <w:rFonts w:ascii="Book Antiqua" w:hAnsi="Book Antiqua"/>
          <w:b/>
          <w:bCs/>
          <w:lang w:val="es-PR"/>
        </w:rPr>
      </w:pPr>
    </w:p>
    <w:p w14:paraId="2BC28D76" w14:textId="17E28D13" w:rsidR="00F82D10" w:rsidRDefault="00F82D10" w:rsidP="00F82D10">
      <w:pPr>
        <w:jc w:val="both"/>
        <w:rPr>
          <w:rFonts w:ascii="Book Antiqua" w:hAnsi="Book Antiqua"/>
          <w:lang w:val="es-PR"/>
        </w:rPr>
      </w:pPr>
      <w:r w:rsidRPr="00F82D10">
        <w:rPr>
          <w:rFonts w:ascii="Book Antiqua" w:hAnsi="Book Antiqua"/>
          <w:lang w:val="es-PR"/>
        </w:rPr>
        <w:t>E</w:t>
      </w:r>
      <w:r>
        <w:rPr>
          <w:rFonts w:ascii="Book Antiqua" w:hAnsi="Book Antiqua"/>
          <w:lang w:val="es-PR"/>
        </w:rPr>
        <w:t xml:space="preserve">n su memorial explicativo el Departamento de Hacienda indica que esta </w:t>
      </w:r>
      <w:r w:rsidR="00EF10EE">
        <w:rPr>
          <w:rFonts w:ascii="Book Antiqua" w:hAnsi="Book Antiqua"/>
          <w:lang w:val="es-PR"/>
        </w:rPr>
        <w:t>Administración</w:t>
      </w:r>
      <w:r w:rsidRPr="00F82D10">
        <w:rPr>
          <w:rFonts w:ascii="Book Antiqua" w:hAnsi="Book Antiqua"/>
          <w:lang w:val="es-PR"/>
        </w:rPr>
        <w:t>, busca transformar el sistema contributivo de Puerto Rico para hacerlo más justo y eficiente, otorgando alivio a la clase media. Entre sus objetivos destacan la reducción de tasas contributivas, la revisión del impuesto al inventario y la simplificación de procesos a nivel estatal y municipal. Una de sus prioridades es fomentar la cultura de ahorro familiar, especialmente mediante la mejora de incentivos como las Cuentas IRA Educativas.</w:t>
      </w:r>
    </w:p>
    <w:p w14:paraId="18C5293D" w14:textId="77777777" w:rsidR="00F82D10" w:rsidRPr="00F82D10" w:rsidRDefault="00F82D10" w:rsidP="00F82D10">
      <w:pPr>
        <w:jc w:val="both"/>
        <w:rPr>
          <w:rFonts w:ascii="Book Antiqua" w:hAnsi="Book Antiqua"/>
          <w:lang w:val="es-PR"/>
        </w:rPr>
      </w:pPr>
    </w:p>
    <w:p w14:paraId="61B9B737" w14:textId="77777777" w:rsidR="00F82D10" w:rsidRDefault="00F82D10" w:rsidP="00F82D10">
      <w:pPr>
        <w:jc w:val="both"/>
        <w:rPr>
          <w:rFonts w:ascii="Book Antiqua" w:hAnsi="Book Antiqua"/>
          <w:lang w:val="es-PR"/>
        </w:rPr>
      </w:pPr>
      <w:r w:rsidRPr="00F82D10">
        <w:rPr>
          <w:rFonts w:ascii="Book Antiqua" w:hAnsi="Book Antiqua"/>
          <w:lang w:val="es-PR"/>
        </w:rPr>
        <w:t>Actualmente, el Código de Rentas Internas permite deducciones por aportaciones a estas cuentas, pero el límite de $500 anuales por beneficiario ha demostrado ser insuficiente. Por ello, el Comité propone aumentar ese tope a $1,000 a partir del año contributivo 2025, mediante enmiendas a las Secciones 1033.15 y 1081.05 del Código. Esta medida también busca uniformar el tratamiento fiscal de dichas cuentas y estimular una mayor participación ciudadana en el ahorro educativo, ya que actualmente solo unas 2,000 personas reclaman este beneficio.</w:t>
      </w:r>
    </w:p>
    <w:p w14:paraId="489F15A3" w14:textId="77777777" w:rsidR="00F82D10" w:rsidRPr="00F82D10" w:rsidRDefault="00F82D10" w:rsidP="00F82D10">
      <w:pPr>
        <w:jc w:val="both"/>
        <w:rPr>
          <w:rFonts w:ascii="Book Antiqua" w:hAnsi="Book Antiqua"/>
          <w:lang w:val="es-PR"/>
        </w:rPr>
      </w:pPr>
    </w:p>
    <w:p w14:paraId="2CB6A088" w14:textId="1FFFB01E" w:rsidR="00F82D10" w:rsidRDefault="00F82D10" w:rsidP="00F82D10">
      <w:pPr>
        <w:jc w:val="both"/>
        <w:rPr>
          <w:rFonts w:ascii="Book Antiqua" w:hAnsi="Book Antiqua"/>
          <w:lang w:val="es-PR"/>
        </w:rPr>
      </w:pPr>
      <w:r w:rsidRPr="00F82D10">
        <w:rPr>
          <w:rFonts w:ascii="Book Antiqua" w:hAnsi="Book Antiqua"/>
          <w:lang w:val="es-PR"/>
        </w:rPr>
        <w:t>Aunque el aumento de la deducción representa un impacto fiscal estimado de $0.8 millones, la medida ha sido diseñada bajo los principios de neutralidad fiscal del Plan Fiscal vigente, que exige que toda iniciativa que afecte los ingresos del gobierno sea consistente con la estabilidad económica del país. En este caso, el gobierno sostiene que los ingresos adicionales recientes con un superávit de $345.6 millones al cierre de febrero de 2025 permiten absorber este impacto sin comprometer los objetivos fiscales.</w:t>
      </w:r>
    </w:p>
    <w:p w14:paraId="349C95D9" w14:textId="77777777" w:rsidR="00F82D10" w:rsidRPr="00F82D10" w:rsidRDefault="00F82D10" w:rsidP="00F82D10">
      <w:pPr>
        <w:jc w:val="both"/>
        <w:rPr>
          <w:rFonts w:ascii="Book Antiqua" w:hAnsi="Book Antiqua"/>
          <w:lang w:val="es-PR"/>
        </w:rPr>
      </w:pPr>
    </w:p>
    <w:p w14:paraId="75395C4B" w14:textId="77777777" w:rsidR="00F82D10" w:rsidRPr="00F82D10" w:rsidRDefault="00F82D10" w:rsidP="00F82D10">
      <w:pPr>
        <w:jc w:val="both"/>
        <w:rPr>
          <w:rFonts w:ascii="Book Antiqua" w:hAnsi="Book Antiqua"/>
          <w:lang w:val="es-PR"/>
        </w:rPr>
      </w:pPr>
      <w:r w:rsidRPr="00F82D10">
        <w:rPr>
          <w:rFonts w:ascii="Book Antiqua" w:hAnsi="Book Antiqua"/>
          <w:lang w:val="es-PR"/>
        </w:rPr>
        <w:t>En conclusión, esta propuesta representa un paso hacia la justicia contributiva y el fortalecimiento del ahorro educativo sin poner en riesgo la estabilidad fiscal del gobierno. La medida está alineada con las metas del Plan Fiscal, fomenta la autosuficiencia financiera de las familias y fortalece la planificación económica desde etapas tempranas.</w:t>
      </w:r>
    </w:p>
    <w:p w14:paraId="46AE9EAB" w14:textId="77777777" w:rsidR="00F82D10" w:rsidRPr="00F82D10" w:rsidRDefault="00F82D10" w:rsidP="00F82D10">
      <w:pPr>
        <w:jc w:val="both"/>
        <w:rPr>
          <w:rFonts w:ascii="Book Antiqua" w:hAnsi="Book Antiqua"/>
          <w:vanish/>
          <w:lang w:val="en-US"/>
        </w:rPr>
      </w:pPr>
      <w:r w:rsidRPr="00F82D10">
        <w:rPr>
          <w:rFonts w:ascii="Book Antiqua" w:hAnsi="Book Antiqua"/>
          <w:vanish/>
          <w:lang w:val="en-US"/>
        </w:rPr>
        <w:t>Top of Form</w:t>
      </w:r>
    </w:p>
    <w:p w14:paraId="7BE15B04" w14:textId="77777777" w:rsidR="00F82D10" w:rsidRPr="00F82D10" w:rsidRDefault="00F82D10" w:rsidP="00F82D10">
      <w:pPr>
        <w:jc w:val="both"/>
        <w:rPr>
          <w:rFonts w:ascii="Book Antiqua" w:hAnsi="Book Antiqua"/>
          <w:vanish/>
          <w:lang w:val="en-US"/>
        </w:rPr>
      </w:pPr>
      <w:r w:rsidRPr="00F82D10">
        <w:rPr>
          <w:rFonts w:ascii="Book Antiqua" w:hAnsi="Book Antiqua"/>
          <w:vanish/>
          <w:lang w:val="en-US"/>
        </w:rPr>
        <w:t>Bottom of Form</w:t>
      </w:r>
    </w:p>
    <w:p w14:paraId="3586BC4B" w14:textId="77777777" w:rsidR="00CA4A00" w:rsidRPr="00EE05AF" w:rsidRDefault="00CA4A00" w:rsidP="00F82D10">
      <w:pPr>
        <w:spacing w:before="100" w:beforeAutospacing="1" w:after="120" w:line="276" w:lineRule="auto"/>
        <w:jc w:val="center"/>
        <w:rPr>
          <w:rFonts w:ascii="Book Antiqua" w:hAnsi="Book Antiqua"/>
          <w:b/>
          <w:szCs w:val="24"/>
          <w:lang w:val="es-ES_tradnl"/>
        </w:rPr>
      </w:pPr>
      <w:r w:rsidRPr="00EE05AF">
        <w:rPr>
          <w:rFonts w:ascii="Book Antiqua" w:hAnsi="Book Antiqua"/>
          <w:b/>
          <w:szCs w:val="24"/>
          <w:lang w:val="es-ES_tradnl"/>
        </w:rPr>
        <w:t>IMPACTO FISCAL</w:t>
      </w:r>
    </w:p>
    <w:p w14:paraId="4BA74437" w14:textId="7AA80ECE" w:rsidR="00606167" w:rsidRDefault="00055011" w:rsidP="00055011">
      <w:pPr>
        <w:spacing w:before="100" w:beforeAutospacing="1" w:after="120" w:line="276" w:lineRule="auto"/>
        <w:jc w:val="both"/>
        <w:rPr>
          <w:rFonts w:ascii="Book Antiqua" w:hAnsi="Book Antiqua"/>
          <w:szCs w:val="24"/>
          <w:lang w:val="es-ES_tradnl"/>
        </w:rPr>
      </w:pPr>
      <w:bookmarkStart w:id="1" w:name="_Hlk194929785"/>
      <w:r>
        <w:rPr>
          <w:rFonts w:ascii="Book Antiqua" w:hAnsi="Book Antiqua"/>
          <w:szCs w:val="24"/>
          <w:lang w:val="es-ES_tradnl"/>
        </w:rPr>
        <w:t xml:space="preserve">La </w:t>
      </w:r>
      <w:r w:rsidRPr="00EE05AF">
        <w:rPr>
          <w:rFonts w:ascii="Book Antiqua" w:hAnsi="Book Antiqua"/>
          <w:szCs w:val="24"/>
          <w:lang w:val="es-ES_tradnl"/>
        </w:rPr>
        <w:t xml:space="preserve">Oficina de Presupuesto de la Asamblea Legislativa </w:t>
      </w:r>
      <w:r>
        <w:rPr>
          <w:rFonts w:ascii="Book Antiqua" w:hAnsi="Book Antiqua"/>
          <w:szCs w:val="24"/>
          <w:lang w:val="es-ES_tradnl"/>
        </w:rPr>
        <w:t>(OPAL) sometió un informe sobre el P. de</w:t>
      </w:r>
      <w:r w:rsidR="0062162C">
        <w:rPr>
          <w:rFonts w:ascii="Book Antiqua" w:hAnsi="Book Antiqua"/>
          <w:szCs w:val="24"/>
          <w:lang w:val="es-ES_tradnl"/>
        </w:rPr>
        <w:t>l S. 487</w:t>
      </w:r>
      <w:r w:rsidR="00606167">
        <w:rPr>
          <w:rFonts w:ascii="Book Antiqua" w:hAnsi="Book Antiqua"/>
          <w:szCs w:val="24"/>
          <w:lang w:val="es-ES_tradnl"/>
        </w:rPr>
        <w:t>, en el informe estiman un efecto fiscal hasta el año 2030, según se detalla:</w:t>
      </w:r>
    </w:p>
    <w:p w14:paraId="189A3311" w14:textId="77777777" w:rsidR="00606167" w:rsidRPr="00606167" w:rsidRDefault="00606167" w:rsidP="00606167">
      <w:pPr>
        <w:jc w:val="both"/>
        <w:rPr>
          <w:rFonts w:ascii="Book Antiqua" w:hAnsi="Book Antiqua"/>
          <w:lang w:val="es-PR"/>
        </w:rPr>
      </w:pPr>
      <w:r w:rsidRPr="00606167">
        <w:rPr>
          <w:rFonts w:ascii="Book Antiqua" w:hAnsi="Book Antiqua"/>
          <w:lang w:val="es-PR"/>
        </w:rPr>
        <w:t>2026: -$666,197</w:t>
      </w:r>
    </w:p>
    <w:p w14:paraId="0F27383F" w14:textId="77777777" w:rsidR="00606167" w:rsidRPr="00606167" w:rsidRDefault="00606167" w:rsidP="00606167">
      <w:pPr>
        <w:jc w:val="both"/>
        <w:rPr>
          <w:rFonts w:ascii="Book Antiqua" w:hAnsi="Book Antiqua"/>
          <w:lang w:val="es-PR"/>
        </w:rPr>
      </w:pPr>
      <w:r w:rsidRPr="00606167">
        <w:rPr>
          <w:rFonts w:ascii="Book Antiqua" w:hAnsi="Book Antiqua"/>
          <w:lang w:val="es-PR"/>
        </w:rPr>
        <w:t>2027: -$684,016</w:t>
      </w:r>
    </w:p>
    <w:p w14:paraId="05CE8FDB" w14:textId="77777777" w:rsidR="00606167" w:rsidRPr="00606167" w:rsidRDefault="00606167" w:rsidP="00606167">
      <w:pPr>
        <w:jc w:val="both"/>
        <w:rPr>
          <w:rFonts w:ascii="Book Antiqua" w:hAnsi="Book Antiqua"/>
          <w:lang w:val="es-PR"/>
        </w:rPr>
      </w:pPr>
      <w:r w:rsidRPr="00606167">
        <w:rPr>
          <w:rFonts w:ascii="Book Antiqua" w:hAnsi="Book Antiqua"/>
          <w:lang w:val="es-PR"/>
        </w:rPr>
        <w:t>2028: -$699,576</w:t>
      </w:r>
    </w:p>
    <w:p w14:paraId="02B01F68" w14:textId="77777777" w:rsidR="00606167" w:rsidRPr="00606167" w:rsidRDefault="00606167" w:rsidP="00606167">
      <w:pPr>
        <w:jc w:val="both"/>
        <w:rPr>
          <w:rFonts w:ascii="Book Antiqua" w:hAnsi="Book Antiqua"/>
          <w:lang w:val="es-PR"/>
        </w:rPr>
      </w:pPr>
      <w:r w:rsidRPr="00606167">
        <w:rPr>
          <w:rFonts w:ascii="Book Antiqua" w:hAnsi="Book Antiqua"/>
          <w:lang w:val="es-PR"/>
        </w:rPr>
        <w:t>2029: -$716,335</w:t>
      </w:r>
    </w:p>
    <w:p w14:paraId="4AEF490E" w14:textId="764FCA88" w:rsidR="00AD5B59" w:rsidRDefault="00606167" w:rsidP="00CA4A00">
      <w:pPr>
        <w:jc w:val="both"/>
        <w:rPr>
          <w:rFonts w:ascii="Book Antiqua" w:hAnsi="Book Antiqua"/>
          <w:lang w:val="es-PR"/>
        </w:rPr>
      </w:pPr>
      <w:r w:rsidRPr="00606167">
        <w:rPr>
          <w:rFonts w:ascii="Book Antiqua" w:hAnsi="Book Antiqua"/>
          <w:lang w:val="es-PR"/>
        </w:rPr>
        <w:t>2030: -$733</w:t>
      </w:r>
      <w:r w:rsidR="00625ABA">
        <w:rPr>
          <w:rFonts w:ascii="Book Antiqua" w:hAnsi="Book Antiqua"/>
          <w:lang w:val="es-PR"/>
        </w:rPr>
        <w:t>,</w:t>
      </w:r>
      <w:r w:rsidRPr="00606167">
        <w:rPr>
          <w:rFonts w:ascii="Book Antiqua" w:hAnsi="Book Antiqua"/>
          <w:lang w:val="es-PR"/>
        </w:rPr>
        <w:t>527</w:t>
      </w:r>
      <w:bookmarkEnd w:id="1"/>
    </w:p>
    <w:p w14:paraId="1E7D6331" w14:textId="77777777" w:rsidR="00AD5B59" w:rsidRPr="00CA4A00" w:rsidRDefault="00AD5B59" w:rsidP="00CA4A00">
      <w:pPr>
        <w:jc w:val="both"/>
        <w:rPr>
          <w:rFonts w:ascii="Book Antiqua" w:hAnsi="Book Antiqua"/>
          <w:lang w:val="es-PR"/>
        </w:rPr>
      </w:pPr>
    </w:p>
    <w:p w14:paraId="528F8908" w14:textId="3BC541E8"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799B8B1C" w14:textId="380006C1" w:rsidR="00CA4A00" w:rsidRDefault="00CA4A00" w:rsidP="00CA4A00">
      <w:pPr>
        <w:jc w:val="both"/>
        <w:rPr>
          <w:rFonts w:ascii="Book Antiqua" w:hAnsi="Book Antiqua"/>
          <w:lang w:val="es-PR"/>
        </w:rPr>
      </w:pPr>
      <w:r w:rsidRPr="00CA4A00">
        <w:rPr>
          <w:rFonts w:ascii="Book Antiqua" w:hAnsi="Book Antiqua"/>
          <w:lang w:val="es-PR"/>
        </w:rPr>
        <w:t>Luego de completar el análisis y evaluación sobre todos los elementos concernientes a esta pieza legislativa, incluyendo el insumo de</w:t>
      </w:r>
      <w:r w:rsidR="00055011">
        <w:rPr>
          <w:rFonts w:ascii="Book Antiqua" w:hAnsi="Book Antiqua"/>
          <w:lang w:val="es-PR"/>
        </w:rPr>
        <w:t xml:space="preserve"> </w:t>
      </w:r>
      <w:r w:rsidRPr="00CA4A00">
        <w:rPr>
          <w:rFonts w:ascii="Book Antiqua" w:hAnsi="Book Antiqua"/>
          <w:lang w:val="es-PR"/>
        </w:rPr>
        <w:t>l</w:t>
      </w:r>
      <w:r w:rsidR="00055011">
        <w:rPr>
          <w:rFonts w:ascii="Book Antiqua" w:hAnsi="Book Antiqua"/>
          <w:lang w:val="es-PR"/>
        </w:rPr>
        <w:t xml:space="preserve">a Autoridad de </w:t>
      </w:r>
      <w:r w:rsidR="00055011" w:rsidRPr="00907A36">
        <w:rPr>
          <w:rFonts w:ascii="Book Antiqua" w:hAnsi="Book Antiqua"/>
          <w:lang w:val="es-ES_tradnl"/>
        </w:rPr>
        <w:t>Autoridad de Asesoría Financiera y Agencia Fiscal</w:t>
      </w:r>
      <w:r w:rsidR="00055011">
        <w:rPr>
          <w:rFonts w:ascii="Book Antiqua" w:hAnsi="Book Antiqua"/>
          <w:lang w:val="es-ES_tradnl"/>
        </w:rPr>
        <w:t>,</w:t>
      </w:r>
      <w:r w:rsidR="00055011" w:rsidRPr="004947D5">
        <w:rPr>
          <w:rFonts w:ascii="Book Antiqua" w:hAnsi="Book Antiqua"/>
          <w:lang w:val="es-ES_tradnl"/>
        </w:rPr>
        <w:t xml:space="preserve"> </w:t>
      </w:r>
      <w:r w:rsidRPr="00CA4A00">
        <w:rPr>
          <w:rFonts w:ascii="Book Antiqua" w:hAnsi="Book Antiqua"/>
          <w:lang w:val="es-PR"/>
        </w:rPr>
        <w:t>Departamento de Hacienda, la OPAL y el Comité de Reforma Contributiva establecido por la Honorable Gobernadora Jennifer González-Colón, esta Comisión de Hacienda reconoce y apoya la política pública de este Gobierno de facilitar el acceso a mecanismos de ahorro educativo más efectivos para todos nuestros ciudadanos y sentar las bases para una sociedad más preparada y con mayores  oportunidades de progreso.</w:t>
      </w:r>
    </w:p>
    <w:p w14:paraId="35271444" w14:textId="77777777" w:rsidR="00D32461" w:rsidRDefault="00D32461" w:rsidP="00CA4A00">
      <w:pPr>
        <w:jc w:val="both"/>
        <w:rPr>
          <w:rFonts w:ascii="Book Antiqua" w:hAnsi="Book Antiqua"/>
          <w:lang w:val="es-PR"/>
        </w:rPr>
      </w:pPr>
    </w:p>
    <w:p w14:paraId="5FFBD5D4" w14:textId="69E527DD" w:rsidR="00D32461" w:rsidRPr="00AD59F2" w:rsidRDefault="00D32461" w:rsidP="00CA4A00">
      <w:pPr>
        <w:jc w:val="both"/>
        <w:rPr>
          <w:rFonts w:ascii="Book Antiqua" w:hAnsi="Book Antiqua"/>
          <w:szCs w:val="24"/>
          <w:lang w:val="es-PR"/>
        </w:rPr>
      </w:pPr>
      <w:r w:rsidRPr="00D32461">
        <w:rPr>
          <w:rFonts w:ascii="Book Antiqua" w:hAnsi="Book Antiqua"/>
        </w:rPr>
        <w:t xml:space="preserve">Cabe señalar que, según el análisis presentado, el impacto fiscal proyectado es </w:t>
      </w:r>
      <w:r w:rsidRPr="00D32461">
        <w:rPr>
          <w:rFonts w:ascii="Book Antiqua" w:hAnsi="Book Antiqua"/>
          <w:b/>
          <w:bCs/>
        </w:rPr>
        <w:t>mínimo</w:t>
      </w:r>
      <w:r w:rsidRPr="00D32461">
        <w:rPr>
          <w:rFonts w:ascii="Book Antiqua" w:hAnsi="Book Antiqua"/>
        </w:rPr>
        <w:t xml:space="preserve">, por lo que no representa una carga significativa para el erario público. </w:t>
      </w:r>
      <w:r w:rsidR="00AD59F2" w:rsidRPr="00AD59F2">
        <w:rPr>
          <w:rFonts w:ascii="Book Antiqua" w:hAnsi="Book Antiqua"/>
          <w:color w:val="000000"/>
        </w:rPr>
        <w:t>Es importante reconocer que facilitar la planificación financiera por parte de los ciudadanos puede beneficiar a mediano y largo plazo las finanzas públicas del Gobierno de Puerto Rico, ya que se reduciría la futura dependencia de ayudas públicas, fortaleciendo así la sostenibilidad fiscal del Gobierno.</w:t>
      </w:r>
      <w:r w:rsidR="00AD59F2">
        <w:rPr>
          <w:rFonts w:ascii="Book Antiqua" w:hAnsi="Book Antiqua"/>
          <w:szCs w:val="24"/>
          <w:lang w:val="es-PR"/>
        </w:rPr>
        <w:t xml:space="preserve">  </w:t>
      </w:r>
      <w:r w:rsidRPr="00D32461">
        <w:rPr>
          <w:rFonts w:ascii="Book Antiqua" w:hAnsi="Book Antiqua"/>
        </w:rPr>
        <w:t>En virtud de ello, esta Comisión entiende que los beneficios sociales y económicos derivados de la medida superan ampliamente su costo fiscal.</w:t>
      </w:r>
    </w:p>
    <w:p w14:paraId="3189AA73" w14:textId="77777777" w:rsidR="00CA4A00" w:rsidRPr="00CA4A00" w:rsidRDefault="00CA4A00" w:rsidP="00CA4A00">
      <w:pPr>
        <w:jc w:val="both"/>
        <w:rPr>
          <w:rFonts w:ascii="Book Antiqua" w:hAnsi="Book Antiqua"/>
          <w:lang w:val="es-PR"/>
        </w:rPr>
      </w:pPr>
    </w:p>
    <w:p w14:paraId="4BEA9B17" w14:textId="2844E69D" w:rsidR="00CA4A00" w:rsidRPr="00CA4A00" w:rsidRDefault="00CA4A00" w:rsidP="00CA4A00">
      <w:pPr>
        <w:jc w:val="both"/>
        <w:rPr>
          <w:rFonts w:ascii="Book Antiqua" w:hAnsi="Book Antiqua"/>
          <w:lang w:val="es-PR"/>
        </w:rPr>
      </w:pPr>
      <w:r w:rsidRPr="00CA4A00">
        <w:rPr>
          <w:rFonts w:ascii="Book Antiqua" w:hAnsi="Book Antiqua"/>
          <w:lang w:val="es-PR"/>
        </w:rPr>
        <w:t xml:space="preserve">Por los fundamentos antes expuestos, la Comisión de Hacienda, somete el presente Informe Positivo en el que recomendamos a este Honorable Cuerpo la aprobación </w:t>
      </w:r>
      <w:r w:rsidR="0062162C">
        <w:rPr>
          <w:rFonts w:ascii="Book Antiqua" w:hAnsi="Book Antiqua"/>
          <w:lang w:val="es-PR"/>
        </w:rPr>
        <w:t xml:space="preserve">con </w:t>
      </w:r>
      <w:r w:rsidRPr="00CA4A00">
        <w:rPr>
          <w:rFonts w:ascii="Book Antiqua" w:hAnsi="Book Antiqua"/>
          <w:lang w:val="es-PR"/>
        </w:rPr>
        <w:t>enmiendas del P. de</w:t>
      </w:r>
      <w:r w:rsidR="0062162C">
        <w:rPr>
          <w:rFonts w:ascii="Book Antiqua" w:hAnsi="Book Antiqua"/>
          <w:lang w:val="es-PR"/>
        </w:rPr>
        <w:t>l S. 487</w:t>
      </w:r>
      <w:r w:rsidRPr="00CA4A00">
        <w:rPr>
          <w:rFonts w:ascii="Book Antiqua" w:hAnsi="Book Antiqua"/>
          <w:lang w:val="es-PR"/>
        </w:rPr>
        <w:t>.</w:t>
      </w:r>
    </w:p>
    <w:p w14:paraId="4235DE7C" w14:textId="77777777" w:rsidR="00C06720" w:rsidRPr="00F248D5" w:rsidRDefault="00C06720" w:rsidP="004512E8">
      <w:pPr>
        <w:jc w:val="both"/>
        <w:rPr>
          <w:rFonts w:ascii="Book Antiqua" w:eastAsia="Book Antiqua" w:hAnsi="Book Antiqua" w:cs="Book Antiqua"/>
          <w:bCs/>
          <w:szCs w:val="24"/>
          <w:lang w:val="es-ES"/>
        </w:rPr>
      </w:pPr>
    </w:p>
    <w:p w14:paraId="6C8FC9E5" w14:textId="77777777" w:rsidR="003B38A4" w:rsidRPr="00472202" w:rsidRDefault="003B38A4" w:rsidP="003B38A4">
      <w:pPr>
        <w:jc w:val="both"/>
        <w:rPr>
          <w:rFonts w:ascii="Book Antiqua" w:eastAsia="Book Antiqua" w:hAnsi="Book Antiqua" w:cs="Book Antiqua"/>
          <w:szCs w:val="24"/>
          <w:lang w:val="it-IT"/>
        </w:rPr>
      </w:pPr>
      <w:r w:rsidRPr="00472202">
        <w:rPr>
          <w:rFonts w:ascii="Book Antiqua" w:eastAsia="Book Antiqua" w:hAnsi="Book Antiqua" w:cs="Book Antiqua"/>
          <w:szCs w:val="24"/>
          <w:lang w:val="it-IT"/>
        </w:rPr>
        <w:t>Respetuosamente sometido,</w:t>
      </w:r>
    </w:p>
    <w:p w14:paraId="4FB53C2F" w14:textId="77777777" w:rsidR="00C96EF8" w:rsidRDefault="00C96EF8" w:rsidP="00F248D5">
      <w:pPr>
        <w:jc w:val="both"/>
        <w:rPr>
          <w:rFonts w:ascii="Book Antiqua" w:eastAsia="Book Antiqua" w:hAnsi="Book Antiqua" w:cs="Book Antiqua"/>
          <w:szCs w:val="24"/>
          <w:lang w:val="it-IT"/>
        </w:rPr>
      </w:pPr>
    </w:p>
    <w:p w14:paraId="0F188D4F" w14:textId="77777777" w:rsidR="00C96EF8" w:rsidRDefault="00C96EF8" w:rsidP="00F248D5">
      <w:pPr>
        <w:jc w:val="both"/>
        <w:rPr>
          <w:rFonts w:ascii="Book Antiqua" w:eastAsia="Book Antiqua" w:hAnsi="Book Antiqua" w:cs="Book Antiqua"/>
          <w:szCs w:val="24"/>
          <w:lang w:val="it-IT"/>
        </w:rPr>
      </w:pPr>
    </w:p>
    <w:p w14:paraId="4488EAA4" w14:textId="77777777" w:rsidR="00C96EF8" w:rsidRDefault="00C96EF8" w:rsidP="00F248D5">
      <w:pPr>
        <w:jc w:val="both"/>
        <w:rPr>
          <w:rFonts w:ascii="Book Antiqua" w:eastAsia="Book Antiqua" w:hAnsi="Book Antiqua" w:cs="Book Antiqua"/>
          <w:szCs w:val="24"/>
          <w:lang w:val="it-IT"/>
        </w:rPr>
      </w:pPr>
    </w:p>
    <w:p w14:paraId="6C993983" w14:textId="3BF1C114" w:rsidR="0062032A" w:rsidRPr="00A771D4" w:rsidRDefault="00860343" w:rsidP="00F248D5">
      <w:pPr>
        <w:jc w:val="both"/>
        <w:rPr>
          <w:rFonts w:ascii="Book Antiqua" w:eastAsia="Book Antiqua" w:hAnsi="Book Antiqua" w:cs="Book Antiqua"/>
          <w:szCs w:val="24"/>
          <w:lang w:val="it-IT"/>
        </w:rPr>
      </w:pPr>
      <w:r w:rsidRPr="00A771D4">
        <w:rPr>
          <w:rFonts w:ascii="Book Antiqua" w:eastAsia="Book Antiqua" w:hAnsi="Book Antiqua" w:cs="Book Antiqua"/>
          <w:szCs w:val="24"/>
          <w:lang w:val="it-IT"/>
        </w:rPr>
        <w:t>Eddie Charbonier Chinea</w:t>
      </w:r>
    </w:p>
    <w:p w14:paraId="56042E13" w14:textId="753D610F" w:rsidR="00B52A70" w:rsidRPr="00A771D4" w:rsidRDefault="00B52A70" w:rsidP="00F248D5">
      <w:pPr>
        <w:jc w:val="both"/>
        <w:rPr>
          <w:rFonts w:ascii="Book Antiqua" w:eastAsia="Book Antiqua" w:hAnsi="Book Antiqua" w:cs="Book Antiqua"/>
          <w:szCs w:val="24"/>
          <w:lang w:val="it-IT"/>
        </w:rPr>
      </w:pPr>
      <w:r w:rsidRPr="00A771D4">
        <w:rPr>
          <w:rFonts w:ascii="Book Antiqua" w:eastAsia="Book Antiqua" w:hAnsi="Book Antiqua" w:cs="Book Antiqua"/>
          <w:szCs w:val="24"/>
          <w:lang w:val="it-IT"/>
        </w:rPr>
        <w:t>Presidente</w:t>
      </w:r>
    </w:p>
    <w:p w14:paraId="70DD8FA5" w14:textId="440140B4" w:rsidR="00B52A70" w:rsidRPr="00F248D5" w:rsidRDefault="001F0ABF" w:rsidP="00F248D5">
      <w:pPr>
        <w:jc w:val="both"/>
        <w:rPr>
          <w:rFonts w:ascii="Book Antiqua" w:eastAsia="Book Antiqua" w:hAnsi="Book Antiqua" w:cs="Book Antiqua"/>
          <w:szCs w:val="24"/>
          <w:lang w:val="es-ES"/>
        </w:rPr>
      </w:pPr>
      <w:r>
        <w:rPr>
          <w:rFonts w:ascii="Book Antiqua" w:eastAsia="Book Antiqua" w:hAnsi="Book Antiqua" w:cs="Book Antiqua"/>
          <w:szCs w:val="24"/>
          <w:lang w:val="es-ES"/>
        </w:rPr>
        <w:t>Comisión</w:t>
      </w:r>
      <w:r w:rsidR="00B52A70">
        <w:rPr>
          <w:rFonts w:ascii="Book Antiqua" w:eastAsia="Book Antiqua" w:hAnsi="Book Antiqua" w:cs="Book Antiqua"/>
          <w:szCs w:val="24"/>
          <w:lang w:val="es-ES"/>
        </w:rPr>
        <w:t xml:space="preserve"> de</w:t>
      </w:r>
      <w:r w:rsidR="00860343">
        <w:rPr>
          <w:rFonts w:ascii="Book Antiqua" w:eastAsia="Book Antiqua" w:hAnsi="Book Antiqua" w:cs="Book Antiqua"/>
          <w:szCs w:val="24"/>
          <w:lang w:val="es-ES"/>
        </w:rPr>
        <w:t xml:space="preserve"> Hacienda</w:t>
      </w:r>
    </w:p>
    <w:sectPr w:rsidR="00B52A70" w:rsidRPr="00F248D5" w:rsidSect="00015228">
      <w:headerReference w:type="default" r:id="rId12"/>
      <w:headerReference w:type="firs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2A001" w14:textId="77777777" w:rsidR="00A44114" w:rsidRDefault="00A44114">
      <w:r>
        <w:separator/>
      </w:r>
    </w:p>
  </w:endnote>
  <w:endnote w:type="continuationSeparator" w:id="0">
    <w:p w14:paraId="765A4C23" w14:textId="77777777" w:rsidR="00A44114" w:rsidRDefault="00A44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301A2" w14:textId="77777777" w:rsidR="00A44114" w:rsidRDefault="00A44114">
      <w:r>
        <w:separator/>
      </w:r>
    </w:p>
  </w:footnote>
  <w:footnote w:type="continuationSeparator" w:id="0">
    <w:p w14:paraId="6C0968F9" w14:textId="77777777" w:rsidR="00A44114" w:rsidRDefault="00A44114">
      <w:r>
        <w:continuationSeparator/>
      </w:r>
    </w:p>
  </w:footnote>
  <w:footnote w:id="1">
    <w:p w14:paraId="4106960E" w14:textId="77777777" w:rsidR="001A258C" w:rsidRDefault="001A258C" w:rsidP="001A258C">
      <w:pPr>
        <w:pStyle w:val="FootnoteText"/>
        <w:rPr>
          <w:lang w:val="en-US"/>
        </w:rPr>
      </w:pPr>
      <w:r>
        <w:rPr>
          <w:rStyle w:val="FootnoteReference"/>
        </w:rPr>
        <w:footnoteRef/>
      </w:r>
      <w:r w:rsidRPr="002C16E2">
        <w:rPr>
          <w:lang w:val="en-US"/>
        </w:rPr>
        <w:t xml:space="preserve"> </w:t>
      </w:r>
      <w:r>
        <w:rPr>
          <w:lang w:val="en-US"/>
        </w:rPr>
        <w:t xml:space="preserve">Vease: </w:t>
      </w:r>
      <w:hyperlink r:id="rId1" w:anchor="topicOverview" w:history="1">
        <w:r w:rsidRPr="001F0044">
          <w:rPr>
            <w:rStyle w:val="Hyperlink"/>
            <w:lang w:val="en-US"/>
          </w:rPr>
          <w:t>https://www.statista.com/topics/2170/the-cost-of-college-in-the-united-states/#topicOverview</w:t>
        </w:r>
      </w:hyperlink>
    </w:p>
    <w:p w14:paraId="34B768AF" w14:textId="77777777" w:rsidR="001A258C" w:rsidRPr="001E1FF7" w:rsidRDefault="001A258C" w:rsidP="001A258C">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0422986"/>
      <w:docPartObj>
        <w:docPartGallery w:val="Page Numbers (Top of Page)"/>
        <w:docPartUnique/>
      </w:docPartObj>
    </w:sdtPr>
    <w:sdtEndPr>
      <w:rPr>
        <w:noProof/>
      </w:rPr>
    </w:sdtEndPr>
    <w:sdtContent>
      <w:p w14:paraId="4C94191C" w14:textId="44D81A78" w:rsidR="008D3D2B" w:rsidRDefault="008D3D2B">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7F924F" w14:textId="77777777" w:rsidR="008D3D2B" w:rsidRDefault="008D3D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CD3E" w14:textId="17441225" w:rsidR="00A42724" w:rsidRPr="00A42724" w:rsidRDefault="00A42724" w:rsidP="00A42724">
    <w:pPr>
      <w:pStyle w:val="Header"/>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4"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9"/>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2"/>
  </w:num>
  <w:num w:numId="7" w16cid:durableId="1113287001">
    <w:abstractNumId w:val="5"/>
  </w:num>
  <w:num w:numId="8" w16cid:durableId="1631401959">
    <w:abstractNumId w:val="10"/>
  </w:num>
  <w:num w:numId="9" w16cid:durableId="591201020">
    <w:abstractNumId w:val="8"/>
  </w:num>
  <w:num w:numId="10" w16cid:durableId="645204287">
    <w:abstractNumId w:val="15"/>
  </w:num>
  <w:num w:numId="11" w16cid:durableId="1508133352">
    <w:abstractNumId w:val="4"/>
  </w:num>
  <w:num w:numId="12" w16cid:durableId="1889679253">
    <w:abstractNumId w:val="11"/>
  </w:num>
  <w:num w:numId="13" w16cid:durableId="325980482">
    <w:abstractNumId w:val="6"/>
  </w:num>
  <w:num w:numId="14" w16cid:durableId="1607613887">
    <w:abstractNumId w:val="13"/>
  </w:num>
  <w:num w:numId="15" w16cid:durableId="1411585931">
    <w:abstractNumId w:val="14"/>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BA5"/>
    <w:rsid w:val="00002CC6"/>
    <w:rsid w:val="00002FE6"/>
    <w:rsid w:val="00006E9F"/>
    <w:rsid w:val="00010550"/>
    <w:rsid w:val="000130D7"/>
    <w:rsid w:val="000134D2"/>
    <w:rsid w:val="00015228"/>
    <w:rsid w:val="00015B99"/>
    <w:rsid w:val="00020664"/>
    <w:rsid w:val="000207A8"/>
    <w:rsid w:val="000307E4"/>
    <w:rsid w:val="000400C5"/>
    <w:rsid w:val="00041144"/>
    <w:rsid w:val="00042C50"/>
    <w:rsid w:val="00042E7B"/>
    <w:rsid w:val="00045612"/>
    <w:rsid w:val="00046B47"/>
    <w:rsid w:val="00046EBE"/>
    <w:rsid w:val="000473BF"/>
    <w:rsid w:val="00047E12"/>
    <w:rsid w:val="000500C4"/>
    <w:rsid w:val="00050E9A"/>
    <w:rsid w:val="00055011"/>
    <w:rsid w:val="00055FD4"/>
    <w:rsid w:val="00060836"/>
    <w:rsid w:val="00065563"/>
    <w:rsid w:val="000664E1"/>
    <w:rsid w:val="00077675"/>
    <w:rsid w:val="00085143"/>
    <w:rsid w:val="0009035A"/>
    <w:rsid w:val="000949CC"/>
    <w:rsid w:val="000968F0"/>
    <w:rsid w:val="000A0600"/>
    <w:rsid w:val="000A4C87"/>
    <w:rsid w:val="000A5A08"/>
    <w:rsid w:val="000A6224"/>
    <w:rsid w:val="000A75BD"/>
    <w:rsid w:val="000B0D43"/>
    <w:rsid w:val="000B6B0E"/>
    <w:rsid w:val="000B7FAC"/>
    <w:rsid w:val="000C66A9"/>
    <w:rsid w:val="000D2BDF"/>
    <w:rsid w:val="000D5F7E"/>
    <w:rsid w:val="000D68FC"/>
    <w:rsid w:val="000E5923"/>
    <w:rsid w:val="000E5D36"/>
    <w:rsid w:val="000E5F44"/>
    <w:rsid w:val="000F0865"/>
    <w:rsid w:val="000F334A"/>
    <w:rsid w:val="000F564E"/>
    <w:rsid w:val="000F67BD"/>
    <w:rsid w:val="000F73AA"/>
    <w:rsid w:val="00100011"/>
    <w:rsid w:val="001015D5"/>
    <w:rsid w:val="00101A40"/>
    <w:rsid w:val="00101C99"/>
    <w:rsid w:val="001049CF"/>
    <w:rsid w:val="00105ADF"/>
    <w:rsid w:val="001148F9"/>
    <w:rsid w:val="00120775"/>
    <w:rsid w:val="001209AD"/>
    <w:rsid w:val="00126659"/>
    <w:rsid w:val="001304BE"/>
    <w:rsid w:val="001311BA"/>
    <w:rsid w:val="0013140F"/>
    <w:rsid w:val="00133F5B"/>
    <w:rsid w:val="00137621"/>
    <w:rsid w:val="00140F2B"/>
    <w:rsid w:val="00141605"/>
    <w:rsid w:val="00141703"/>
    <w:rsid w:val="00141E2D"/>
    <w:rsid w:val="00142BB5"/>
    <w:rsid w:val="0014475E"/>
    <w:rsid w:val="00146CE1"/>
    <w:rsid w:val="001506A1"/>
    <w:rsid w:val="001517E9"/>
    <w:rsid w:val="00153D68"/>
    <w:rsid w:val="00156A71"/>
    <w:rsid w:val="00157711"/>
    <w:rsid w:val="00157EB7"/>
    <w:rsid w:val="001601C3"/>
    <w:rsid w:val="0016104E"/>
    <w:rsid w:val="001626AE"/>
    <w:rsid w:val="0017100B"/>
    <w:rsid w:val="00171FDF"/>
    <w:rsid w:val="00174D24"/>
    <w:rsid w:val="00182F6C"/>
    <w:rsid w:val="001953B3"/>
    <w:rsid w:val="001A258C"/>
    <w:rsid w:val="001A4245"/>
    <w:rsid w:val="001A5A3D"/>
    <w:rsid w:val="001B42DA"/>
    <w:rsid w:val="001B5992"/>
    <w:rsid w:val="001B61D6"/>
    <w:rsid w:val="001D5EE7"/>
    <w:rsid w:val="001D6791"/>
    <w:rsid w:val="001D7C9D"/>
    <w:rsid w:val="001E3EFE"/>
    <w:rsid w:val="001E4FEC"/>
    <w:rsid w:val="001E576C"/>
    <w:rsid w:val="001F0ABF"/>
    <w:rsid w:val="001F5243"/>
    <w:rsid w:val="001F7E9A"/>
    <w:rsid w:val="001F7F93"/>
    <w:rsid w:val="00203D0D"/>
    <w:rsid w:val="002125AF"/>
    <w:rsid w:val="002160FE"/>
    <w:rsid w:val="00216AC7"/>
    <w:rsid w:val="00216F39"/>
    <w:rsid w:val="00221403"/>
    <w:rsid w:val="00227846"/>
    <w:rsid w:val="0023302B"/>
    <w:rsid w:val="00235348"/>
    <w:rsid w:val="00235E5B"/>
    <w:rsid w:val="00242DE7"/>
    <w:rsid w:val="00243D5B"/>
    <w:rsid w:val="00245F8E"/>
    <w:rsid w:val="00246E4D"/>
    <w:rsid w:val="002471C1"/>
    <w:rsid w:val="00251301"/>
    <w:rsid w:val="002545CB"/>
    <w:rsid w:val="0025584B"/>
    <w:rsid w:val="00257F24"/>
    <w:rsid w:val="00262EAA"/>
    <w:rsid w:val="0026756E"/>
    <w:rsid w:val="00271280"/>
    <w:rsid w:val="00275876"/>
    <w:rsid w:val="00275BD1"/>
    <w:rsid w:val="002869B7"/>
    <w:rsid w:val="002939AA"/>
    <w:rsid w:val="00293EC1"/>
    <w:rsid w:val="0029783A"/>
    <w:rsid w:val="002A08EC"/>
    <w:rsid w:val="002A23AE"/>
    <w:rsid w:val="002A65EC"/>
    <w:rsid w:val="002A795A"/>
    <w:rsid w:val="002B0749"/>
    <w:rsid w:val="002B7C2D"/>
    <w:rsid w:val="002C0665"/>
    <w:rsid w:val="002C26E3"/>
    <w:rsid w:val="002C3797"/>
    <w:rsid w:val="002D0B9A"/>
    <w:rsid w:val="002D2AD0"/>
    <w:rsid w:val="002F16BF"/>
    <w:rsid w:val="00303439"/>
    <w:rsid w:val="00304248"/>
    <w:rsid w:val="00305ED8"/>
    <w:rsid w:val="00307DF6"/>
    <w:rsid w:val="0031466B"/>
    <w:rsid w:val="00315BCA"/>
    <w:rsid w:val="00321043"/>
    <w:rsid w:val="00321CF7"/>
    <w:rsid w:val="003231EF"/>
    <w:rsid w:val="00323C1F"/>
    <w:rsid w:val="00325777"/>
    <w:rsid w:val="00326146"/>
    <w:rsid w:val="0032671E"/>
    <w:rsid w:val="00331726"/>
    <w:rsid w:val="003344C6"/>
    <w:rsid w:val="003361A3"/>
    <w:rsid w:val="0034229A"/>
    <w:rsid w:val="00342992"/>
    <w:rsid w:val="00342ABC"/>
    <w:rsid w:val="00354EC7"/>
    <w:rsid w:val="003563B3"/>
    <w:rsid w:val="00357CED"/>
    <w:rsid w:val="003608C9"/>
    <w:rsid w:val="00363194"/>
    <w:rsid w:val="00364147"/>
    <w:rsid w:val="00367FE1"/>
    <w:rsid w:val="00371331"/>
    <w:rsid w:val="00371438"/>
    <w:rsid w:val="0038510E"/>
    <w:rsid w:val="00387BB6"/>
    <w:rsid w:val="00391662"/>
    <w:rsid w:val="00392CEF"/>
    <w:rsid w:val="003939D4"/>
    <w:rsid w:val="00393ADF"/>
    <w:rsid w:val="003A33C5"/>
    <w:rsid w:val="003B1E03"/>
    <w:rsid w:val="003B38A4"/>
    <w:rsid w:val="003B53CF"/>
    <w:rsid w:val="003B59C0"/>
    <w:rsid w:val="003C126D"/>
    <w:rsid w:val="003C397B"/>
    <w:rsid w:val="003C7E84"/>
    <w:rsid w:val="003D601E"/>
    <w:rsid w:val="003E1BF1"/>
    <w:rsid w:val="003E4335"/>
    <w:rsid w:val="003E6E10"/>
    <w:rsid w:val="003E7648"/>
    <w:rsid w:val="003F0510"/>
    <w:rsid w:val="003F10BB"/>
    <w:rsid w:val="003F2118"/>
    <w:rsid w:val="003F249F"/>
    <w:rsid w:val="003F2674"/>
    <w:rsid w:val="0040344E"/>
    <w:rsid w:val="00405E6A"/>
    <w:rsid w:val="00407674"/>
    <w:rsid w:val="00420A8B"/>
    <w:rsid w:val="00423511"/>
    <w:rsid w:val="0042655F"/>
    <w:rsid w:val="00430ED8"/>
    <w:rsid w:val="00431F68"/>
    <w:rsid w:val="004331D7"/>
    <w:rsid w:val="00436350"/>
    <w:rsid w:val="004402BB"/>
    <w:rsid w:val="00440BA3"/>
    <w:rsid w:val="00440C08"/>
    <w:rsid w:val="004422D9"/>
    <w:rsid w:val="0044383A"/>
    <w:rsid w:val="0044596F"/>
    <w:rsid w:val="00447224"/>
    <w:rsid w:val="004512E8"/>
    <w:rsid w:val="00451F27"/>
    <w:rsid w:val="004523CD"/>
    <w:rsid w:val="00452D84"/>
    <w:rsid w:val="00457728"/>
    <w:rsid w:val="00464EA7"/>
    <w:rsid w:val="004652E5"/>
    <w:rsid w:val="00467CB0"/>
    <w:rsid w:val="00471D11"/>
    <w:rsid w:val="00472202"/>
    <w:rsid w:val="004750FA"/>
    <w:rsid w:val="00477032"/>
    <w:rsid w:val="00480BA7"/>
    <w:rsid w:val="004845DB"/>
    <w:rsid w:val="004904FD"/>
    <w:rsid w:val="00493443"/>
    <w:rsid w:val="00495AF1"/>
    <w:rsid w:val="0049773F"/>
    <w:rsid w:val="004A38BE"/>
    <w:rsid w:val="004A5A18"/>
    <w:rsid w:val="004B09E7"/>
    <w:rsid w:val="004B0C4E"/>
    <w:rsid w:val="004B4977"/>
    <w:rsid w:val="004C1A6A"/>
    <w:rsid w:val="004C1AF5"/>
    <w:rsid w:val="004D0441"/>
    <w:rsid w:val="004D148A"/>
    <w:rsid w:val="004D28B0"/>
    <w:rsid w:val="004D2964"/>
    <w:rsid w:val="004D70C3"/>
    <w:rsid w:val="004E356B"/>
    <w:rsid w:val="004E4CA9"/>
    <w:rsid w:val="004E7F19"/>
    <w:rsid w:val="004F29A6"/>
    <w:rsid w:val="004F4533"/>
    <w:rsid w:val="004F4A0B"/>
    <w:rsid w:val="004F5589"/>
    <w:rsid w:val="004F56FB"/>
    <w:rsid w:val="00501B8C"/>
    <w:rsid w:val="00503C1F"/>
    <w:rsid w:val="00511059"/>
    <w:rsid w:val="00512033"/>
    <w:rsid w:val="005139E0"/>
    <w:rsid w:val="00513E14"/>
    <w:rsid w:val="00516AB2"/>
    <w:rsid w:val="00520234"/>
    <w:rsid w:val="00521757"/>
    <w:rsid w:val="00523417"/>
    <w:rsid w:val="005259C3"/>
    <w:rsid w:val="0052624F"/>
    <w:rsid w:val="00527C61"/>
    <w:rsid w:val="005327A5"/>
    <w:rsid w:val="00532F3A"/>
    <w:rsid w:val="00534F30"/>
    <w:rsid w:val="00535156"/>
    <w:rsid w:val="00541E27"/>
    <w:rsid w:val="00541F92"/>
    <w:rsid w:val="005432C2"/>
    <w:rsid w:val="0054506F"/>
    <w:rsid w:val="00547F34"/>
    <w:rsid w:val="00550179"/>
    <w:rsid w:val="00557D10"/>
    <w:rsid w:val="00566BF6"/>
    <w:rsid w:val="00570E38"/>
    <w:rsid w:val="005771C3"/>
    <w:rsid w:val="005805B3"/>
    <w:rsid w:val="005815C8"/>
    <w:rsid w:val="00582CE9"/>
    <w:rsid w:val="005842C1"/>
    <w:rsid w:val="00584525"/>
    <w:rsid w:val="00584753"/>
    <w:rsid w:val="00592D59"/>
    <w:rsid w:val="005A1F13"/>
    <w:rsid w:val="005B2E28"/>
    <w:rsid w:val="005B69A9"/>
    <w:rsid w:val="005B721F"/>
    <w:rsid w:val="005B750B"/>
    <w:rsid w:val="005C0F96"/>
    <w:rsid w:val="005D78C5"/>
    <w:rsid w:val="005E294E"/>
    <w:rsid w:val="005E43E6"/>
    <w:rsid w:val="005E726A"/>
    <w:rsid w:val="005F18D1"/>
    <w:rsid w:val="0060037B"/>
    <w:rsid w:val="00602E29"/>
    <w:rsid w:val="00603613"/>
    <w:rsid w:val="00603FE4"/>
    <w:rsid w:val="0060528C"/>
    <w:rsid w:val="00606167"/>
    <w:rsid w:val="0061103A"/>
    <w:rsid w:val="00611979"/>
    <w:rsid w:val="0061481C"/>
    <w:rsid w:val="00614941"/>
    <w:rsid w:val="006176C4"/>
    <w:rsid w:val="0062032A"/>
    <w:rsid w:val="0062162C"/>
    <w:rsid w:val="00624255"/>
    <w:rsid w:val="00625ABA"/>
    <w:rsid w:val="0062626D"/>
    <w:rsid w:val="0062631E"/>
    <w:rsid w:val="00630F7C"/>
    <w:rsid w:val="00631588"/>
    <w:rsid w:val="0063237A"/>
    <w:rsid w:val="006430D4"/>
    <w:rsid w:val="006472D9"/>
    <w:rsid w:val="006620D1"/>
    <w:rsid w:val="0066649B"/>
    <w:rsid w:val="006676B5"/>
    <w:rsid w:val="00674C03"/>
    <w:rsid w:val="00683217"/>
    <w:rsid w:val="00683239"/>
    <w:rsid w:val="006837A9"/>
    <w:rsid w:val="006843E9"/>
    <w:rsid w:val="00691207"/>
    <w:rsid w:val="0069342C"/>
    <w:rsid w:val="00693505"/>
    <w:rsid w:val="006944B5"/>
    <w:rsid w:val="00694718"/>
    <w:rsid w:val="006970AB"/>
    <w:rsid w:val="006A599D"/>
    <w:rsid w:val="006A786D"/>
    <w:rsid w:val="006A7BC0"/>
    <w:rsid w:val="006B2B50"/>
    <w:rsid w:val="006B2F9D"/>
    <w:rsid w:val="006B4F55"/>
    <w:rsid w:val="006B4F68"/>
    <w:rsid w:val="006D19F9"/>
    <w:rsid w:val="006D2974"/>
    <w:rsid w:val="006D3350"/>
    <w:rsid w:val="006E1B68"/>
    <w:rsid w:val="006E5D4E"/>
    <w:rsid w:val="006E649B"/>
    <w:rsid w:val="006F1169"/>
    <w:rsid w:val="006F6951"/>
    <w:rsid w:val="006F74B9"/>
    <w:rsid w:val="0070305E"/>
    <w:rsid w:val="00703675"/>
    <w:rsid w:val="00714039"/>
    <w:rsid w:val="0071457D"/>
    <w:rsid w:val="00716466"/>
    <w:rsid w:val="007172B9"/>
    <w:rsid w:val="007250C9"/>
    <w:rsid w:val="00727819"/>
    <w:rsid w:val="007310DE"/>
    <w:rsid w:val="00731FDF"/>
    <w:rsid w:val="00733E40"/>
    <w:rsid w:val="00742269"/>
    <w:rsid w:val="00742EAA"/>
    <w:rsid w:val="00744264"/>
    <w:rsid w:val="00747BBE"/>
    <w:rsid w:val="00754906"/>
    <w:rsid w:val="007576D7"/>
    <w:rsid w:val="0076029D"/>
    <w:rsid w:val="00760D00"/>
    <w:rsid w:val="00764937"/>
    <w:rsid w:val="0077131A"/>
    <w:rsid w:val="00773FDD"/>
    <w:rsid w:val="0077444F"/>
    <w:rsid w:val="007756C0"/>
    <w:rsid w:val="007761C9"/>
    <w:rsid w:val="00782A64"/>
    <w:rsid w:val="007842E6"/>
    <w:rsid w:val="0078548C"/>
    <w:rsid w:val="00786E78"/>
    <w:rsid w:val="00787733"/>
    <w:rsid w:val="0079427F"/>
    <w:rsid w:val="007A0DD4"/>
    <w:rsid w:val="007A1560"/>
    <w:rsid w:val="007A63E2"/>
    <w:rsid w:val="007A6B76"/>
    <w:rsid w:val="007A72B4"/>
    <w:rsid w:val="007A7841"/>
    <w:rsid w:val="007B136F"/>
    <w:rsid w:val="007B257D"/>
    <w:rsid w:val="007B2E2B"/>
    <w:rsid w:val="007B2F4F"/>
    <w:rsid w:val="007C5122"/>
    <w:rsid w:val="007C5ECB"/>
    <w:rsid w:val="007D22F5"/>
    <w:rsid w:val="007D3F5B"/>
    <w:rsid w:val="007D5CD5"/>
    <w:rsid w:val="007D79C4"/>
    <w:rsid w:val="007D7B89"/>
    <w:rsid w:val="007E1CB6"/>
    <w:rsid w:val="007E2AC1"/>
    <w:rsid w:val="007E47DA"/>
    <w:rsid w:val="007E6834"/>
    <w:rsid w:val="007F07B6"/>
    <w:rsid w:val="007F19E4"/>
    <w:rsid w:val="007F4578"/>
    <w:rsid w:val="007F7182"/>
    <w:rsid w:val="00801B1B"/>
    <w:rsid w:val="00802900"/>
    <w:rsid w:val="00804C96"/>
    <w:rsid w:val="008060E4"/>
    <w:rsid w:val="00810987"/>
    <w:rsid w:val="00812632"/>
    <w:rsid w:val="00814875"/>
    <w:rsid w:val="008162A8"/>
    <w:rsid w:val="008164BD"/>
    <w:rsid w:val="008168D7"/>
    <w:rsid w:val="00821551"/>
    <w:rsid w:val="00822FEF"/>
    <w:rsid w:val="00824E1A"/>
    <w:rsid w:val="00825403"/>
    <w:rsid w:val="00826687"/>
    <w:rsid w:val="00826766"/>
    <w:rsid w:val="008270AA"/>
    <w:rsid w:val="00831A77"/>
    <w:rsid w:val="00832689"/>
    <w:rsid w:val="008326DB"/>
    <w:rsid w:val="00833521"/>
    <w:rsid w:val="00834286"/>
    <w:rsid w:val="008346FA"/>
    <w:rsid w:val="0083492B"/>
    <w:rsid w:val="0084187D"/>
    <w:rsid w:val="00843FB8"/>
    <w:rsid w:val="00844E45"/>
    <w:rsid w:val="00845FE4"/>
    <w:rsid w:val="00851E49"/>
    <w:rsid w:val="00856C56"/>
    <w:rsid w:val="00860343"/>
    <w:rsid w:val="00860A2E"/>
    <w:rsid w:val="00861E9B"/>
    <w:rsid w:val="00862B38"/>
    <w:rsid w:val="00865A29"/>
    <w:rsid w:val="00866DD0"/>
    <w:rsid w:val="0086735E"/>
    <w:rsid w:val="008714C1"/>
    <w:rsid w:val="00887F45"/>
    <w:rsid w:val="00891725"/>
    <w:rsid w:val="008A268E"/>
    <w:rsid w:val="008A3CD1"/>
    <w:rsid w:val="008B0967"/>
    <w:rsid w:val="008B25F8"/>
    <w:rsid w:val="008B6397"/>
    <w:rsid w:val="008B6675"/>
    <w:rsid w:val="008B7CF7"/>
    <w:rsid w:val="008C1517"/>
    <w:rsid w:val="008C1D0C"/>
    <w:rsid w:val="008C5B5E"/>
    <w:rsid w:val="008D387F"/>
    <w:rsid w:val="008D3D2B"/>
    <w:rsid w:val="008D7703"/>
    <w:rsid w:val="008E2673"/>
    <w:rsid w:val="008E2FED"/>
    <w:rsid w:val="008E68FC"/>
    <w:rsid w:val="008F1AA4"/>
    <w:rsid w:val="008F62A0"/>
    <w:rsid w:val="0090114E"/>
    <w:rsid w:val="00904402"/>
    <w:rsid w:val="00906100"/>
    <w:rsid w:val="00910DF8"/>
    <w:rsid w:val="00915092"/>
    <w:rsid w:val="009155DB"/>
    <w:rsid w:val="00921BF2"/>
    <w:rsid w:val="009225B4"/>
    <w:rsid w:val="00926C28"/>
    <w:rsid w:val="00927D6D"/>
    <w:rsid w:val="009347CF"/>
    <w:rsid w:val="00936455"/>
    <w:rsid w:val="009412C4"/>
    <w:rsid w:val="00941C93"/>
    <w:rsid w:val="00944640"/>
    <w:rsid w:val="00944C26"/>
    <w:rsid w:val="00950E91"/>
    <w:rsid w:val="009535BB"/>
    <w:rsid w:val="009535ED"/>
    <w:rsid w:val="00954DF4"/>
    <w:rsid w:val="00954F4B"/>
    <w:rsid w:val="00955808"/>
    <w:rsid w:val="009624F5"/>
    <w:rsid w:val="0097085B"/>
    <w:rsid w:val="009736A8"/>
    <w:rsid w:val="00973E3E"/>
    <w:rsid w:val="0097582E"/>
    <w:rsid w:val="0097584B"/>
    <w:rsid w:val="00975E41"/>
    <w:rsid w:val="00977DC2"/>
    <w:rsid w:val="00980F11"/>
    <w:rsid w:val="00983D0C"/>
    <w:rsid w:val="009862C4"/>
    <w:rsid w:val="0099233C"/>
    <w:rsid w:val="009923BE"/>
    <w:rsid w:val="00996A10"/>
    <w:rsid w:val="009970E2"/>
    <w:rsid w:val="009971DC"/>
    <w:rsid w:val="009A6C55"/>
    <w:rsid w:val="009A7ED5"/>
    <w:rsid w:val="009B15E3"/>
    <w:rsid w:val="009B2A95"/>
    <w:rsid w:val="009B56D7"/>
    <w:rsid w:val="009C03A9"/>
    <w:rsid w:val="009C4653"/>
    <w:rsid w:val="009C6283"/>
    <w:rsid w:val="009C62AB"/>
    <w:rsid w:val="009D17BF"/>
    <w:rsid w:val="009D32CD"/>
    <w:rsid w:val="009D3D25"/>
    <w:rsid w:val="009D648F"/>
    <w:rsid w:val="009D6D72"/>
    <w:rsid w:val="009E01C2"/>
    <w:rsid w:val="009E55BD"/>
    <w:rsid w:val="009E66CF"/>
    <w:rsid w:val="009F4764"/>
    <w:rsid w:val="00A06250"/>
    <w:rsid w:val="00A1018A"/>
    <w:rsid w:val="00A11658"/>
    <w:rsid w:val="00A1240D"/>
    <w:rsid w:val="00A177B3"/>
    <w:rsid w:val="00A2021E"/>
    <w:rsid w:val="00A26824"/>
    <w:rsid w:val="00A2793D"/>
    <w:rsid w:val="00A35274"/>
    <w:rsid w:val="00A36499"/>
    <w:rsid w:val="00A4170F"/>
    <w:rsid w:val="00A42724"/>
    <w:rsid w:val="00A44114"/>
    <w:rsid w:val="00A452E1"/>
    <w:rsid w:val="00A45537"/>
    <w:rsid w:val="00A45D62"/>
    <w:rsid w:val="00A51F99"/>
    <w:rsid w:val="00A53417"/>
    <w:rsid w:val="00A63245"/>
    <w:rsid w:val="00A643F8"/>
    <w:rsid w:val="00A771D4"/>
    <w:rsid w:val="00A77BD5"/>
    <w:rsid w:val="00A8313E"/>
    <w:rsid w:val="00A84B24"/>
    <w:rsid w:val="00A85152"/>
    <w:rsid w:val="00A876B1"/>
    <w:rsid w:val="00A87C62"/>
    <w:rsid w:val="00A91382"/>
    <w:rsid w:val="00A946E2"/>
    <w:rsid w:val="00A95A97"/>
    <w:rsid w:val="00AA2B9E"/>
    <w:rsid w:val="00AA4412"/>
    <w:rsid w:val="00AA7955"/>
    <w:rsid w:val="00AC10C3"/>
    <w:rsid w:val="00AC12AD"/>
    <w:rsid w:val="00AC1962"/>
    <w:rsid w:val="00AC3E49"/>
    <w:rsid w:val="00AD1F6D"/>
    <w:rsid w:val="00AD3234"/>
    <w:rsid w:val="00AD58B2"/>
    <w:rsid w:val="00AD59F2"/>
    <w:rsid w:val="00AD5B59"/>
    <w:rsid w:val="00AE48D0"/>
    <w:rsid w:val="00AE5181"/>
    <w:rsid w:val="00AF17B1"/>
    <w:rsid w:val="00AF4EC8"/>
    <w:rsid w:val="00AF5D43"/>
    <w:rsid w:val="00AF6591"/>
    <w:rsid w:val="00B055EE"/>
    <w:rsid w:val="00B116E7"/>
    <w:rsid w:val="00B128DD"/>
    <w:rsid w:val="00B13CA1"/>
    <w:rsid w:val="00B14F5E"/>
    <w:rsid w:val="00B16378"/>
    <w:rsid w:val="00B16643"/>
    <w:rsid w:val="00B241A8"/>
    <w:rsid w:val="00B241C5"/>
    <w:rsid w:val="00B24332"/>
    <w:rsid w:val="00B250C9"/>
    <w:rsid w:val="00B3089A"/>
    <w:rsid w:val="00B30E26"/>
    <w:rsid w:val="00B34B31"/>
    <w:rsid w:val="00B34F68"/>
    <w:rsid w:val="00B376E4"/>
    <w:rsid w:val="00B379CF"/>
    <w:rsid w:val="00B37C1A"/>
    <w:rsid w:val="00B37DE2"/>
    <w:rsid w:val="00B4012C"/>
    <w:rsid w:val="00B4018B"/>
    <w:rsid w:val="00B45797"/>
    <w:rsid w:val="00B45E0B"/>
    <w:rsid w:val="00B46EA4"/>
    <w:rsid w:val="00B50253"/>
    <w:rsid w:val="00B52A70"/>
    <w:rsid w:val="00B558D5"/>
    <w:rsid w:val="00B56268"/>
    <w:rsid w:val="00B62EFA"/>
    <w:rsid w:val="00B63464"/>
    <w:rsid w:val="00B65C1D"/>
    <w:rsid w:val="00B67472"/>
    <w:rsid w:val="00B6758C"/>
    <w:rsid w:val="00B70806"/>
    <w:rsid w:val="00B7489F"/>
    <w:rsid w:val="00B7707A"/>
    <w:rsid w:val="00B85B25"/>
    <w:rsid w:val="00B9154E"/>
    <w:rsid w:val="00B929CE"/>
    <w:rsid w:val="00B94501"/>
    <w:rsid w:val="00B94BA7"/>
    <w:rsid w:val="00BA09AF"/>
    <w:rsid w:val="00BA0B5D"/>
    <w:rsid w:val="00BA0C89"/>
    <w:rsid w:val="00BA0D6A"/>
    <w:rsid w:val="00BA48A5"/>
    <w:rsid w:val="00BB168B"/>
    <w:rsid w:val="00BB272A"/>
    <w:rsid w:val="00BB377A"/>
    <w:rsid w:val="00BB5E74"/>
    <w:rsid w:val="00BC0A94"/>
    <w:rsid w:val="00BC0B39"/>
    <w:rsid w:val="00BC108E"/>
    <w:rsid w:val="00BC2179"/>
    <w:rsid w:val="00BC4C24"/>
    <w:rsid w:val="00BD28BD"/>
    <w:rsid w:val="00BF14B5"/>
    <w:rsid w:val="00BF1AC0"/>
    <w:rsid w:val="00BF5BE0"/>
    <w:rsid w:val="00C00CF9"/>
    <w:rsid w:val="00C06720"/>
    <w:rsid w:val="00C101DE"/>
    <w:rsid w:val="00C128A7"/>
    <w:rsid w:val="00C13E73"/>
    <w:rsid w:val="00C154D8"/>
    <w:rsid w:val="00C321AC"/>
    <w:rsid w:val="00C3391F"/>
    <w:rsid w:val="00C43B10"/>
    <w:rsid w:val="00C43FB3"/>
    <w:rsid w:val="00C45F4B"/>
    <w:rsid w:val="00C54AD6"/>
    <w:rsid w:val="00C6639D"/>
    <w:rsid w:val="00C8364F"/>
    <w:rsid w:val="00C83B66"/>
    <w:rsid w:val="00C86D83"/>
    <w:rsid w:val="00C87256"/>
    <w:rsid w:val="00C8750D"/>
    <w:rsid w:val="00C876E5"/>
    <w:rsid w:val="00C87850"/>
    <w:rsid w:val="00C9100A"/>
    <w:rsid w:val="00C947F5"/>
    <w:rsid w:val="00C96EF8"/>
    <w:rsid w:val="00CA4A00"/>
    <w:rsid w:val="00CA7BA7"/>
    <w:rsid w:val="00CB2273"/>
    <w:rsid w:val="00CB3AF2"/>
    <w:rsid w:val="00CB5842"/>
    <w:rsid w:val="00CC1676"/>
    <w:rsid w:val="00CC1984"/>
    <w:rsid w:val="00CC5B17"/>
    <w:rsid w:val="00CC6626"/>
    <w:rsid w:val="00CD0D74"/>
    <w:rsid w:val="00CE1153"/>
    <w:rsid w:val="00CE16EE"/>
    <w:rsid w:val="00CE4640"/>
    <w:rsid w:val="00CE54D8"/>
    <w:rsid w:val="00CE7486"/>
    <w:rsid w:val="00CF02BA"/>
    <w:rsid w:val="00CF08C7"/>
    <w:rsid w:val="00CF1C5D"/>
    <w:rsid w:val="00CF24C8"/>
    <w:rsid w:val="00CF2FE6"/>
    <w:rsid w:val="00CF383F"/>
    <w:rsid w:val="00CF3DF5"/>
    <w:rsid w:val="00CF6A72"/>
    <w:rsid w:val="00D00F5B"/>
    <w:rsid w:val="00D05FE7"/>
    <w:rsid w:val="00D07644"/>
    <w:rsid w:val="00D13954"/>
    <w:rsid w:val="00D2203C"/>
    <w:rsid w:val="00D22AA6"/>
    <w:rsid w:val="00D23E30"/>
    <w:rsid w:val="00D30FB5"/>
    <w:rsid w:val="00D32461"/>
    <w:rsid w:val="00D34B10"/>
    <w:rsid w:val="00D35C1A"/>
    <w:rsid w:val="00D37CC2"/>
    <w:rsid w:val="00D50870"/>
    <w:rsid w:val="00D5157A"/>
    <w:rsid w:val="00D52688"/>
    <w:rsid w:val="00D54BF3"/>
    <w:rsid w:val="00D60D6E"/>
    <w:rsid w:val="00D60DA4"/>
    <w:rsid w:val="00D7288F"/>
    <w:rsid w:val="00D80A5C"/>
    <w:rsid w:val="00D83901"/>
    <w:rsid w:val="00D84FD0"/>
    <w:rsid w:val="00D86F2E"/>
    <w:rsid w:val="00D93990"/>
    <w:rsid w:val="00D95C66"/>
    <w:rsid w:val="00D97A62"/>
    <w:rsid w:val="00DA101A"/>
    <w:rsid w:val="00DA3291"/>
    <w:rsid w:val="00DA6F87"/>
    <w:rsid w:val="00DB04C4"/>
    <w:rsid w:val="00DB076E"/>
    <w:rsid w:val="00DB438A"/>
    <w:rsid w:val="00DB4DE0"/>
    <w:rsid w:val="00DB6E9A"/>
    <w:rsid w:val="00DC2214"/>
    <w:rsid w:val="00DC2703"/>
    <w:rsid w:val="00DC32F0"/>
    <w:rsid w:val="00DC4EFE"/>
    <w:rsid w:val="00DC738B"/>
    <w:rsid w:val="00DD4AB8"/>
    <w:rsid w:val="00DD737E"/>
    <w:rsid w:val="00DE698A"/>
    <w:rsid w:val="00DE6CD9"/>
    <w:rsid w:val="00DF04D5"/>
    <w:rsid w:val="00DF7D86"/>
    <w:rsid w:val="00E022CA"/>
    <w:rsid w:val="00E034E0"/>
    <w:rsid w:val="00E03546"/>
    <w:rsid w:val="00E04565"/>
    <w:rsid w:val="00E05E49"/>
    <w:rsid w:val="00E10577"/>
    <w:rsid w:val="00E252B4"/>
    <w:rsid w:val="00E271CF"/>
    <w:rsid w:val="00E32085"/>
    <w:rsid w:val="00E426DC"/>
    <w:rsid w:val="00E434BC"/>
    <w:rsid w:val="00E44AB0"/>
    <w:rsid w:val="00E45863"/>
    <w:rsid w:val="00E45C92"/>
    <w:rsid w:val="00E46259"/>
    <w:rsid w:val="00E46F4D"/>
    <w:rsid w:val="00E50D55"/>
    <w:rsid w:val="00E51EFE"/>
    <w:rsid w:val="00E549EA"/>
    <w:rsid w:val="00E5593E"/>
    <w:rsid w:val="00E638A7"/>
    <w:rsid w:val="00E659AC"/>
    <w:rsid w:val="00E6635A"/>
    <w:rsid w:val="00E718CF"/>
    <w:rsid w:val="00E76267"/>
    <w:rsid w:val="00E7634A"/>
    <w:rsid w:val="00E8183D"/>
    <w:rsid w:val="00E84C3D"/>
    <w:rsid w:val="00E94262"/>
    <w:rsid w:val="00E94586"/>
    <w:rsid w:val="00E94D99"/>
    <w:rsid w:val="00E9522A"/>
    <w:rsid w:val="00EA22EF"/>
    <w:rsid w:val="00EA271D"/>
    <w:rsid w:val="00EA5F0E"/>
    <w:rsid w:val="00EA7B10"/>
    <w:rsid w:val="00EB1D28"/>
    <w:rsid w:val="00EB312E"/>
    <w:rsid w:val="00EB31AE"/>
    <w:rsid w:val="00EB6041"/>
    <w:rsid w:val="00EC0B86"/>
    <w:rsid w:val="00EC5244"/>
    <w:rsid w:val="00EC5A42"/>
    <w:rsid w:val="00EE7753"/>
    <w:rsid w:val="00EF10EE"/>
    <w:rsid w:val="00EF28B4"/>
    <w:rsid w:val="00EF5914"/>
    <w:rsid w:val="00F13D97"/>
    <w:rsid w:val="00F16FC4"/>
    <w:rsid w:val="00F17F1C"/>
    <w:rsid w:val="00F248D5"/>
    <w:rsid w:val="00F25FE5"/>
    <w:rsid w:val="00F362A8"/>
    <w:rsid w:val="00F37EFC"/>
    <w:rsid w:val="00F41AC8"/>
    <w:rsid w:val="00F41D2D"/>
    <w:rsid w:val="00F52F26"/>
    <w:rsid w:val="00F53669"/>
    <w:rsid w:val="00F57697"/>
    <w:rsid w:val="00F617AC"/>
    <w:rsid w:val="00F62C9D"/>
    <w:rsid w:val="00F62E42"/>
    <w:rsid w:val="00F66656"/>
    <w:rsid w:val="00F668AD"/>
    <w:rsid w:val="00F825DE"/>
    <w:rsid w:val="00F82809"/>
    <w:rsid w:val="00F82D10"/>
    <w:rsid w:val="00F83AA4"/>
    <w:rsid w:val="00F83B24"/>
    <w:rsid w:val="00F91378"/>
    <w:rsid w:val="00F91B1D"/>
    <w:rsid w:val="00F9267E"/>
    <w:rsid w:val="00F9426B"/>
    <w:rsid w:val="00F9450C"/>
    <w:rsid w:val="00F95242"/>
    <w:rsid w:val="00F978C1"/>
    <w:rsid w:val="00FA4B0D"/>
    <w:rsid w:val="00FA4F0C"/>
    <w:rsid w:val="00FA6027"/>
    <w:rsid w:val="00FA79E7"/>
    <w:rsid w:val="00FB1915"/>
    <w:rsid w:val="00FC27B2"/>
    <w:rsid w:val="00FC5A6C"/>
    <w:rsid w:val="00FC5BC8"/>
    <w:rsid w:val="00FC6BC7"/>
    <w:rsid w:val="00FC78ED"/>
    <w:rsid w:val="00FD3042"/>
    <w:rsid w:val="00FD6179"/>
    <w:rsid w:val="00FE1B6F"/>
    <w:rsid w:val="00FE7780"/>
    <w:rsid w:val="00FF430C"/>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262EAA"/>
    <w:rPr>
      <w:rFonts w:ascii="Consolas" w:hAnsi="Consolas"/>
      <w:sz w:val="20"/>
    </w:rPr>
  </w:style>
  <w:style w:type="character" w:customStyle="1" w:styleId="HTMLPreformattedChar">
    <w:name w:val="HTML Preformatted Char"/>
    <w:basedOn w:val="DefaultParagraphFont"/>
    <w:link w:val="HTMLPreformatted"/>
    <w:uiPriority w:val="99"/>
    <w:semiHidden/>
    <w:rsid w:val="00262EA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7668">
      <w:bodyDiv w:val="1"/>
      <w:marLeft w:val="0"/>
      <w:marRight w:val="0"/>
      <w:marTop w:val="0"/>
      <w:marBottom w:val="0"/>
      <w:divBdr>
        <w:top w:val="none" w:sz="0" w:space="0" w:color="auto"/>
        <w:left w:val="none" w:sz="0" w:space="0" w:color="auto"/>
        <w:bottom w:val="none" w:sz="0" w:space="0" w:color="auto"/>
        <w:right w:val="none" w:sz="0" w:space="0" w:color="auto"/>
      </w:divBdr>
    </w:div>
    <w:div w:id="28084629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333413502">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596329346">
      <w:bodyDiv w:val="1"/>
      <w:marLeft w:val="0"/>
      <w:marRight w:val="0"/>
      <w:marTop w:val="0"/>
      <w:marBottom w:val="0"/>
      <w:divBdr>
        <w:top w:val="none" w:sz="0" w:space="0" w:color="auto"/>
        <w:left w:val="none" w:sz="0" w:space="0" w:color="auto"/>
        <w:bottom w:val="none" w:sz="0" w:space="0" w:color="auto"/>
        <w:right w:val="none" w:sz="0" w:space="0" w:color="auto"/>
      </w:divBdr>
    </w:div>
    <w:div w:id="934485008">
      <w:bodyDiv w:val="1"/>
      <w:marLeft w:val="0"/>
      <w:marRight w:val="0"/>
      <w:marTop w:val="0"/>
      <w:marBottom w:val="0"/>
      <w:divBdr>
        <w:top w:val="none" w:sz="0" w:space="0" w:color="auto"/>
        <w:left w:val="none" w:sz="0" w:space="0" w:color="auto"/>
        <w:bottom w:val="none" w:sz="0" w:space="0" w:color="auto"/>
        <w:right w:val="none" w:sz="0" w:space="0" w:color="auto"/>
      </w:divBdr>
    </w:div>
    <w:div w:id="1028916363">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28109335">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424240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95556575">
      <w:bodyDiv w:val="1"/>
      <w:marLeft w:val="0"/>
      <w:marRight w:val="0"/>
      <w:marTop w:val="0"/>
      <w:marBottom w:val="0"/>
      <w:divBdr>
        <w:top w:val="none" w:sz="0" w:space="0" w:color="auto"/>
        <w:left w:val="none" w:sz="0" w:space="0" w:color="auto"/>
        <w:bottom w:val="none" w:sz="0" w:space="0" w:color="auto"/>
        <w:right w:val="none" w:sz="0" w:space="0" w:color="auto"/>
      </w:divBdr>
      <w:divsChild>
        <w:div w:id="879586056">
          <w:marLeft w:val="0"/>
          <w:marRight w:val="0"/>
          <w:marTop w:val="0"/>
          <w:marBottom w:val="0"/>
          <w:divBdr>
            <w:top w:val="none" w:sz="0" w:space="0" w:color="auto"/>
            <w:left w:val="none" w:sz="0" w:space="0" w:color="auto"/>
            <w:bottom w:val="none" w:sz="0" w:space="0" w:color="auto"/>
            <w:right w:val="none" w:sz="0" w:space="0" w:color="auto"/>
          </w:divBdr>
          <w:divsChild>
            <w:div w:id="468941954">
              <w:marLeft w:val="0"/>
              <w:marRight w:val="0"/>
              <w:marTop w:val="0"/>
              <w:marBottom w:val="0"/>
              <w:divBdr>
                <w:top w:val="none" w:sz="0" w:space="0" w:color="auto"/>
                <w:left w:val="none" w:sz="0" w:space="0" w:color="auto"/>
                <w:bottom w:val="none" w:sz="0" w:space="0" w:color="auto"/>
                <w:right w:val="none" w:sz="0" w:space="0" w:color="auto"/>
              </w:divBdr>
              <w:divsChild>
                <w:div w:id="1678846599">
                  <w:marLeft w:val="0"/>
                  <w:marRight w:val="0"/>
                  <w:marTop w:val="0"/>
                  <w:marBottom w:val="0"/>
                  <w:divBdr>
                    <w:top w:val="none" w:sz="0" w:space="0" w:color="auto"/>
                    <w:left w:val="none" w:sz="0" w:space="0" w:color="auto"/>
                    <w:bottom w:val="none" w:sz="0" w:space="0" w:color="auto"/>
                    <w:right w:val="none" w:sz="0" w:space="0" w:color="auto"/>
                  </w:divBdr>
                  <w:divsChild>
                    <w:div w:id="1976645468">
                      <w:marLeft w:val="0"/>
                      <w:marRight w:val="0"/>
                      <w:marTop w:val="0"/>
                      <w:marBottom w:val="0"/>
                      <w:divBdr>
                        <w:top w:val="none" w:sz="0" w:space="0" w:color="auto"/>
                        <w:left w:val="none" w:sz="0" w:space="0" w:color="auto"/>
                        <w:bottom w:val="none" w:sz="0" w:space="0" w:color="auto"/>
                        <w:right w:val="none" w:sz="0" w:space="0" w:color="auto"/>
                      </w:divBdr>
                      <w:divsChild>
                        <w:div w:id="1105610640">
                          <w:marLeft w:val="0"/>
                          <w:marRight w:val="0"/>
                          <w:marTop w:val="0"/>
                          <w:marBottom w:val="0"/>
                          <w:divBdr>
                            <w:top w:val="none" w:sz="0" w:space="0" w:color="auto"/>
                            <w:left w:val="none" w:sz="0" w:space="0" w:color="auto"/>
                            <w:bottom w:val="none" w:sz="0" w:space="0" w:color="auto"/>
                            <w:right w:val="none" w:sz="0" w:space="0" w:color="auto"/>
                          </w:divBdr>
                          <w:divsChild>
                            <w:div w:id="726295007">
                              <w:marLeft w:val="0"/>
                              <w:marRight w:val="0"/>
                              <w:marTop w:val="0"/>
                              <w:marBottom w:val="0"/>
                              <w:divBdr>
                                <w:top w:val="none" w:sz="0" w:space="0" w:color="auto"/>
                                <w:left w:val="none" w:sz="0" w:space="0" w:color="auto"/>
                                <w:bottom w:val="none" w:sz="0" w:space="0" w:color="auto"/>
                                <w:right w:val="none" w:sz="0" w:space="0" w:color="auto"/>
                              </w:divBdr>
                              <w:divsChild>
                                <w:div w:id="93326888">
                                  <w:marLeft w:val="0"/>
                                  <w:marRight w:val="0"/>
                                  <w:marTop w:val="0"/>
                                  <w:marBottom w:val="0"/>
                                  <w:divBdr>
                                    <w:top w:val="none" w:sz="0" w:space="0" w:color="auto"/>
                                    <w:left w:val="none" w:sz="0" w:space="0" w:color="auto"/>
                                    <w:bottom w:val="none" w:sz="0" w:space="0" w:color="auto"/>
                                    <w:right w:val="none" w:sz="0" w:space="0" w:color="auto"/>
                                  </w:divBdr>
                                  <w:divsChild>
                                    <w:div w:id="1095709779">
                                      <w:marLeft w:val="0"/>
                                      <w:marRight w:val="0"/>
                                      <w:marTop w:val="0"/>
                                      <w:marBottom w:val="0"/>
                                      <w:divBdr>
                                        <w:top w:val="none" w:sz="0" w:space="0" w:color="auto"/>
                                        <w:left w:val="none" w:sz="0" w:space="0" w:color="auto"/>
                                        <w:bottom w:val="none" w:sz="0" w:space="0" w:color="auto"/>
                                        <w:right w:val="none" w:sz="0" w:space="0" w:color="auto"/>
                                      </w:divBdr>
                                      <w:divsChild>
                                        <w:div w:id="1941647028">
                                          <w:marLeft w:val="0"/>
                                          <w:marRight w:val="0"/>
                                          <w:marTop w:val="0"/>
                                          <w:marBottom w:val="0"/>
                                          <w:divBdr>
                                            <w:top w:val="none" w:sz="0" w:space="0" w:color="auto"/>
                                            <w:left w:val="none" w:sz="0" w:space="0" w:color="auto"/>
                                            <w:bottom w:val="none" w:sz="0" w:space="0" w:color="auto"/>
                                            <w:right w:val="none" w:sz="0" w:space="0" w:color="auto"/>
                                          </w:divBdr>
                                          <w:divsChild>
                                            <w:div w:id="1805343833">
                                              <w:marLeft w:val="0"/>
                                              <w:marRight w:val="0"/>
                                              <w:marTop w:val="0"/>
                                              <w:marBottom w:val="0"/>
                                              <w:divBdr>
                                                <w:top w:val="none" w:sz="0" w:space="0" w:color="auto"/>
                                                <w:left w:val="none" w:sz="0" w:space="0" w:color="auto"/>
                                                <w:bottom w:val="none" w:sz="0" w:space="0" w:color="auto"/>
                                                <w:right w:val="none" w:sz="0" w:space="0" w:color="auto"/>
                                              </w:divBdr>
                                              <w:divsChild>
                                                <w:div w:id="61637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3615">
                                      <w:marLeft w:val="0"/>
                                      <w:marRight w:val="0"/>
                                      <w:marTop w:val="0"/>
                                      <w:marBottom w:val="0"/>
                                      <w:divBdr>
                                        <w:top w:val="none" w:sz="0" w:space="0" w:color="auto"/>
                                        <w:left w:val="none" w:sz="0" w:space="0" w:color="auto"/>
                                        <w:bottom w:val="none" w:sz="0" w:space="0" w:color="auto"/>
                                        <w:right w:val="none" w:sz="0" w:space="0" w:color="auto"/>
                                      </w:divBdr>
                                      <w:divsChild>
                                        <w:div w:id="1692603564">
                                          <w:marLeft w:val="0"/>
                                          <w:marRight w:val="0"/>
                                          <w:marTop w:val="0"/>
                                          <w:marBottom w:val="0"/>
                                          <w:divBdr>
                                            <w:top w:val="none" w:sz="0" w:space="0" w:color="auto"/>
                                            <w:left w:val="none" w:sz="0" w:space="0" w:color="auto"/>
                                            <w:bottom w:val="none" w:sz="0" w:space="0" w:color="auto"/>
                                            <w:right w:val="none" w:sz="0" w:space="0" w:color="auto"/>
                                          </w:divBdr>
                                          <w:divsChild>
                                            <w:div w:id="173651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926037">
                  <w:marLeft w:val="0"/>
                  <w:marRight w:val="0"/>
                  <w:marTop w:val="0"/>
                  <w:marBottom w:val="0"/>
                  <w:divBdr>
                    <w:top w:val="none" w:sz="0" w:space="0" w:color="auto"/>
                    <w:left w:val="none" w:sz="0" w:space="0" w:color="auto"/>
                    <w:bottom w:val="none" w:sz="0" w:space="0" w:color="auto"/>
                    <w:right w:val="none" w:sz="0" w:space="0" w:color="auto"/>
                  </w:divBdr>
                  <w:divsChild>
                    <w:div w:id="54213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7067">
          <w:marLeft w:val="0"/>
          <w:marRight w:val="0"/>
          <w:marTop w:val="0"/>
          <w:marBottom w:val="0"/>
          <w:divBdr>
            <w:top w:val="none" w:sz="0" w:space="0" w:color="auto"/>
            <w:left w:val="none" w:sz="0" w:space="0" w:color="auto"/>
            <w:bottom w:val="none" w:sz="0" w:space="0" w:color="auto"/>
            <w:right w:val="none" w:sz="0" w:space="0" w:color="auto"/>
          </w:divBdr>
          <w:divsChild>
            <w:div w:id="796291252">
              <w:marLeft w:val="0"/>
              <w:marRight w:val="0"/>
              <w:marTop w:val="0"/>
              <w:marBottom w:val="0"/>
              <w:divBdr>
                <w:top w:val="none" w:sz="0" w:space="0" w:color="auto"/>
                <w:left w:val="none" w:sz="0" w:space="0" w:color="auto"/>
                <w:bottom w:val="none" w:sz="0" w:space="0" w:color="auto"/>
                <w:right w:val="none" w:sz="0" w:space="0" w:color="auto"/>
              </w:divBdr>
              <w:divsChild>
                <w:div w:id="828520983">
                  <w:marLeft w:val="0"/>
                  <w:marRight w:val="0"/>
                  <w:marTop w:val="0"/>
                  <w:marBottom w:val="0"/>
                  <w:divBdr>
                    <w:top w:val="none" w:sz="0" w:space="0" w:color="auto"/>
                    <w:left w:val="none" w:sz="0" w:space="0" w:color="auto"/>
                    <w:bottom w:val="none" w:sz="0" w:space="0" w:color="auto"/>
                    <w:right w:val="none" w:sz="0" w:space="0" w:color="auto"/>
                  </w:divBdr>
                  <w:divsChild>
                    <w:div w:id="1447850640">
                      <w:marLeft w:val="0"/>
                      <w:marRight w:val="0"/>
                      <w:marTop w:val="0"/>
                      <w:marBottom w:val="0"/>
                      <w:divBdr>
                        <w:top w:val="none" w:sz="0" w:space="0" w:color="auto"/>
                        <w:left w:val="none" w:sz="0" w:space="0" w:color="auto"/>
                        <w:bottom w:val="none" w:sz="0" w:space="0" w:color="auto"/>
                        <w:right w:val="none" w:sz="0" w:space="0" w:color="auto"/>
                      </w:divBdr>
                      <w:divsChild>
                        <w:div w:id="2122845134">
                          <w:marLeft w:val="0"/>
                          <w:marRight w:val="0"/>
                          <w:marTop w:val="0"/>
                          <w:marBottom w:val="0"/>
                          <w:divBdr>
                            <w:top w:val="none" w:sz="0" w:space="0" w:color="auto"/>
                            <w:left w:val="none" w:sz="0" w:space="0" w:color="auto"/>
                            <w:bottom w:val="none" w:sz="0" w:space="0" w:color="auto"/>
                            <w:right w:val="none" w:sz="0" w:space="0" w:color="auto"/>
                          </w:divBdr>
                          <w:divsChild>
                            <w:div w:id="289173522">
                              <w:marLeft w:val="0"/>
                              <w:marRight w:val="0"/>
                              <w:marTop w:val="0"/>
                              <w:marBottom w:val="0"/>
                              <w:divBdr>
                                <w:top w:val="none" w:sz="0" w:space="0" w:color="auto"/>
                                <w:left w:val="none" w:sz="0" w:space="0" w:color="auto"/>
                                <w:bottom w:val="none" w:sz="0" w:space="0" w:color="auto"/>
                                <w:right w:val="none" w:sz="0" w:space="0" w:color="auto"/>
                              </w:divBdr>
                              <w:divsChild>
                                <w:div w:id="1986547388">
                                  <w:marLeft w:val="0"/>
                                  <w:marRight w:val="0"/>
                                  <w:marTop w:val="0"/>
                                  <w:marBottom w:val="0"/>
                                  <w:divBdr>
                                    <w:top w:val="none" w:sz="0" w:space="0" w:color="auto"/>
                                    <w:left w:val="none" w:sz="0" w:space="0" w:color="auto"/>
                                    <w:bottom w:val="none" w:sz="0" w:space="0" w:color="auto"/>
                                    <w:right w:val="none" w:sz="0" w:space="0" w:color="auto"/>
                                  </w:divBdr>
                                  <w:divsChild>
                                    <w:div w:id="93131203">
                                      <w:marLeft w:val="0"/>
                                      <w:marRight w:val="0"/>
                                      <w:marTop w:val="0"/>
                                      <w:marBottom w:val="0"/>
                                      <w:divBdr>
                                        <w:top w:val="none" w:sz="0" w:space="0" w:color="auto"/>
                                        <w:left w:val="none" w:sz="0" w:space="0" w:color="auto"/>
                                        <w:bottom w:val="none" w:sz="0" w:space="0" w:color="auto"/>
                                        <w:right w:val="none" w:sz="0" w:space="0" w:color="auto"/>
                                      </w:divBdr>
                                      <w:divsChild>
                                        <w:div w:id="1181166952">
                                          <w:marLeft w:val="0"/>
                                          <w:marRight w:val="0"/>
                                          <w:marTop w:val="0"/>
                                          <w:marBottom w:val="0"/>
                                          <w:divBdr>
                                            <w:top w:val="none" w:sz="0" w:space="0" w:color="auto"/>
                                            <w:left w:val="none" w:sz="0" w:space="0" w:color="auto"/>
                                            <w:bottom w:val="none" w:sz="0" w:space="0" w:color="auto"/>
                                            <w:right w:val="none" w:sz="0" w:space="0" w:color="auto"/>
                                          </w:divBdr>
                                          <w:divsChild>
                                            <w:div w:id="1217353289">
                                              <w:marLeft w:val="0"/>
                                              <w:marRight w:val="0"/>
                                              <w:marTop w:val="0"/>
                                              <w:marBottom w:val="0"/>
                                              <w:divBdr>
                                                <w:top w:val="none" w:sz="0" w:space="0" w:color="auto"/>
                                                <w:left w:val="none" w:sz="0" w:space="0" w:color="auto"/>
                                                <w:bottom w:val="none" w:sz="0" w:space="0" w:color="auto"/>
                                                <w:right w:val="none" w:sz="0" w:space="0" w:color="auto"/>
                                              </w:divBdr>
                                              <w:divsChild>
                                                <w:div w:id="379787394">
                                                  <w:marLeft w:val="0"/>
                                                  <w:marRight w:val="0"/>
                                                  <w:marTop w:val="0"/>
                                                  <w:marBottom w:val="0"/>
                                                  <w:divBdr>
                                                    <w:top w:val="none" w:sz="0" w:space="0" w:color="auto"/>
                                                    <w:left w:val="none" w:sz="0" w:space="0" w:color="auto"/>
                                                    <w:bottom w:val="none" w:sz="0" w:space="0" w:color="auto"/>
                                                    <w:right w:val="none" w:sz="0" w:space="0" w:color="auto"/>
                                                  </w:divBdr>
                                                  <w:divsChild>
                                                    <w:div w:id="1438216040">
                                                      <w:marLeft w:val="0"/>
                                                      <w:marRight w:val="0"/>
                                                      <w:marTop w:val="0"/>
                                                      <w:marBottom w:val="0"/>
                                                      <w:divBdr>
                                                        <w:top w:val="none" w:sz="0" w:space="0" w:color="auto"/>
                                                        <w:left w:val="none" w:sz="0" w:space="0" w:color="auto"/>
                                                        <w:bottom w:val="none" w:sz="0" w:space="0" w:color="auto"/>
                                                        <w:right w:val="none" w:sz="0" w:space="0" w:color="auto"/>
                                                      </w:divBdr>
                                                      <w:divsChild>
                                                        <w:div w:id="157038805">
                                                          <w:marLeft w:val="0"/>
                                                          <w:marRight w:val="0"/>
                                                          <w:marTop w:val="0"/>
                                                          <w:marBottom w:val="0"/>
                                                          <w:divBdr>
                                                            <w:top w:val="none" w:sz="0" w:space="0" w:color="auto"/>
                                                            <w:left w:val="none" w:sz="0" w:space="0" w:color="auto"/>
                                                            <w:bottom w:val="none" w:sz="0" w:space="0" w:color="auto"/>
                                                            <w:right w:val="none" w:sz="0" w:space="0" w:color="auto"/>
                                                          </w:divBdr>
                                                          <w:divsChild>
                                                            <w:div w:id="2045591593">
                                                              <w:marLeft w:val="0"/>
                                                              <w:marRight w:val="0"/>
                                                              <w:marTop w:val="0"/>
                                                              <w:marBottom w:val="0"/>
                                                              <w:divBdr>
                                                                <w:top w:val="none" w:sz="0" w:space="0" w:color="auto"/>
                                                                <w:left w:val="none" w:sz="0" w:space="0" w:color="auto"/>
                                                                <w:bottom w:val="none" w:sz="0" w:space="0" w:color="auto"/>
                                                                <w:right w:val="none" w:sz="0" w:space="0" w:color="auto"/>
                                                              </w:divBdr>
                                                              <w:divsChild>
                                                                <w:div w:id="83915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00687713">
      <w:bodyDiv w:val="1"/>
      <w:marLeft w:val="0"/>
      <w:marRight w:val="0"/>
      <w:marTop w:val="0"/>
      <w:marBottom w:val="0"/>
      <w:divBdr>
        <w:top w:val="none" w:sz="0" w:space="0" w:color="auto"/>
        <w:left w:val="none" w:sz="0" w:space="0" w:color="auto"/>
        <w:bottom w:val="none" w:sz="0" w:space="0" w:color="auto"/>
        <w:right w:val="none" w:sz="0" w:space="0" w:color="auto"/>
      </w:divBdr>
      <w:divsChild>
        <w:div w:id="1614827012">
          <w:marLeft w:val="0"/>
          <w:marRight w:val="0"/>
          <w:marTop w:val="0"/>
          <w:marBottom w:val="0"/>
          <w:divBdr>
            <w:top w:val="none" w:sz="0" w:space="0" w:color="auto"/>
            <w:left w:val="none" w:sz="0" w:space="0" w:color="auto"/>
            <w:bottom w:val="none" w:sz="0" w:space="0" w:color="auto"/>
            <w:right w:val="none" w:sz="0" w:space="0" w:color="auto"/>
          </w:divBdr>
          <w:divsChild>
            <w:div w:id="1241021528">
              <w:marLeft w:val="0"/>
              <w:marRight w:val="0"/>
              <w:marTop w:val="0"/>
              <w:marBottom w:val="0"/>
              <w:divBdr>
                <w:top w:val="none" w:sz="0" w:space="0" w:color="auto"/>
                <w:left w:val="none" w:sz="0" w:space="0" w:color="auto"/>
                <w:bottom w:val="none" w:sz="0" w:space="0" w:color="auto"/>
                <w:right w:val="none" w:sz="0" w:space="0" w:color="auto"/>
              </w:divBdr>
              <w:divsChild>
                <w:div w:id="1879122232">
                  <w:marLeft w:val="0"/>
                  <w:marRight w:val="0"/>
                  <w:marTop w:val="0"/>
                  <w:marBottom w:val="0"/>
                  <w:divBdr>
                    <w:top w:val="none" w:sz="0" w:space="0" w:color="auto"/>
                    <w:left w:val="none" w:sz="0" w:space="0" w:color="auto"/>
                    <w:bottom w:val="none" w:sz="0" w:space="0" w:color="auto"/>
                    <w:right w:val="none" w:sz="0" w:space="0" w:color="auto"/>
                  </w:divBdr>
                  <w:divsChild>
                    <w:div w:id="1665743118">
                      <w:marLeft w:val="0"/>
                      <w:marRight w:val="0"/>
                      <w:marTop w:val="0"/>
                      <w:marBottom w:val="0"/>
                      <w:divBdr>
                        <w:top w:val="none" w:sz="0" w:space="0" w:color="auto"/>
                        <w:left w:val="none" w:sz="0" w:space="0" w:color="auto"/>
                        <w:bottom w:val="none" w:sz="0" w:space="0" w:color="auto"/>
                        <w:right w:val="none" w:sz="0" w:space="0" w:color="auto"/>
                      </w:divBdr>
                      <w:divsChild>
                        <w:div w:id="1852064131">
                          <w:marLeft w:val="0"/>
                          <w:marRight w:val="0"/>
                          <w:marTop w:val="0"/>
                          <w:marBottom w:val="0"/>
                          <w:divBdr>
                            <w:top w:val="none" w:sz="0" w:space="0" w:color="auto"/>
                            <w:left w:val="none" w:sz="0" w:space="0" w:color="auto"/>
                            <w:bottom w:val="none" w:sz="0" w:space="0" w:color="auto"/>
                            <w:right w:val="none" w:sz="0" w:space="0" w:color="auto"/>
                          </w:divBdr>
                          <w:divsChild>
                            <w:div w:id="1646275089">
                              <w:marLeft w:val="0"/>
                              <w:marRight w:val="0"/>
                              <w:marTop w:val="0"/>
                              <w:marBottom w:val="0"/>
                              <w:divBdr>
                                <w:top w:val="none" w:sz="0" w:space="0" w:color="auto"/>
                                <w:left w:val="none" w:sz="0" w:space="0" w:color="auto"/>
                                <w:bottom w:val="none" w:sz="0" w:space="0" w:color="auto"/>
                                <w:right w:val="none" w:sz="0" w:space="0" w:color="auto"/>
                              </w:divBdr>
                              <w:divsChild>
                                <w:div w:id="2086948775">
                                  <w:marLeft w:val="0"/>
                                  <w:marRight w:val="0"/>
                                  <w:marTop w:val="0"/>
                                  <w:marBottom w:val="0"/>
                                  <w:divBdr>
                                    <w:top w:val="none" w:sz="0" w:space="0" w:color="auto"/>
                                    <w:left w:val="none" w:sz="0" w:space="0" w:color="auto"/>
                                    <w:bottom w:val="none" w:sz="0" w:space="0" w:color="auto"/>
                                    <w:right w:val="none" w:sz="0" w:space="0" w:color="auto"/>
                                  </w:divBdr>
                                  <w:divsChild>
                                    <w:div w:id="771780622">
                                      <w:marLeft w:val="0"/>
                                      <w:marRight w:val="0"/>
                                      <w:marTop w:val="0"/>
                                      <w:marBottom w:val="0"/>
                                      <w:divBdr>
                                        <w:top w:val="none" w:sz="0" w:space="0" w:color="auto"/>
                                        <w:left w:val="none" w:sz="0" w:space="0" w:color="auto"/>
                                        <w:bottom w:val="none" w:sz="0" w:space="0" w:color="auto"/>
                                        <w:right w:val="none" w:sz="0" w:space="0" w:color="auto"/>
                                      </w:divBdr>
                                      <w:divsChild>
                                        <w:div w:id="369300596">
                                          <w:marLeft w:val="0"/>
                                          <w:marRight w:val="0"/>
                                          <w:marTop w:val="0"/>
                                          <w:marBottom w:val="0"/>
                                          <w:divBdr>
                                            <w:top w:val="none" w:sz="0" w:space="0" w:color="auto"/>
                                            <w:left w:val="none" w:sz="0" w:space="0" w:color="auto"/>
                                            <w:bottom w:val="none" w:sz="0" w:space="0" w:color="auto"/>
                                            <w:right w:val="none" w:sz="0" w:space="0" w:color="auto"/>
                                          </w:divBdr>
                                          <w:divsChild>
                                            <w:div w:id="1231113475">
                                              <w:marLeft w:val="0"/>
                                              <w:marRight w:val="0"/>
                                              <w:marTop w:val="0"/>
                                              <w:marBottom w:val="0"/>
                                              <w:divBdr>
                                                <w:top w:val="none" w:sz="0" w:space="0" w:color="auto"/>
                                                <w:left w:val="none" w:sz="0" w:space="0" w:color="auto"/>
                                                <w:bottom w:val="none" w:sz="0" w:space="0" w:color="auto"/>
                                                <w:right w:val="none" w:sz="0" w:space="0" w:color="auto"/>
                                              </w:divBdr>
                                              <w:divsChild>
                                                <w:div w:id="32173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625822">
                                      <w:marLeft w:val="0"/>
                                      <w:marRight w:val="0"/>
                                      <w:marTop w:val="0"/>
                                      <w:marBottom w:val="0"/>
                                      <w:divBdr>
                                        <w:top w:val="none" w:sz="0" w:space="0" w:color="auto"/>
                                        <w:left w:val="none" w:sz="0" w:space="0" w:color="auto"/>
                                        <w:bottom w:val="none" w:sz="0" w:space="0" w:color="auto"/>
                                        <w:right w:val="none" w:sz="0" w:space="0" w:color="auto"/>
                                      </w:divBdr>
                                      <w:divsChild>
                                        <w:div w:id="1997996455">
                                          <w:marLeft w:val="0"/>
                                          <w:marRight w:val="0"/>
                                          <w:marTop w:val="0"/>
                                          <w:marBottom w:val="0"/>
                                          <w:divBdr>
                                            <w:top w:val="none" w:sz="0" w:space="0" w:color="auto"/>
                                            <w:left w:val="none" w:sz="0" w:space="0" w:color="auto"/>
                                            <w:bottom w:val="none" w:sz="0" w:space="0" w:color="auto"/>
                                            <w:right w:val="none" w:sz="0" w:space="0" w:color="auto"/>
                                          </w:divBdr>
                                          <w:divsChild>
                                            <w:div w:id="162072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2619818">
                  <w:marLeft w:val="0"/>
                  <w:marRight w:val="0"/>
                  <w:marTop w:val="0"/>
                  <w:marBottom w:val="0"/>
                  <w:divBdr>
                    <w:top w:val="none" w:sz="0" w:space="0" w:color="auto"/>
                    <w:left w:val="none" w:sz="0" w:space="0" w:color="auto"/>
                    <w:bottom w:val="none" w:sz="0" w:space="0" w:color="auto"/>
                    <w:right w:val="none" w:sz="0" w:space="0" w:color="auto"/>
                  </w:divBdr>
                  <w:divsChild>
                    <w:div w:id="170872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239059">
          <w:marLeft w:val="0"/>
          <w:marRight w:val="0"/>
          <w:marTop w:val="0"/>
          <w:marBottom w:val="0"/>
          <w:divBdr>
            <w:top w:val="none" w:sz="0" w:space="0" w:color="auto"/>
            <w:left w:val="none" w:sz="0" w:space="0" w:color="auto"/>
            <w:bottom w:val="none" w:sz="0" w:space="0" w:color="auto"/>
            <w:right w:val="none" w:sz="0" w:space="0" w:color="auto"/>
          </w:divBdr>
          <w:divsChild>
            <w:div w:id="147985912">
              <w:marLeft w:val="0"/>
              <w:marRight w:val="0"/>
              <w:marTop w:val="0"/>
              <w:marBottom w:val="0"/>
              <w:divBdr>
                <w:top w:val="none" w:sz="0" w:space="0" w:color="auto"/>
                <w:left w:val="none" w:sz="0" w:space="0" w:color="auto"/>
                <w:bottom w:val="none" w:sz="0" w:space="0" w:color="auto"/>
                <w:right w:val="none" w:sz="0" w:space="0" w:color="auto"/>
              </w:divBdr>
              <w:divsChild>
                <w:div w:id="926615402">
                  <w:marLeft w:val="0"/>
                  <w:marRight w:val="0"/>
                  <w:marTop w:val="0"/>
                  <w:marBottom w:val="0"/>
                  <w:divBdr>
                    <w:top w:val="none" w:sz="0" w:space="0" w:color="auto"/>
                    <w:left w:val="none" w:sz="0" w:space="0" w:color="auto"/>
                    <w:bottom w:val="none" w:sz="0" w:space="0" w:color="auto"/>
                    <w:right w:val="none" w:sz="0" w:space="0" w:color="auto"/>
                  </w:divBdr>
                  <w:divsChild>
                    <w:div w:id="1562984020">
                      <w:marLeft w:val="0"/>
                      <w:marRight w:val="0"/>
                      <w:marTop w:val="0"/>
                      <w:marBottom w:val="0"/>
                      <w:divBdr>
                        <w:top w:val="none" w:sz="0" w:space="0" w:color="auto"/>
                        <w:left w:val="none" w:sz="0" w:space="0" w:color="auto"/>
                        <w:bottom w:val="none" w:sz="0" w:space="0" w:color="auto"/>
                        <w:right w:val="none" w:sz="0" w:space="0" w:color="auto"/>
                      </w:divBdr>
                      <w:divsChild>
                        <w:div w:id="1532456433">
                          <w:marLeft w:val="0"/>
                          <w:marRight w:val="0"/>
                          <w:marTop w:val="0"/>
                          <w:marBottom w:val="0"/>
                          <w:divBdr>
                            <w:top w:val="none" w:sz="0" w:space="0" w:color="auto"/>
                            <w:left w:val="none" w:sz="0" w:space="0" w:color="auto"/>
                            <w:bottom w:val="none" w:sz="0" w:space="0" w:color="auto"/>
                            <w:right w:val="none" w:sz="0" w:space="0" w:color="auto"/>
                          </w:divBdr>
                          <w:divsChild>
                            <w:div w:id="1150051491">
                              <w:marLeft w:val="0"/>
                              <w:marRight w:val="0"/>
                              <w:marTop w:val="0"/>
                              <w:marBottom w:val="0"/>
                              <w:divBdr>
                                <w:top w:val="none" w:sz="0" w:space="0" w:color="auto"/>
                                <w:left w:val="none" w:sz="0" w:space="0" w:color="auto"/>
                                <w:bottom w:val="none" w:sz="0" w:space="0" w:color="auto"/>
                                <w:right w:val="none" w:sz="0" w:space="0" w:color="auto"/>
                              </w:divBdr>
                              <w:divsChild>
                                <w:div w:id="94640301">
                                  <w:marLeft w:val="0"/>
                                  <w:marRight w:val="0"/>
                                  <w:marTop w:val="0"/>
                                  <w:marBottom w:val="0"/>
                                  <w:divBdr>
                                    <w:top w:val="none" w:sz="0" w:space="0" w:color="auto"/>
                                    <w:left w:val="none" w:sz="0" w:space="0" w:color="auto"/>
                                    <w:bottom w:val="none" w:sz="0" w:space="0" w:color="auto"/>
                                    <w:right w:val="none" w:sz="0" w:space="0" w:color="auto"/>
                                  </w:divBdr>
                                  <w:divsChild>
                                    <w:div w:id="1215779636">
                                      <w:marLeft w:val="0"/>
                                      <w:marRight w:val="0"/>
                                      <w:marTop w:val="0"/>
                                      <w:marBottom w:val="0"/>
                                      <w:divBdr>
                                        <w:top w:val="none" w:sz="0" w:space="0" w:color="auto"/>
                                        <w:left w:val="none" w:sz="0" w:space="0" w:color="auto"/>
                                        <w:bottom w:val="none" w:sz="0" w:space="0" w:color="auto"/>
                                        <w:right w:val="none" w:sz="0" w:space="0" w:color="auto"/>
                                      </w:divBdr>
                                      <w:divsChild>
                                        <w:div w:id="1830753890">
                                          <w:marLeft w:val="0"/>
                                          <w:marRight w:val="0"/>
                                          <w:marTop w:val="0"/>
                                          <w:marBottom w:val="0"/>
                                          <w:divBdr>
                                            <w:top w:val="none" w:sz="0" w:space="0" w:color="auto"/>
                                            <w:left w:val="none" w:sz="0" w:space="0" w:color="auto"/>
                                            <w:bottom w:val="none" w:sz="0" w:space="0" w:color="auto"/>
                                            <w:right w:val="none" w:sz="0" w:space="0" w:color="auto"/>
                                          </w:divBdr>
                                          <w:divsChild>
                                            <w:div w:id="1980575179">
                                              <w:marLeft w:val="0"/>
                                              <w:marRight w:val="0"/>
                                              <w:marTop w:val="0"/>
                                              <w:marBottom w:val="0"/>
                                              <w:divBdr>
                                                <w:top w:val="none" w:sz="0" w:space="0" w:color="auto"/>
                                                <w:left w:val="none" w:sz="0" w:space="0" w:color="auto"/>
                                                <w:bottom w:val="none" w:sz="0" w:space="0" w:color="auto"/>
                                                <w:right w:val="none" w:sz="0" w:space="0" w:color="auto"/>
                                              </w:divBdr>
                                              <w:divsChild>
                                                <w:div w:id="1233544355">
                                                  <w:marLeft w:val="0"/>
                                                  <w:marRight w:val="0"/>
                                                  <w:marTop w:val="0"/>
                                                  <w:marBottom w:val="0"/>
                                                  <w:divBdr>
                                                    <w:top w:val="none" w:sz="0" w:space="0" w:color="auto"/>
                                                    <w:left w:val="none" w:sz="0" w:space="0" w:color="auto"/>
                                                    <w:bottom w:val="none" w:sz="0" w:space="0" w:color="auto"/>
                                                    <w:right w:val="none" w:sz="0" w:space="0" w:color="auto"/>
                                                  </w:divBdr>
                                                  <w:divsChild>
                                                    <w:div w:id="1235239182">
                                                      <w:marLeft w:val="0"/>
                                                      <w:marRight w:val="0"/>
                                                      <w:marTop w:val="0"/>
                                                      <w:marBottom w:val="0"/>
                                                      <w:divBdr>
                                                        <w:top w:val="none" w:sz="0" w:space="0" w:color="auto"/>
                                                        <w:left w:val="none" w:sz="0" w:space="0" w:color="auto"/>
                                                        <w:bottom w:val="none" w:sz="0" w:space="0" w:color="auto"/>
                                                        <w:right w:val="none" w:sz="0" w:space="0" w:color="auto"/>
                                                      </w:divBdr>
                                                      <w:divsChild>
                                                        <w:div w:id="102580000">
                                                          <w:marLeft w:val="0"/>
                                                          <w:marRight w:val="0"/>
                                                          <w:marTop w:val="0"/>
                                                          <w:marBottom w:val="0"/>
                                                          <w:divBdr>
                                                            <w:top w:val="none" w:sz="0" w:space="0" w:color="auto"/>
                                                            <w:left w:val="none" w:sz="0" w:space="0" w:color="auto"/>
                                                            <w:bottom w:val="none" w:sz="0" w:space="0" w:color="auto"/>
                                                            <w:right w:val="none" w:sz="0" w:space="0" w:color="auto"/>
                                                          </w:divBdr>
                                                          <w:divsChild>
                                                            <w:div w:id="1761024145">
                                                              <w:marLeft w:val="0"/>
                                                              <w:marRight w:val="0"/>
                                                              <w:marTop w:val="0"/>
                                                              <w:marBottom w:val="0"/>
                                                              <w:divBdr>
                                                                <w:top w:val="none" w:sz="0" w:space="0" w:color="auto"/>
                                                                <w:left w:val="none" w:sz="0" w:space="0" w:color="auto"/>
                                                                <w:bottom w:val="none" w:sz="0" w:space="0" w:color="auto"/>
                                                                <w:right w:val="none" w:sz="0" w:space="0" w:color="auto"/>
                                                              </w:divBdr>
                                                              <w:divsChild>
                                                                <w:div w:id="209813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17064963">
      <w:bodyDiv w:val="1"/>
      <w:marLeft w:val="0"/>
      <w:marRight w:val="0"/>
      <w:marTop w:val="0"/>
      <w:marBottom w:val="0"/>
      <w:divBdr>
        <w:top w:val="none" w:sz="0" w:space="0" w:color="auto"/>
        <w:left w:val="none" w:sz="0" w:space="0" w:color="auto"/>
        <w:bottom w:val="none" w:sz="0" w:space="0" w:color="auto"/>
        <w:right w:val="none" w:sz="0" w:space="0" w:color="auto"/>
      </w:divBdr>
    </w:div>
    <w:div w:id="1851022119">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 w:id="21050296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statista.com/topics/2170/the-cost-of-college-in-the-united-st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6BDCFE0-9650-4D1F-A08D-558ADABB5F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1672</Words>
  <Characters>9534</Characters>
  <Application>Microsoft Office Word</Application>
  <DocSecurity>4</DocSecurity>
  <Lines>79</Lines>
  <Paragraphs>22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2025-10-31T17:32:00Z</cp:lastPrinted>
  <dcterms:created xsi:type="dcterms:W3CDTF">2025-11-04T13:21:00Z</dcterms:created>
  <dcterms:modified xsi:type="dcterms:W3CDTF">2025-11-04T13:21:00Z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