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8CB29" w14:textId="77777777" w:rsidR="00240422" w:rsidRPr="00240422" w:rsidRDefault="00351C6E" w:rsidP="00240422">
      <w:pPr>
        <w:tabs>
          <w:tab w:val="center" w:pos="4680"/>
        </w:tabs>
        <w:jc w:val="both"/>
        <w:rPr>
          <w:rFonts w:ascii="Book Antiqua" w:eastAsia="Calibri" w:hAnsi="Book Antiqua"/>
          <w:sz w:val="32"/>
          <w:szCs w:val="32"/>
          <w:lang w:val="es-ES"/>
        </w:rPr>
      </w:pPr>
      <w:r w:rsidRPr="00E573FB">
        <w:rPr>
          <w:rFonts w:ascii="Book Antiqua" w:hAnsi="Book Antiqua"/>
          <w:sz w:val="28"/>
          <w:szCs w:val="28"/>
          <w:lang w:val="es-US"/>
        </w:rPr>
        <w:tab/>
      </w:r>
      <w:r w:rsidR="00240422" w:rsidRPr="00240422">
        <w:rPr>
          <w:rFonts w:ascii="Book Antiqua" w:eastAsia="Calibri" w:hAnsi="Book Antiqua"/>
          <w:sz w:val="32"/>
          <w:szCs w:val="32"/>
          <w:lang w:val="es-ES"/>
        </w:rPr>
        <w:t>GOBIERNO DE PUERTO RICO</w:t>
      </w:r>
    </w:p>
    <w:p w14:paraId="48C6C946" w14:textId="77777777" w:rsidR="00240422" w:rsidRPr="00240422" w:rsidRDefault="00240422" w:rsidP="00240422">
      <w:pPr>
        <w:tabs>
          <w:tab w:val="center" w:pos="4680"/>
        </w:tabs>
        <w:jc w:val="center"/>
        <w:rPr>
          <w:rFonts w:ascii="Book Antiqua" w:eastAsia="Calibri" w:hAnsi="Book Antiqua"/>
          <w:szCs w:val="24"/>
          <w:lang w:val="es-ES"/>
        </w:rPr>
      </w:pPr>
    </w:p>
    <w:p w14:paraId="0D24530E" w14:textId="77777777" w:rsidR="00240422" w:rsidRPr="00240422" w:rsidRDefault="00240422" w:rsidP="00240422">
      <w:pPr>
        <w:tabs>
          <w:tab w:val="left" w:pos="7560"/>
        </w:tabs>
        <w:jc w:val="both"/>
        <w:rPr>
          <w:rFonts w:ascii="Book Antiqua" w:eastAsia="Calibri" w:hAnsi="Book Antiqua"/>
          <w:szCs w:val="24"/>
          <w:lang w:val="es-ES"/>
        </w:rPr>
      </w:pPr>
      <w:r w:rsidRPr="00240422">
        <w:rPr>
          <w:rFonts w:ascii="Book Antiqua" w:eastAsia="Calibri" w:hAnsi="Book Antiqua"/>
          <w:szCs w:val="24"/>
          <w:lang w:val="es-ES"/>
        </w:rPr>
        <w:t>20</w:t>
      </w:r>
      <w:r w:rsidRPr="00240422">
        <w:rPr>
          <w:rFonts w:ascii="Book Antiqua" w:eastAsia="Calibri" w:hAnsi="Book Antiqua"/>
          <w:szCs w:val="24"/>
          <w:vertAlign w:val="superscript"/>
          <w:lang w:val="es-ES"/>
        </w:rPr>
        <w:t>ma</w:t>
      </w:r>
      <w:r w:rsidRPr="00240422">
        <w:rPr>
          <w:rFonts w:ascii="Book Antiqua" w:eastAsia="Calibri" w:hAnsi="Book Antiqua"/>
          <w:szCs w:val="24"/>
          <w:lang w:val="es-ES"/>
        </w:rPr>
        <w:t xml:space="preserve"> Asamblea</w:t>
      </w:r>
      <w:r w:rsidRPr="00240422">
        <w:rPr>
          <w:rFonts w:ascii="Book Antiqua" w:eastAsia="Calibri" w:hAnsi="Book Antiqua"/>
          <w:szCs w:val="24"/>
          <w:lang w:val="es-ES"/>
        </w:rPr>
        <w:tab/>
        <w:t xml:space="preserve"> 1</w:t>
      </w:r>
      <w:r w:rsidRPr="00240422">
        <w:rPr>
          <w:rFonts w:ascii="Book Antiqua" w:eastAsia="Calibri" w:hAnsi="Book Antiqua"/>
          <w:szCs w:val="24"/>
          <w:vertAlign w:val="superscript"/>
          <w:lang w:val="es-ES"/>
        </w:rPr>
        <w:t>ra</w:t>
      </w:r>
      <w:r w:rsidRPr="00240422">
        <w:rPr>
          <w:rFonts w:ascii="Book Antiqua" w:eastAsia="Calibri" w:hAnsi="Book Antiqua"/>
          <w:szCs w:val="24"/>
          <w:lang w:val="es-ES"/>
        </w:rPr>
        <w:t xml:space="preserve"> Sesión </w:t>
      </w:r>
    </w:p>
    <w:p w14:paraId="459304A5" w14:textId="77777777" w:rsidR="00240422" w:rsidRPr="00240422" w:rsidRDefault="00240422" w:rsidP="00240422">
      <w:pPr>
        <w:tabs>
          <w:tab w:val="left" w:pos="8100"/>
        </w:tabs>
        <w:jc w:val="both"/>
        <w:rPr>
          <w:rFonts w:ascii="Book Antiqua" w:eastAsia="Calibri" w:hAnsi="Book Antiqua"/>
          <w:szCs w:val="24"/>
          <w:lang w:val="es-ES"/>
        </w:rPr>
      </w:pPr>
      <w:r w:rsidRPr="00240422">
        <w:rPr>
          <w:rFonts w:ascii="Book Antiqua" w:eastAsia="Calibri" w:hAnsi="Book Antiqua"/>
          <w:szCs w:val="24"/>
          <w:lang w:val="es-ES"/>
        </w:rPr>
        <w:t xml:space="preserve">       Legislativa                                                                                                          Ordinaria</w:t>
      </w:r>
    </w:p>
    <w:p w14:paraId="34260F80" w14:textId="77777777" w:rsidR="00240422" w:rsidRPr="00240422" w:rsidRDefault="00240422" w:rsidP="00240422">
      <w:pPr>
        <w:jc w:val="center"/>
        <w:rPr>
          <w:rFonts w:ascii="Book Antiqua" w:eastAsia="Calibri" w:hAnsi="Book Antiqua"/>
          <w:b/>
          <w:szCs w:val="24"/>
          <w:lang w:val="es-ES"/>
        </w:rPr>
      </w:pPr>
    </w:p>
    <w:p w14:paraId="332D6802" w14:textId="77777777" w:rsidR="00240422" w:rsidRPr="00240422" w:rsidRDefault="00240422" w:rsidP="00240422">
      <w:pPr>
        <w:jc w:val="center"/>
        <w:rPr>
          <w:rFonts w:ascii="Book Antiqua" w:eastAsia="Calibri" w:hAnsi="Book Antiqua"/>
          <w:sz w:val="36"/>
          <w:szCs w:val="36"/>
          <w:lang w:val="es-ES"/>
        </w:rPr>
      </w:pPr>
      <w:r w:rsidRPr="00240422">
        <w:rPr>
          <w:rFonts w:ascii="Book Antiqua" w:eastAsia="Calibri" w:hAnsi="Book Antiqua"/>
          <w:sz w:val="36"/>
          <w:szCs w:val="36"/>
          <w:lang w:val="es-ES"/>
        </w:rPr>
        <w:t>SENADO DE PUERTO RICO</w:t>
      </w:r>
    </w:p>
    <w:p w14:paraId="6FFBEBA4" w14:textId="77777777" w:rsidR="00240422" w:rsidRPr="00240422" w:rsidRDefault="00240422" w:rsidP="00240422">
      <w:pPr>
        <w:jc w:val="center"/>
        <w:rPr>
          <w:rFonts w:ascii="Book Antiqua" w:eastAsia="Calibri" w:hAnsi="Book Antiqua"/>
          <w:szCs w:val="24"/>
          <w:lang w:val="es-ES"/>
        </w:rPr>
      </w:pPr>
    </w:p>
    <w:p w14:paraId="2E8BE765" w14:textId="7B32E841" w:rsidR="00240422" w:rsidRPr="00240422" w:rsidRDefault="00240422" w:rsidP="00240422">
      <w:pPr>
        <w:jc w:val="center"/>
        <w:rPr>
          <w:rFonts w:ascii="Book Antiqua" w:hAnsi="Book Antiqua"/>
          <w:b/>
          <w:sz w:val="52"/>
          <w:szCs w:val="52"/>
          <w:lang w:val="es-ES"/>
        </w:rPr>
      </w:pPr>
      <w:r w:rsidRPr="00240422">
        <w:rPr>
          <w:rFonts w:ascii="Book Antiqua" w:hAnsi="Book Antiqua"/>
          <w:b/>
          <w:sz w:val="52"/>
          <w:szCs w:val="52"/>
          <w:lang w:val="es-ES"/>
        </w:rPr>
        <w:t>P. de</w:t>
      </w:r>
      <w:r w:rsidR="00447943">
        <w:rPr>
          <w:rFonts w:ascii="Book Antiqua" w:hAnsi="Book Antiqua"/>
          <w:b/>
          <w:sz w:val="52"/>
          <w:szCs w:val="52"/>
          <w:lang w:val="es-ES"/>
        </w:rPr>
        <w:t xml:space="preserve"> la C. 375</w:t>
      </w:r>
    </w:p>
    <w:p w14:paraId="4838C80F" w14:textId="77777777" w:rsidR="00240422" w:rsidRPr="00240422" w:rsidRDefault="00240422" w:rsidP="00240422">
      <w:pPr>
        <w:jc w:val="center"/>
        <w:rPr>
          <w:rFonts w:ascii="Book Antiqua" w:hAnsi="Book Antiqua"/>
          <w:b/>
          <w:szCs w:val="24"/>
          <w:lang w:val="es-ES"/>
        </w:rPr>
      </w:pPr>
    </w:p>
    <w:p w14:paraId="455FD465" w14:textId="77777777" w:rsidR="00240422" w:rsidRPr="00240422" w:rsidRDefault="00240422" w:rsidP="00240422">
      <w:pPr>
        <w:jc w:val="center"/>
        <w:rPr>
          <w:rFonts w:ascii="Book Antiqua" w:hAnsi="Book Antiqua"/>
          <w:b/>
          <w:sz w:val="22"/>
          <w:szCs w:val="22"/>
          <w:lang w:val="es-ES"/>
        </w:rPr>
      </w:pPr>
      <w:r w:rsidRPr="00240422">
        <w:rPr>
          <w:rFonts w:ascii="Book Antiqua" w:hAnsi="Book Antiqua"/>
          <w:b/>
          <w:szCs w:val="24"/>
          <w:lang w:val="es-ES"/>
        </w:rPr>
        <w:t>INFORME POSITIVO</w:t>
      </w:r>
    </w:p>
    <w:p w14:paraId="08640495" w14:textId="77777777" w:rsidR="00240422" w:rsidRPr="00240422" w:rsidRDefault="00240422" w:rsidP="00240422">
      <w:pPr>
        <w:jc w:val="center"/>
        <w:rPr>
          <w:rFonts w:ascii="Book Antiqua" w:hAnsi="Book Antiqua"/>
          <w:szCs w:val="24"/>
          <w:lang w:val="es-ES"/>
        </w:rPr>
      </w:pPr>
    </w:p>
    <w:p w14:paraId="00106C19" w14:textId="0CFDF5C7" w:rsidR="00240422" w:rsidRPr="00240422" w:rsidRDefault="00D3767C" w:rsidP="00240422">
      <w:pPr>
        <w:jc w:val="center"/>
        <w:rPr>
          <w:rFonts w:ascii="Book Antiqua" w:hAnsi="Book Antiqua"/>
          <w:szCs w:val="24"/>
          <w:lang w:val="es-ES"/>
        </w:rPr>
      </w:pPr>
      <w:r>
        <w:rPr>
          <w:rFonts w:ascii="Book Antiqua" w:hAnsi="Book Antiqua"/>
          <w:szCs w:val="24"/>
          <w:lang w:val="es-ES"/>
        </w:rPr>
        <w:t xml:space="preserve">30 </w:t>
      </w:r>
      <w:r w:rsidR="00240422" w:rsidRPr="00240422">
        <w:rPr>
          <w:rFonts w:ascii="Book Antiqua" w:hAnsi="Book Antiqua"/>
          <w:szCs w:val="24"/>
          <w:lang w:val="es-ES"/>
        </w:rPr>
        <w:t>de mayo de 2025</w:t>
      </w:r>
    </w:p>
    <w:p w14:paraId="110FB5C1" w14:textId="77777777" w:rsidR="00240422" w:rsidRPr="00240422" w:rsidRDefault="00240422" w:rsidP="00240422">
      <w:pPr>
        <w:jc w:val="both"/>
        <w:rPr>
          <w:rFonts w:ascii="Book Antiqua" w:hAnsi="Book Antiqua"/>
          <w:b/>
          <w:szCs w:val="24"/>
          <w:lang w:val="es-ES"/>
        </w:rPr>
      </w:pPr>
    </w:p>
    <w:p w14:paraId="22BC6936" w14:textId="77777777" w:rsidR="00240422" w:rsidRPr="00240422" w:rsidRDefault="00240422" w:rsidP="00240422">
      <w:pPr>
        <w:jc w:val="both"/>
        <w:rPr>
          <w:rFonts w:ascii="Book Antiqua" w:hAnsi="Book Antiqua"/>
          <w:szCs w:val="24"/>
          <w:lang w:val="es-ES"/>
        </w:rPr>
      </w:pPr>
      <w:r w:rsidRPr="00240422">
        <w:rPr>
          <w:rFonts w:ascii="Book Antiqua" w:hAnsi="Book Antiqua"/>
          <w:b/>
          <w:szCs w:val="24"/>
          <w:lang w:val="es-ES"/>
        </w:rPr>
        <w:t>AL SENADO DE PUERTO RICO</w:t>
      </w:r>
    </w:p>
    <w:p w14:paraId="311CF150" w14:textId="77777777" w:rsidR="00240422" w:rsidRPr="00240422" w:rsidRDefault="00240422" w:rsidP="00240422">
      <w:pPr>
        <w:ind w:firstLine="720"/>
        <w:jc w:val="both"/>
        <w:rPr>
          <w:rFonts w:ascii="Book Antiqua" w:hAnsi="Book Antiqua"/>
          <w:szCs w:val="24"/>
          <w:lang w:val="es-ES"/>
        </w:rPr>
      </w:pPr>
    </w:p>
    <w:p w14:paraId="3E625045" w14:textId="2B41D363" w:rsidR="00240422" w:rsidRPr="00240422" w:rsidRDefault="00240422" w:rsidP="00240422">
      <w:pPr>
        <w:ind w:firstLine="360"/>
        <w:jc w:val="both"/>
        <w:rPr>
          <w:rFonts w:ascii="Book Antiqua" w:hAnsi="Book Antiqua"/>
          <w:szCs w:val="24"/>
          <w:lang w:val="es-ES"/>
        </w:rPr>
      </w:pPr>
      <w:r w:rsidRPr="00240422">
        <w:rPr>
          <w:rFonts w:ascii="Book Antiqua" w:hAnsi="Book Antiqua"/>
          <w:szCs w:val="24"/>
          <w:lang w:val="es-ES"/>
        </w:rPr>
        <w:t>La Comisión de Transportación, Telecomunicaciones, Servicios Públicos y Asuntos del Consumidor del Senado de Puerto Rico, previo estudio y consideración, recomienda la aprobación del P. de</w:t>
      </w:r>
      <w:r w:rsidR="00447943">
        <w:rPr>
          <w:rFonts w:ascii="Book Antiqua" w:hAnsi="Book Antiqua"/>
          <w:szCs w:val="24"/>
          <w:lang w:val="es-ES"/>
        </w:rPr>
        <w:t xml:space="preserve"> la C. 375</w:t>
      </w:r>
      <w:r w:rsidRPr="00240422">
        <w:rPr>
          <w:rFonts w:ascii="Book Antiqua" w:hAnsi="Book Antiqua"/>
          <w:szCs w:val="24"/>
          <w:lang w:val="es-ES"/>
        </w:rPr>
        <w:t xml:space="preserve">, con las </w:t>
      </w:r>
      <w:r w:rsidRPr="00240422">
        <w:rPr>
          <w:rFonts w:ascii="Book Antiqua" w:hAnsi="Book Antiqua"/>
          <w:bCs/>
          <w:szCs w:val="24"/>
          <w:lang w:val="es-ES"/>
        </w:rPr>
        <w:t>enmiendas contenidas en el entirillado electrónico que acompaña a este informe</w:t>
      </w:r>
      <w:r w:rsidRPr="00240422">
        <w:rPr>
          <w:rFonts w:ascii="Book Antiqua" w:hAnsi="Book Antiqua"/>
          <w:szCs w:val="24"/>
          <w:lang w:val="es-ES"/>
        </w:rPr>
        <w:t>.</w:t>
      </w:r>
    </w:p>
    <w:p w14:paraId="5CAE4879" w14:textId="77777777" w:rsidR="00240422" w:rsidRPr="00240422" w:rsidRDefault="00240422" w:rsidP="00240422">
      <w:pPr>
        <w:ind w:firstLine="720"/>
        <w:jc w:val="both"/>
        <w:rPr>
          <w:rFonts w:ascii="Book Antiqua" w:hAnsi="Book Antiqua"/>
          <w:b/>
          <w:szCs w:val="24"/>
          <w:lang w:val="es-ES"/>
        </w:rPr>
      </w:pPr>
    </w:p>
    <w:p w14:paraId="251F28E5" w14:textId="77777777" w:rsidR="00240422" w:rsidRPr="00240422" w:rsidRDefault="00240422" w:rsidP="00240422">
      <w:pPr>
        <w:ind w:firstLine="360"/>
        <w:jc w:val="center"/>
        <w:rPr>
          <w:rFonts w:ascii="Book Antiqua" w:hAnsi="Book Antiqua"/>
          <w:b/>
          <w:szCs w:val="24"/>
          <w:lang w:val="es-ES"/>
        </w:rPr>
      </w:pPr>
      <w:r w:rsidRPr="00240422">
        <w:rPr>
          <w:rFonts w:ascii="Book Antiqua" w:hAnsi="Book Antiqua"/>
          <w:b/>
          <w:szCs w:val="24"/>
          <w:lang w:val="es-ES"/>
        </w:rPr>
        <w:t>ALCANCE DE LA MEDIDA</w:t>
      </w:r>
    </w:p>
    <w:p w14:paraId="377091FD" w14:textId="77777777" w:rsidR="00240422" w:rsidRPr="00240422" w:rsidRDefault="00240422" w:rsidP="00240422">
      <w:pPr>
        <w:ind w:firstLine="720"/>
        <w:jc w:val="center"/>
        <w:rPr>
          <w:rFonts w:ascii="Book Antiqua" w:hAnsi="Book Antiqua"/>
          <w:szCs w:val="24"/>
          <w:lang w:val="es-ES"/>
        </w:rPr>
      </w:pPr>
    </w:p>
    <w:p w14:paraId="749D649C" w14:textId="33829912" w:rsidR="00240422" w:rsidRPr="00240422" w:rsidRDefault="00240422" w:rsidP="00240422">
      <w:pPr>
        <w:tabs>
          <w:tab w:val="left" w:pos="0"/>
        </w:tabs>
        <w:ind w:firstLine="360"/>
        <w:jc w:val="both"/>
        <w:rPr>
          <w:rFonts w:ascii="Book Antiqua" w:hAnsi="Book Antiqua"/>
          <w:szCs w:val="24"/>
          <w:lang w:val="es-ES"/>
        </w:rPr>
      </w:pPr>
      <w:r w:rsidRPr="00240422">
        <w:rPr>
          <w:rFonts w:ascii="Book Antiqua" w:hAnsi="Book Antiqua"/>
          <w:szCs w:val="24"/>
          <w:lang w:val="es-ES"/>
        </w:rPr>
        <w:t>El P. de</w:t>
      </w:r>
      <w:r w:rsidR="00447943">
        <w:rPr>
          <w:rFonts w:ascii="Book Antiqua" w:hAnsi="Book Antiqua"/>
          <w:szCs w:val="24"/>
          <w:lang w:val="es-ES"/>
        </w:rPr>
        <w:t xml:space="preserve"> la C. 375 </w:t>
      </w:r>
      <w:r w:rsidRPr="00240422">
        <w:rPr>
          <w:rFonts w:ascii="Book Antiqua" w:hAnsi="Book Antiqua"/>
          <w:szCs w:val="24"/>
          <w:lang w:val="es-ES"/>
        </w:rPr>
        <w:t xml:space="preserve">tiene como propósito </w:t>
      </w:r>
      <w:r w:rsidRPr="00447943">
        <w:rPr>
          <w:rFonts w:ascii="Book Antiqua" w:hAnsi="Book Antiqua"/>
          <w:i/>
          <w:iCs/>
          <w:szCs w:val="24"/>
          <w:lang w:val="es-ES"/>
        </w:rPr>
        <w:t>“…</w:t>
      </w:r>
      <w:r w:rsidR="00447943" w:rsidRPr="00447943">
        <w:rPr>
          <w:rFonts w:ascii="Book Antiqua" w:hAnsi="Book Antiqua"/>
          <w:i/>
          <w:iCs/>
          <w:szCs w:val="24"/>
          <w:lang w:val="es-PR"/>
        </w:rPr>
        <w:t xml:space="preserve">enmendar los </w:t>
      </w:r>
      <w:r w:rsidR="00447943" w:rsidRPr="00447943">
        <w:rPr>
          <w:rFonts w:ascii="Book Antiqua" w:hAnsi="Book Antiqua"/>
          <w:i/>
          <w:iCs/>
          <w:szCs w:val="24"/>
          <w:lang w:val="es-419"/>
        </w:rPr>
        <w:t xml:space="preserve">artículos </w:t>
      </w:r>
      <w:r w:rsidR="00447943" w:rsidRPr="00447943">
        <w:rPr>
          <w:rFonts w:ascii="Book Antiqua" w:hAnsi="Book Antiqua"/>
          <w:i/>
          <w:iCs/>
          <w:szCs w:val="24"/>
          <w:lang w:val="es-PR"/>
        </w:rPr>
        <w:t xml:space="preserve">1.111-A, 2.14, 5.06, 10.15 y 10.16 de la Ley 22-2000, según enmendada, conocida como la “Ley de Vehículos y Tránsito de Puerto Rico”, a los fines de actualizar las normativas relacionadas con el uso de vehículos todo terreno, </w:t>
      </w:r>
      <w:bookmarkStart w:id="0" w:name="_Hlk193975203"/>
      <w:r w:rsidR="00447943" w:rsidRPr="00447943">
        <w:rPr>
          <w:rFonts w:ascii="Book Antiqua" w:hAnsi="Book Antiqua"/>
          <w:i/>
          <w:iCs/>
          <w:szCs w:val="24"/>
          <w:lang w:val="es-PR"/>
        </w:rPr>
        <w:t>modificar el procedimiento de renovación de marbete de las motocicletas</w:t>
      </w:r>
      <w:bookmarkEnd w:id="0"/>
      <w:r w:rsidR="00447943" w:rsidRPr="00447943">
        <w:rPr>
          <w:rFonts w:ascii="Book Antiqua" w:hAnsi="Book Antiqua"/>
          <w:i/>
          <w:iCs/>
          <w:szCs w:val="24"/>
          <w:lang w:val="es-PR"/>
        </w:rPr>
        <w:t>, y la prohibición de actividades peligrosas como las carreras y maniobras en las vías públicas; y para otros fines relacionados</w:t>
      </w:r>
      <w:r w:rsidRPr="00447943">
        <w:rPr>
          <w:rFonts w:ascii="Book Antiqua" w:hAnsi="Book Antiqua"/>
          <w:i/>
          <w:iCs/>
          <w:szCs w:val="24"/>
          <w:lang w:val="es-ES"/>
        </w:rPr>
        <w:t>”</w:t>
      </w:r>
      <w:r w:rsidRPr="00240422">
        <w:rPr>
          <w:rFonts w:ascii="Book Antiqua" w:hAnsi="Book Antiqua"/>
          <w:szCs w:val="24"/>
          <w:lang w:val="es-ES"/>
        </w:rPr>
        <w:t>.</w:t>
      </w:r>
    </w:p>
    <w:p w14:paraId="55299C5F" w14:textId="77777777" w:rsidR="00240422" w:rsidRPr="00240422" w:rsidRDefault="00240422" w:rsidP="00240422">
      <w:pPr>
        <w:tabs>
          <w:tab w:val="left" w:pos="0"/>
        </w:tabs>
        <w:jc w:val="both"/>
        <w:rPr>
          <w:rFonts w:ascii="Book Antiqua" w:hAnsi="Book Antiqua"/>
          <w:szCs w:val="24"/>
          <w:lang w:val="es-ES"/>
        </w:rPr>
      </w:pPr>
    </w:p>
    <w:p w14:paraId="3860D156" w14:textId="77777777" w:rsidR="00240422" w:rsidRPr="00240422" w:rsidRDefault="00240422" w:rsidP="00240422">
      <w:pPr>
        <w:tabs>
          <w:tab w:val="left" w:pos="0"/>
        </w:tabs>
        <w:ind w:firstLine="360"/>
        <w:jc w:val="both"/>
        <w:rPr>
          <w:rFonts w:ascii="Book Antiqua" w:hAnsi="Book Antiqua"/>
          <w:szCs w:val="24"/>
          <w:lang w:val="es-ES"/>
        </w:rPr>
      </w:pPr>
      <w:r w:rsidRPr="00240422">
        <w:rPr>
          <w:rFonts w:ascii="Book Antiqua" w:hAnsi="Book Antiqua"/>
          <w:szCs w:val="24"/>
          <w:lang w:val="es-ES"/>
        </w:rPr>
        <w:t>De entrada, es menester señalar la importancia que reviste al proyecto de autos. Estimamos que la Exposición de Motivos de la medida, explica por sí misma lo imperativo de aprobarse, al señalarnos que</w:t>
      </w:r>
    </w:p>
    <w:p w14:paraId="754BAE80" w14:textId="77777777" w:rsidR="00240422" w:rsidRPr="00240422" w:rsidRDefault="00240422" w:rsidP="00240422">
      <w:pPr>
        <w:tabs>
          <w:tab w:val="left" w:pos="0"/>
        </w:tabs>
        <w:ind w:firstLine="360"/>
        <w:jc w:val="both"/>
        <w:rPr>
          <w:rFonts w:ascii="Book Antiqua" w:hAnsi="Book Antiqua"/>
          <w:szCs w:val="24"/>
          <w:lang w:val="es-ES"/>
        </w:rPr>
      </w:pPr>
    </w:p>
    <w:p w14:paraId="668B6E0B" w14:textId="77777777" w:rsidR="00447943" w:rsidRPr="00447943" w:rsidRDefault="00240422" w:rsidP="00447943">
      <w:pPr>
        <w:tabs>
          <w:tab w:val="left" w:pos="720"/>
        </w:tabs>
        <w:ind w:left="720" w:right="720"/>
        <w:jc w:val="both"/>
        <w:rPr>
          <w:rFonts w:ascii="Book Antiqua" w:eastAsia="Calibri" w:hAnsi="Book Antiqua"/>
          <w:sz w:val="22"/>
          <w:szCs w:val="22"/>
          <w:lang w:val="es-PR"/>
        </w:rPr>
      </w:pPr>
      <w:r w:rsidRPr="00447943">
        <w:rPr>
          <w:rFonts w:ascii="Book Antiqua" w:hAnsi="Book Antiqua"/>
          <w:sz w:val="22"/>
          <w:szCs w:val="22"/>
          <w:lang w:val="es-ES"/>
        </w:rPr>
        <w:t>[</w:t>
      </w:r>
      <w:r w:rsidR="00447943" w:rsidRPr="00447943">
        <w:rPr>
          <w:rFonts w:ascii="Book Antiqua" w:hAnsi="Book Antiqua"/>
          <w:sz w:val="22"/>
          <w:szCs w:val="22"/>
          <w:lang w:val="es-ES"/>
        </w:rPr>
        <w:t xml:space="preserve">l]a </w:t>
      </w:r>
      <w:bookmarkStart w:id="1" w:name="_Hlk199167949"/>
      <w:r w:rsidR="00447943" w:rsidRPr="00447943">
        <w:rPr>
          <w:rFonts w:ascii="Book Antiqua" w:hAnsi="Book Antiqua"/>
          <w:sz w:val="22"/>
          <w:szCs w:val="22"/>
          <w:lang w:val="es-ES"/>
        </w:rPr>
        <w:t xml:space="preserve">Ley </w:t>
      </w:r>
      <w:r w:rsidR="00447943" w:rsidRPr="00447943">
        <w:rPr>
          <w:rFonts w:ascii="Book Antiqua" w:eastAsia="Calibri" w:hAnsi="Book Antiqua"/>
          <w:sz w:val="22"/>
          <w:szCs w:val="22"/>
          <w:lang w:val="es-PR"/>
        </w:rPr>
        <w:t xml:space="preserve">22-2000, según enmendada, conocida como la “Ley de Vehículos y Tránsito de Puerto Rico”, establece las normativas generales sobre el tránsito y el uso de vehículos en la isla, pero, como toda legislación, necesita ser adaptada a los cambios en las dinámicas sociales, tecnológicas y medioambientales que enfrenta Puerto Rico. En este contexto, el propósito de esta medida es enmendar varios artículos de la Ley 22-2000, en particular aquellos que se refieren al uso de vehículos todo terreno, modificar el procedimiento de renovación de marbete de </w:t>
      </w:r>
      <w:r w:rsidR="00447943" w:rsidRPr="00447943">
        <w:rPr>
          <w:rFonts w:ascii="Book Antiqua" w:eastAsia="Calibri" w:hAnsi="Book Antiqua"/>
          <w:sz w:val="22"/>
          <w:szCs w:val="22"/>
          <w:lang w:val="es-PR"/>
        </w:rPr>
        <w:lastRenderedPageBreak/>
        <w:t>las motocicletas, la regulación de actividades peligrosas, como las corridas ilegales y las maniobras de alto riesgo en las vías públicas.</w:t>
      </w:r>
      <w:bookmarkStart w:id="2" w:name="_Hlk193975333"/>
    </w:p>
    <w:p w14:paraId="1D19D77C"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p>
    <w:p w14:paraId="7A97DB4E"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r w:rsidRPr="00447943">
        <w:rPr>
          <w:rFonts w:ascii="Book Antiqua" w:eastAsia="Calibri" w:hAnsi="Book Antiqua"/>
          <w:sz w:val="22"/>
          <w:szCs w:val="22"/>
          <w:lang w:val="es-PR"/>
        </w:rPr>
        <w:t>El 25 de enero de 2025, se presentó ante la Cámara de Representante de Puerto Rico, la Resolución de la Cámara Núm. 85, con el propósito de realizar una investigación sobre las prácticas ilegales de conducción temeraria que ocurren durante las corridas ilegales de motoras, incluyendo acrobacias y maniobras peligrosas que los conductores realizan en las carreteras públicas de Puerto Rico. Esta investigación tiene como objetivo evaluar los peligros asociados a las maniobras realizadas en las vías públicas, las estadísticas de accidentes de tránsito, la efectividad de las sanciones actuales y la viabilidad de nuevas medidas legislativas que fortalezcan la seguridad vial.</w:t>
      </w:r>
      <w:bookmarkStart w:id="3" w:name="_Hlk193975852"/>
      <w:bookmarkEnd w:id="2"/>
    </w:p>
    <w:p w14:paraId="6182131A"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p>
    <w:p w14:paraId="1344DF31"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r w:rsidRPr="00447943">
        <w:rPr>
          <w:rFonts w:ascii="Book Antiqua" w:eastAsia="Calibri" w:hAnsi="Book Antiqua"/>
          <w:sz w:val="22"/>
          <w:szCs w:val="22"/>
          <w:lang w:val="es-PR"/>
        </w:rPr>
        <w:t>Cabe mencionar que, en virtud de la Resolución de la Cámara Núm. 85, se celebraron dos vistas públicas en las que participaron diversas agencias gubernamentales responsables de la seguridad vial y la fiscalización del tránsito, así como representantes de los motociclistas y otros actores relevantes del sector.</w:t>
      </w:r>
      <w:bookmarkEnd w:id="3"/>
      <w:r w:rsidRPr="00447943">
        <w:rPr>
          <w:rFonts w:ascii="Book Antiqua" w:eastAsia="Calibri" w:hAnsi="Book Antiqua"/>
          <w:sz w:val="22"/>
          <w:szCs w:val="22"/>
          <w:lang w:val="es-PR"/>
        </w:rPr>
        <w:t xml:space="preserve"> Estas vistas públicas fueron esenciales para conocer de primera mano las preocupaciones y propuestas tanto de las autoridades como de los motociclistas, quienes expusieron sus puntos de vista sobre cómo se puede mejorar la legislación y la fiscalización para garantizar la seguridad de todos los usuarios de las vías públicas.</w:t>
      </w:r>
    </w:p>
    <w:p w14:paraId="4697C161"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p>
    <w:p w14:paraId="7EE7934A"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r w:rsidRPr="00447943">
        <w:rPr>
          <w:rFonts w:ascii="Book Antiqua" w:eastAsia="Calibri" w:hAnsi="Book Antiqua"/>
          <w:sz w:val="22"/>
          <w:szCs w:val="22"/>
          <w:lang w:val="es-PR"/>
        </w:rPr>
        <w:t>Por tanto, esta Ley se presenta como una respuesta integral a la Resolución de la Cámara 85, cuyo objetivo es actualizar la Ley 22-2000 para hacer frente a los problemas relacionados con el uso de vehículos todo terreno, la seguridad de los conductores y las maniobras ilegales. Se busca proporcionar a las autoridades las herramientas necesarias para proteger la seguridad vial, el orden público y el medio ambiente, promoviendo un sistema de tránsito más seguro y eficiente.</w:t>
      </w:r>
      <w:bookmarkStart w:id="4" w:name="_Hlk193976377"/>
    </w:p>
    <w:p w14:paraId="4DB68DC5"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p>
    <w:p w14:paraId="727AEA43"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r w:rsidRPr="00447943">
        <w:rPr>
          <w:rFonts w:ascii="Book Antiqua" w:eastAsia="Calibri" w:hAnsi="Book Antiqua"/>
          <w:sz w:val="22"/>
          <w:szCs w:val="22"/>
          <w:lang w:val="es-PR"/>
        </w:rPr>
        <w:t>Sin duda, es necesario adaptar la Ley 22-2000 a las nuevas realidades sociales y de seguridad. Las enmiendas propuestas refuerzan las normativas existentes, mejorando las sanciones y ajustando las reglas para promover una cultura de respeto y seguridad en las vías públicas</w:t>
      </w:r>
      <w:bookmarkEnd w:id="4"/>
      <w:r w:rsidRPr="00447943">
        <w:rPr>
          <w:rFonts w:ascii="Book Antiqua" w:eastAsia="Calibri" w:hAnsi="Book Antiqua"/>
          <w:sz w:val="22"/>
          <w:szCs w:val="22"/>
          <w:lang w:val="es-PR"/>
        </w:rPr>
        <w:t xml:space="preserve">. De esta forma, </w:t>
      </w:r>
      <w:bookmarkStart w:id="5" w:name="_Hlk193976623"/>
      <w:r w:rsidRPr="00447943">
        <w:rPr>
          <w:rFonts w:ascii="Book Antiqua" w:eastAsia="Calibri" w:hAnsi="Book Antiqua"/>
          <w:sz w:val="22"/>
          <w:szCs w:val="22"/>
          <w:lang w:val="es-PR"/>
        </w:rPr>
        <w:t>se pretende garantizar que la Ley 22-2000 sea más efectiva en la prevención de conductas peligrosas y la reducción de accidentes viales, lo que contribuirá a un ambiente más seguro para todos los ciudadanos.</w:t>
      </w:r>
      <w:bookmarkEnd w:id="5"/>
    </w:p>
    <w:p w14:paraId="10AE16CF" w14:textId="77777777" w:rsidR="00447943" w:rsidRPr="00447943" w:rsidRDefault="00447943" w:rsidP="00447943">
      <w:pPr>
        <w:tabs>
          <w:tab w:val="left" w:pos="720"/>
        </w:tabs>
        <w:ind w:left="720" w:right="720"/>
        <w:jc w:val="both"/>
        <w:rPr>
          <w:rFonts w:ascii="Book Antiqua" w:eastAsia="Calibri" w:hAnsi="Book Antiqua"/>
          <w:sz w:val="22"/>
          <w:szCs w:val="22"/>
          <w:lang w:val="es-PR"/>
        </w:rPr>
      </w:pPr>
    </w:p>
    <w:p w14:paraId="376ABF4E" w14:textId="3BD31FC4" w:rsidR="00240422" w:rsidRDefault="00447943" w:rsidP="00240422">
      <w:pPr>
        <w:tabs>
          <w:tab w:val="left" w:pos="720"/>
        </w:tabs>
        <w:ind w:left="720" w:right="720"/>
        <w:jc w:val="both"/>
        <w:rPr>
          <w:rFonts w:ascii="Book Antiqua" w:eastAsia="Calibri" w:hAnsi="Book Antiqua"/>
          <w:sz w:val="22"/>
          <w:szCs w:val="22"/>
          <w:lang w:val="es-PR"/>
        </w:rPr>
      </w:pPr>
      <w:r w:rsidRPr="00447943">
        <w:rPr>
          <w:rFonts w:ascii="Book Antiqua" w:eastAsia="Calibri" w:hAnsi="Book Antiqua"/>
          <w:sz w:val="22"/>
          <w:szCs w:val="22"/>
          <w:lang w:val="es-PR"/>
        </w:rPr>
        <w:t>Así las cosas, esta Asamblea Legislativa tiene la responsabilidad de establecer disposiciones más contundentes para evitar que continúen proliferando las conductas que representan un serio peligro para la vida y seguridad de las personas en Puerto Rico. En virtud de esto, las modificaciones propuestas en esta medida buscan ser un paso crucial hacia un futuro más seguro en nuestras carreteras.</w:t>
      </w:r>
      <w:bookmarkEnd w:id="1"/>
    </w:p>
    <w:p w14:paraId="32232A78" w14:textId="77777777" w:rsidR="00447943" w:rsidRPr="00240422" w:rsidRDefault="00447943" w:rsidP="00240422">
      <w:pPr>
        <w:tabs>
          <w:tab w:val="left" w:pos="720"/>
        </w:tabs>
        <w:ind w:left="720" w:right="720"/>
        <w:jc w:val="both"/>
        <w:rPr>
          <w:rFonts w:ascii="Book Antiqua" w:hAnsi="Book Antiqua"/>
          <w:sz w:val="22"/>
          <w:szCs w:val="22"/>
          <w:lang w:val="es-PR"/>
        </w:rPr>
      </w:pPr>
    </w:p>
    <w:p w14:paraId="1539F62B" w14:textId="1014C423" w:rsidR="00240422" w:rsidRPr="00240422" w:rsidRDefault="00061786" w:rsidP="00240422">
      <w:pPr>
        <w:tabs>
          <w:tab w:val="left" w:pos="0"/>
        </w:tabs>
        <w:ind w:firstLine="360"/>
        <w:jc w:val="both"/>
        <w:rPr>
          <w:rFonts w:ascii="Book Antiqua" w:hAnsi="Book Antiqua"/>
          <w:szCs w:val="24"/>
          <w:lang w:val="es-ES"/>
        </w:rPr>
      </w:pPr>
      <w:r>
        <w:rPr>
          <w:rFonts w:ascii="Book Antiqua" w:hAnsi="Book Antiqua"/>
          <w:szCs w:val="24"/>
          <w:lang w:val="es-ES"/>
        </w:rPr>
        <w:lastRenderedPageBreak/>
        <w:t>Dicho lo anterior</w:t>
      </w:r>
      <w:r w:rsidR="00447943">
        <w:rPr>
          <w:rFonts w:ascii="Book Antiqua" w:hAnsi="Book Antiqua"/>
          <w:szCs w:val="24"/>
          <w:lang w:val="es-ES"/>
        </w:rPr>
        <w:t xml:space="preserve">, el proyecto aquí informado persigue </w:t>
      </w:r>
      <w:r w:rsidR="00447943" w:rsidRPr="00447943">
        <w:rPr>
          <w:rFonts w:ascii="Book Antiqua" w:hAnsi="Book Antiqua"/>
          <w:szCs w:val="24"/>
          <w:lang w:val="es-ES"/>
        </w:rPr>
        <w:t>actualizar las normativas relacionadas con el uso de vehículos todo terreno, modificar el procedimiento de renovación de marbete de las motocicletas, y la prohibición de actividades peligrosas como las carreras y maniobras en las vías públicas</w:t>
      </w:r>
      <w:r w:rsidR="00240422" w:rsidRPr="00240422">
        <w:rPr>
          <w:rFonts w:ascii="Book Antiqua" w:hAnsi="Book Antiqua"/>
          <w:szCs w:val="24"/>
          <w:lang w:val="es-ES"/>
        </w:rPr>
        <w:t>.</w:t>
      </w:r>
    </w:p>
    <w:p w14:paraId="48A97351" w14:textId="77777777" w:rsidR="00447943" w:rsidRDefault="00447943" w:rsidP="00240422">
      <w:pPr>
        <w:tabs>
          <w:tab w:val="left" w:pos="0"/>
        </w:tabs>
        <w:ind w:firstLine="360"/>
        <w:jc w:val="center"/>
        <w:rPr>
          <w:rFonts w:ascii="Book Antiqua" w:hAnsi="Book Antiqua"/>
          <w:b/>
          <w:szCs w:val="24"/>
          <w:lang w:val="es-ES"/>
        </w:rPr>
      </w:pPr>
    </w:p>
    <w:p w14:paraId="4AFEA116" w14:textId="0D351669" w:rsidR="00240422" w:rsidRPr="00240422" w:rsidRDefault="00240422" w:rsidP="00240422">
      <w:pPr>
        <w:tabs>
          <w:tab w:val="left" w:pos="0"/>
        </w:tabs>
        <w:ind w:firstLine="360"/>
        <w:jc w:val="center"/>
        <w:rPr>
          <w:rFonts w:ascii="Book Antiqua" w:hAnsi="Book Antiqua"/>
          <w:b/>
          <w:szCs w:val="24"/>
          <w:lang w:val="es-ES"/>
        </w:rPr>
      </w:pPr>
      <w:r w:rsidRPr="00240422">
        <w:rPr>
          <w:rFonts w:ascii="Book Antiqua" w:hAnsi="Book Antiqua"/>
          <w:b/>
          <w:szCs w:val="24"/>
          <w:lang w:val="es-ES"/>
        </w:rPr>
        <w:t>ANÁLISIS DE LA MEDIDA</w:t>
      </w:r>
    </w:p>
    <w:p w14:paraId="13E69682" w14:textId="77777777" w:rsidR="00240422" w:rsidRDefault="00240422" w:rsidP="00240422">
      <w:pPr>
        <w:tabs>
          <w:tab w:val="left" w:pos="0"/>
        </w:tabs>
        <w:ind w:firstLine="360"/>
        <w:jc w:val="both"/>
        <w:rPr>
          <w:rFonts w:ascii="Book Antiqua" w:hAnsi="Book Antiqua"/>
          <w:szCs w:val="24"/>
          <w:lang w:val="es-ES"/>
        </w:rPr>
      </w:pPr>
    </w:p>
    <w:p w14:paraId="00E1B68E" w14:textId="06A98CB0" w:rsidR="00447943" w:rsidRDefault="00240422" w:rsidP="00240422">
      <w:pPr>
        <w:tabs>
          <w:tab w:val="left" w:pos="0"/>
        </w:tabs>
        <w:ind w:firstLine="360"/>
        <w:jc w:val="both"/>
        <w:rPr>
          <w:rFonts w:ascii="Book Antiqua" w:hAnsi="Book Antiqua"/>
          <w:szCs w:val="24"/>
          <w:lang w:val="es-ES"/>
        </w:rPr>
      </w:pPr>
      <w:r w:rsidRPr="00240422">
        <w:rPr>
          <w:rFonts w:ascii="Book Antiqua" w:hAnsi="Book Antiqua"/>
          <w:szCs w:val="24"/>
          <w:lang w:val="es-ES"/>
        </w:rPr>
        <w:t xml:space="preserve">Para la debida evaluación del proyecto de marras, se contó con los comentarios </w:t>
      </w:r>
      <w:r w:rsidR="00447943">
        <w:rPr>
          <w:rFonts w:ascii="Book Antiqua" w:hAnsi="Book Antiqua"/>
          <w:szCs w:val="24"/>
          <w:lang w:val="es-ES"/>
        </w:rPr>
        <w:t xml:space="preserve">de </w:t>
      </w:r>
      <w:r w:rsidR="00865639">
        <w:rPr>
          <w:rFonts w:ascii="Book Antiqua" w:hAnsi="Book Antiqua"/>
          <w:szCs w:val="24"/>
          <w:lang w:val="es-ES"/>
        </w:rPr>
        <w:t xml:space="preserve">la </w:t>
      </w:r>
      <w:r w:rsidR="00865639" w:rsidRPr="00447943">
        <w:rPr>
          <w:rFonts w:ascii="Book Antiqua" w:hAnsi="Book Antiqua"/>
          <w:szCs w:val="24"/>
          <w:lang w:val="es-ES"/>
        </w:rPr>
        <w:t>Administración</w:t>
      </w:r>
      <w:r w:rsidR="00447943" w:rsidRPr="00447943">
        <w:rPr>
          <w:rFonts w:ascii="Book Antiqua" w:hAnsi="Book Antiqua"/>
          <w:szCs w:val="24"/>
          <w:lang w:val="es-ES"/>
        </w:rPr>
        <w:t xml:space="preserve"> de Compensaciones por Accidentes de Automóviles</w:t>
      </w:r>
      <w:r w:rsidR="00447943">
        <w:rPr>
          <w:rFonts w:ascii="Book Antiqua" w:hAnsi="Book Antiqua"/>
          <w:szCs w:val="24"/>
          <w:lang w:val="es-ES"/>
        </w:rPr>
        <w:t>, de la Comisión para la Seguridad en el Tránsito, los departamentos de Seguridad Pública; y de Transportación y Obras Públicas</w:t>
      </w:r>
      <w:r w:rsidR="00865639">
        <w:rPr>
          <w:rFonts w:ascii="Book Antiqua" w:hAnsi="Book Antiqua"/>
          <w:szCs w:val="24"/>
          <w:lang w:val="es-ES"/>
        </w:rPr>
        <w:t xml:space="preserve">. </w:t>
      </w:r>
    </w:p>
    <w:p w14:paraId="79A7BB73" w14:textId="77777777" w:rsidR="00865639" w:rsidRDefault="00865639" w:rsidP="00240422">
      <w:pPr>
        <w:tabs>
          <w:tab w:val="left" w:pos="0"/>
        </w:tabs>
        <w:ind w:firstLine="360"/>
        <w:jc w:val="both"/>
        <w:rPr>
          <w:rFonts w:ascii="Book Antiqua" w:hAnsi="Book Antiqua"/>
          <w:szCs w:val="24"/>
          <w:lang w:val="es-ES"/>
        </w:rPr>
      </w:pPr>
    </w:p>
    <w:p w14:paraId="1E7D0CE6" w14:textId="77777777" w:rsidR="00865639" w:rsidRDefault="00865639" w:rsidP="00240422">
      <w:pPr>
        <w:tabs>
          <w:tab w:val="left" w:pos="0"/>
        </w:tabs>
        <w:ind w:firstLine="360"/>
        <w:jc w:val="both"/>
        <w:rPr>
          <w:rFonts w:ascii="Book Antiqua" w:hAnsi="Book Antiqua"/>
          <w:szCs w:val="24"/>
          <w:lang w:val="es-ES"/>
        </w:rPr>
      </w:pPr>
      <w:r>
        <w:rPr>
          <w:rFonts w:ascii="Book Antiqua" w:hAnsi="Book Antiqua"/>
          <w:szCs w:val="24"/>
          <w:lang w:val="es-ES"/>
        </w:rPr>
        <w:t xml:space="preserve">En el caso de la </w:t>
      </w:r>
      <w:r w:rsidRPr="00865639">
        <w:rPr>
          <w:rFonts w:ascii="Book Antiqua" w:hAnsi="Book Antiqua"/>
          <w:szCs w:val="24"/>
          <w:lang w:val="es-ES"/>
        </w:rPr>
        <w:t>Administración de Compensaciones por Accidentes de Automóviles</w:t>
      </w:r>
      <w:r>
        <w:rPr>
          <w:rFonts w:ascii="Book Antiqua" w:hAnsi="Book Antiqua"/>
          <w:szCs w:val="24"/>
          <w:lang w:val="es-ES"/>
        </w:rPr>
        <w:t>, indicaron reconocer</w:t>
      </w:r>
    </w:p>
    <w:p w14:paraId="347CEE79" w14:textId="77777777" w:rsidR="00865639" w:rsidRDefault="00865639" w:rsidP="00240422">
      <w:pPr>
        <w:tabs>
          <w:tab w:val="left" w:pos="0"/>
        </w:tabs>
        <w:ind w:firstLine="360"/>
        <w:jc w:val="both"/>
        <w:rPr>
          <w:rFonts w:ascii="Book Antiqua" w:hAnsi="Book Antiqua"/>
          <w:szCs w:val="24"/>
          <w:lang w:val="es-ES"/>
        </w:rPr>
      </w:pPr>
    </w:p>
    <w:p w14:paraId="4D88F558" w14:textId="0C20B69F" w:rsidR="00865639" w:rsidRPr="00865639" w:rsidRDefault="00865639" w:rsidP="00865639">
      <w:pPr>
        <w:tabs>
          <w:tab w:val="left" w:pos="720"/>
        </w:tabs>
        <w:ind w:left="720" w:right="720"/>
        <w:jc w:val="both"/>
        <w:rPr>
          <w:rFonts w:ascii="Book Antiqua" w:hAnsi="Book Antiqua"/>
          <w:sz w:val="22"/>
          <w:szCs w:val="22"/>
          <w:lang w:val="es-ES"/>
        </w:rPr>
      </w:pPr>
      <w:r w:rsidRPr="00865639">
        <w:rPr>
          <w:rFonts w:ascii="Book Antiqua" w:hAnsi="Book Antiqua"/>
          <w:sz w:val="22"/>
          <w:szCs w:val="22"/>
          <w:lang w:val="es-ES"/>
        </w:rPr>
        <w:t xml:space="preserve">…el propósito meritorio tras la redacción del P. de la C. 375 en su origen, </w:t>
      </w:r>
      <w:r w:rsidRPr="00C278ED">
        <w:rPr>
          <w:rFonts w:ascii="Book Antiqua" w:hAnsi="Book Antiqua"/>
          <w:b/>
          <w:bCs/>
          <w:sz w:val="22"/>
          <w:szCs w:val="22"/>
          <w:u w:val="single"/>
          <w:lang w:val="es-ES"/>
        </w:rPr>
        <w:t>por lo que expresa su apoyo y favorece el aumento a las cuantías para las sanciones económicas a las violaciones de la Ley Núm. 22-2000, según enmendada.</w:t>
      </w:r>
      <w:r w:rsidRPr="00865639">
        <w:rPr>
          <w:rFonts w:ascii="Book Antiqua" w:hAnsi="Book Antiqua"/>
          <w:sz w:val="22"/>
          <w:szCs w:val="22"/>
          <w:lang w:val="es-ES"/>
        </w:rPr>
        <w:t xml:space="preserve"> Encarecer las sanciones económicas a las violaciones de tránsito por sí solo no es ideal, lo ideal sería que todos los conductores acatemos las leyes de tránsito y podarnos convivir tranquilamente en las carreteras de nuestro país, pero ante la falta de observancia, son necesarias las medidas disuasivas para que los conductores lo piensen dos veces antes de incurrir consciente y voluntariamente en una violación a las leyes de tránsito. Ante esto, solicitamos que la Cámara de Representantes proceda con las enmiendas contempladas en el P. de la C. 375 enviada por la Comisión de Transportación e Infraestructura de la Cámara de Puerto Rico. </w:t>
      </w:r>
      <w:r w:rsidR="00C278ED">
        <w:rPr>
          <w:rFonts w:ascii="Book Antiqua" w:hAnsi="Book Antiqua"/>
          <w:sz w:val="22"/>
          <w:szCs w:val="22"/>
          <w:lang w:val="es-ES"/>
        </w:rPr>
        <w:t>(Énfasis nuestro)</w:t>
      </w:r>
    </w:p>
    <w:p w14:paraId="1F33F884" w14:textId="77777777" w:rsidR="00447943" w:rsidRDefault="00447943" w:rsidP="00240422">
      <w:pPr>
        <w:tabs>
          <w:tab w:val="left" w:pos="0"/>
        </w:tabs>
        <w:ind w:firstLine="360"/>
        <w:jc w:val="both"/>
        <w:rPr>
          <w:rFonts w:ascii="Book Antiqua" w:hAnsi="Book Antiqua"/>
          <w:szCs w:val="24"/>
          <w:lang w:val="es-ES"/>
        </w:rPr>
      </w:pPr>
    </w:p>
    <w:p w14:paraId="2FAFA203" w14:textId="1B2C6D12" w:rsidR="00447943" w:rsidRDefault="00865639" w:rsidP="00240422">
      <w:pPr>
        <w:tabs>
          <w:tab w:val="left" w:pos="0"/>
        </w:tabs>
        <w:ind w:firstLine="360"/>
        <w:jc w:val="both"/>
        <w:rPr>
          <w:rFonts w:ascii="Book Antiqua" w:hAnsi="Book Antiqua"/>
          <w:szCs w:val="24"/>
          <w:lang w:val="es-ES"/>
        </w:rPr>
      </w:pPr>
      <w:r>
        <w:rPr>
          <w:rFonts w:ascii="Book Antiqua" w:hAnsi="Book Antiqua"/>
          <w:szCs w:val="24"/>
          <w:lang w:val="es-ES"/>
        </w:rPr>
        <w:t xml:space="preserve">De otro lado, </w:t>
      </w:r>
      <w:r w:rsidRPr="00865639">
        <w:rPr>
          <w:rFonts w:ascii="Book Antiqua" w:hAnsi="Book Antiqua"/>
          <w:szCs w:val="24"/>
          <w:lang w:val="es-ES"/>
        </w:rPr>
        <w:t>la Comisión para la Seguridad en el Tránsito</w:t>
      </w:r>
      <w:r>
        <w:rPr>
          <w:rFonts w:ascii="Book Antiqua" w:hAnsi="Book Antiqua"/>
          <w:szCs w:val="24"/>
          <w:lang w:val="es-ES"/>
        </w:rPr>
        <w:t xml:space="preserve"> acotó que </w:t>
      </w:r>
    </w:p>
    <w:p w14:paraId="31D5C394" w14:textId="77777777" w:rsidR="00865639" w:rsidRDefault="00865639" w:rsidP="00240422">
      <w:pPr>
        <w:tabs>
          <w:tab w:val="left" w:pos="0"/>
        </w:tabs>
        <w:ind w:firstLine="360"/>
        <w:jc w:val="both"/>
        <w:rPr>
          <w:rFonts w:ascii="Book Antiqua" w:hAnsi="Book Antiqua"/>
          <w:szCs w:val="24"/>
          <w:lang w:val="es-ES"/>
        </w:rPr>
      </w:pPr>
    </w:p>
    <w:p w14:paraId="7532CE75" w14:textId="6363659F" w:rsidR="00865639" w:rsidRPr="00C278ED" w:rsidRDefault="00C278ED" w:rsidP="00865639">
      <w:pPr>
        <w:tabs>
          <w:tab w:val="left" w:pos="720"/>
        </w:tabs>
        <w:ind w:left="720" w:right="720"/>
        <w:jc w:val="both"/>
        <w:rPr>
          <w:rFonts w:ascii="Book Antiqua" w:hAnsi="Book Antiqua"/>
          <w:sz w:val="22"/>
          <w:szCs w:val="22"/>
          <w:lang w:val="es-ES"/>
        </w:rPr>
      </w:pPr>
      <w:r w:rsidRPr="00C278ED">
        <w:rPr>
          <w:rFonts w:ascii="Book Antiqua" w:hAnsi="Book Antiqua"/>
          <w:sz w:val="22"/>
          <w:szCs w:val="22"/>
          <w:lang w:val="es-ES"/>
        </w:rPr>
        <w:t>[e]</w:t>
      </w:r>
      <w:r w:rsidR="00865639" w:rsidRPr="00C278ED">
        <w:rPr>
          <w:rFonts w:ascii="Book Antiqua" w:hAnsi="Book Antiqua"/>
          <w:sz w:val="22"/>
          <w:szCs w:val="22"/>
          <w:lang w:val="es-ES"/>
        </w:rPr>
        <w:t>l P. de la C. 375 se fundamenta en la conclusión de que la Ley Núm. 22-2000, según enmendada, conocida como la "Ley de Vehículos y Tránsito de Puerto Rico", establece las normativas generales sobre el tránsito y el uso de vehículos en la isla, pero, como toda legislación, necesita ser adaptada a los cambios en las dinámicas sociales, tecnológicas y, medioambientales que enfrenta Puerto Rico.</w:t>
      </w:r>
    </w:p>
    <w:p w14:paraId="697A0375" w14:textId="77777777" w:rsidR="00C278ED" w:rsidRPr="00C278ED" w:rsidRDefault="00C278ED" w:rsidP="00865639">
      <w:pPr>
        <w:tabs>
          <w:tab w:val="left" w:pos="720"/>
        </w:tabs>
        <w:ind w:left="720" w:right="720"/>
        <w:jc w:val="both"/>
        <w:rPr>
          <w:rFonts w:ascii="Book Antiqua" w:hAnsi="Book Antiqua"/>
          <w:sz w:val="22"/>
          <w:szCs w:val="22"/>
          <w:lang w:val="es-ES"/>
        </w:rPr>
      </w:pPr>
    </w:p>
    <w:p w14:paraId="39EF94A7" w14:textId="296A50AF" w:rsidR="00C278ED" w:rsidRPr="00C278ED" w:rsidRDefault="00865639" w:rsidP="00865639">
      <w:pPr>
        <w:tabs>
          <w:tab w:val="left" w:pos="720"/>
        </w:tabs>
        <w:ind w:left="720" w:right="720"/>
        <w:jc w:val="both"/>
        <w:rPr>
          <w:rFonts w:ascii="Book Antiqua" w:hAnsi="Book Antiqua"/>
          <w:sz w:val="22"/>
          <w:szCs w:val="22"/>
          <w:lang w:val="es-ES"/>
        </w:rPr>
      </w:pPr>
      <w:r w:rsidRPr="00C278ED">
        <w:rPr>
          <w:rFonts w:ascii="Book Antiqua" w:hAnsi="Book Antiqua"/>
          <w:sz w:val="22"/>
          <w:szCs w:val="22"/>
          <w:lang w:val="es-ES"/>
        </w:rPr>
        <w:t>Con dicho objetivo, mediante el proyecto de ley que nos ocupa se propone agregar a la definición de "vehículo todo terreno"</w:t>
      </w:r>
      <w:r w:rsidR="00C278ED" w:rsidRPr="00C278ED">
        <w:rPr>
          <w:rFonts w:ascii="Book Antiqua" w:hAnsi="Book Antiqua"/>
          <w:sz w:val="22"/>
          <w:szCs w:val="22"/>
          <w:lang w:val="es-ES"/>
        </w:rPr>
        <w:t xml:space="preserve"> </w:t>
      </w:r>
      <w:r w:rsidRPr="00C278ED">
        <w:rPr>
          <w:rFonts w:ascii="Book Antiqua" w:hAnsi="Book Antiqua"/>
          <w:sz w:val="22"/>
          <w:szCs w:val="22"/>
          <w:lang w:val="es-ES"/>
        </w:rPr>
        <w:t>vehículos de motor de dos ruedas. Además, disponer que en los casos en que se pretenda renovar el marbete de una motocicleta, será obligatorio contar con el endoso M</w:t>
      </w:r>
      <w:r w:rsidR="00C278ED" w:rsidRPr="00C278ED">
        <w:rPr>
          <w:rFonts w:ascii="Book Antiqua" w:hAnsi="Book Antiqua"/>
          <w:sz w:val="22"/>
          <w:szCs w:val="22"/>
          <w:lang w:val="es-ES"/>
        </w:rPr>
        <w:t>1</w:t>
      </w:r>
      <w:r w:rsidRPr="00C278ED">
        <w:rPr>
          <w:rFonts w:ascii="Book Antiqua" w:hAnsi="Book Antiqua"/>
          <w:sz w:val="22"/>
          <w:szCs w:val="22"/>
          <w:lang w:val="es-ES"/>
        </w:rPr>
        <w:t xml:space="preserve"> o, M2.</w:t>
      </w:r>
    </w:p>
    <w:p w14:paraId="5EA7963C" w14:textId="77777777" w:rsidR="00C278ED" w:rsidRPr="00C278ED" w:rsidRDefault="00C278ED" w:rsidP="00865639">
      <w:pPr>
        <w:tabs>
          <w:tab w:val="left" w:pos="720"/>
        </w:tabs>
        <w:ind w:left="720" w:right="720"/>
        <w:jc w:val="both"/>
        <w:rPr>
          <w:rFonts w:ascii="Book Antiqua" w:hAnsi="Book Antiqua"/>
          <w:sz w:val="22"/>
          <w:szCs w:val="22"/>
          <w:lang w:val="es-ES"/>
        </w:rPr>
      </w:pPr>
    </w:p>
    <w:p w14:paraId="795F73F6" w14:textId="7EC835B3" w:rsidR="00865639" w:rsidRPr="00C278ED" w:rsidRDefault="00865639" w:rsidP="00865639">
      <w:pPr>
        <w:tabs>
          <w:tab w:val="left" w:pos="720"/>
        </w:tabs>
        <w:ind w:left="720" w:right="720"/>
        <w:jc w:val="both"/>
        <w:rPr>
          <w:rFonts w:ascii="Book Antiqua" w:hAnsi="Book Antiqua"/>
          <w:sz w:val="22"/>
          <w:szCs w:val="22"/>
          <w:lang w:val="es-ES"/>
        </w:rPr>
      </w:pPr>
      <w:r w:rsidRPr="00C278ED">
        <w:rPr>
          <w:rFonts w:ascii="Book Antiqua" w:hAnsi="Book Antiqua"/>
          <w:sz w:val="22"/>
          <w:szCs w:val="22"/>
          <w:lang w:val="es-ES"/>
        </w:rPr>
        <w:t>Por otro lado, se dispone para la prohibición de ejecutar "wheelies", "stoppies",</w:t>
      </w:r>
      <w:r w:rsidR="00C278ED" w:rsidRPr="00C278ED">
        <w:rPr>
          <w:rFonts w:ascii="Book Antiqua" w:hAnsi="Book Antiqua"/>
          <w:sz w:val="22"/>
          <w:szCs w:val="22"/>
          <w:lang w:val="es-ES"/>
        </w:rPr>
        <w:t xml:space="preserve"> </w:t>
      </w:r>
      <w:r w:rsidRPr="00C278ED">
        <w:rPr>
          <w:rFonts w:ascii="Book Antiqua" w:hAnsi="Book Antiqua"/>
          <w:sz w:val="22"/>
          <w:szCs w:val="22"/>
          <w:lang w:val="es-ES"/>
        </w:rPr>
        <w:t xml:space="preserve">"burnouts" o cualquiera actividad similar en las carreteras estatales y municipales de Puerto Rico cuando las mismas no sean autorizadas por el secretario. Asimismo, mediante el proyecto de ley se requeriría que todo motociclista y </w:t>
      </w:r>
      <w:r w:rsidRPr="00C278ED">
        <w:rPr>
          <w:rFonts w:ascii="Book Antiqua" w:hAnsi="Book Antiqua"/>
          <w:sz w:val="22"/>
          <w:szCs w:val="22"/>
          <w:lang w:val="es-ES"/>
        </w:rPr>
        <w:lastRenderedPageBreak/>
        <w:t>pasajero utilice un chaleco o cinta reflectiva cuando opere su motocicleta entre las seis de la tarde (6:00 pm) y las seis de la mañana (6:00</w:t>
      </w:r>
      <w:r w:rsidR="00C278ED" w:rsidRPr="00C278ED">
        <w:rPr>
          <w:rFonts w:ascii="Book Antiqua" w:hAnsi="Book Antiqua"/>
          <w:sz w:val="22"/>
          <w:szCs w:val="22"/>
          <w:lang w:val="es-ES"/>
        </w:rPr>
        <w:t xml:space="preserve"> </w:t>
      </w:r>
      <w:r w:rsidRPr="00C278ED">
        <w:rPr>
          <w:rFonts w:ascii="Book Antiqua" w:hAnsi="Book Antiqua"/>
          <w:sz w:val="22"/>
          <w:szCs w:val="22"/>
          <w:lang w:val="es-ES"/>
        </w:rPr>
        <w:t>am).</w:t>
      </w:r>
    </w:p>
    <w:p w14:paraId="47A7C7CE" w14:textId="77777777" w:rsidR="00C278ED" w:rsidRPr="00C278ED" w:rsidRDefault="00C278ED" w:rsidP="00865639">
      <w:pPr>
        <w:tabs>
          <w:tab w:val="left" w:pos="720"/>
        </w:tabs>
        <w:ind w:left="720" w:right="720"/>
        <w:jc w:val="both"/>
        <w:rPr>
          <w:rFonts w:ascii="Book Antiqua" w:hAnsi="Book Antiqua"/>
          <w:sz w:val="22"/>
          <w:szCs w:val="22"/>
          <w:lang w:val="es-ES"/>
        </w:rPr>
      </w:pPr>
    </w:p>
    <w:p w14:paraId="7578B4AD" w14:textId="325F3862" w:rsidR="00865639" w:rsidRPr="00C278ED" w:rsidRDefault="00865639" w:rsidP="00865639">
      <w:pPr>
        <w:tabs>
          <w:tab w:val="left" w:pos="720"/>
        </w:tabs>
        <w:ind w:left="720" w:right="720"/>
        <w:jc w:val="both"/>
        <w:rPr>
          <w:rFonts w:ascii="Book Antiqua" w:hAnsi="Book Antiqua"/>
          <w:sz w:val="22"/>
          <w:szCs w:val="22"/>
          <w:lang w:val="es-ES"/>
        </w:rPr>
      </w:pPr>
      <w:r w:rsidRPr="00C278ED">
        <w:rPr>
          <w:rFonts w:ascii="Book Antiqua" w:hAnsi="Book Antiqua"/>
          <w:b/>
          <w:bCs/>
          <w:sz w:val="22"/>
          <w:szCs w:val="22"/>
          <w:u w:val="single"/>
          <w:lang w:val="es-ES"/>
        </w:rPr>
        <w:t>En la Comisión para la Seguridad en el Tránsito reiteramos nuestro compromiso de gestionar mecanismos para la prevención de eventos desgraciados en nuestras carreteras.</w:t>
      </w:r>
      <w:r w:rsidRPr="00C278ED">
        <w:rPr>
          <w:rFonts w:ascii="Book Antiqua" w:hAnsi="Book Antiqua"/>
          <w:sz w:val="22"/>
          <w:szCs w:val="22"/>
          <w:lang w:val="es-ES"/>
        </w:rPr>
        <w:t xml:space="preserve"> Nuestra labor en esta materia es eminentemente educativa y preventiva.</w:t>
      </w:r>
      <w:r w:rsidR="00C278ED">
        <w:rPr>
          <w:rFonts w:ascii="Book Antiqua" w:hAnsi="Book Antiqua"/>
          <w:sz w:val="22"/>
          <w:szCs w:val="22"/>
          <w:lang w:val="es-ES"/>
        </w:rPr>
        <w:t xml:space="preserve"> (Énfasis nuestro)</w:t>
      </w:r>
    </w:p>
    <w:p w14:paraId="0A07BD3F" w14:textId="77777777" w:rsidR="00C278ED" w:rsidRDefault="00C278ED" w:rsidP="00865639">
      <w:pPr>
        <w:tabs>
          <w:tab w:val="left" w:pos="720"/>
        </w:tabs>
        <w:ind w:left="720" w:right="720"/>
        <w:jc w:val="both"/>
        <w:rPr>
          <w:rFonts w:ascii="Book Antiqua" w:hAnsi="Book Antiqua"/>
          <w:szCs w:val="24"/>
          <w:lang w:val="es-ES"/>
        </w:rPr>
      </w:pPr>
    </w:p>
    <w:p w14:paraId="25769DE3" w14:textId="22EA3302" w:rsidR="00240422" w:rsidRPr="00240422" w:rsidRDefault="00C278ED" w:rsidP="00240422">
      <w:pPr>
        <w:tabs>
          <w:tab w:val="left" w:pos="0"/>
        </w:tabs>
        <w:ind w:firstLine="360"/>
        <w:jc w:val="both"/>
        <w:rPr>
          <w:rFonts w:ascii="Book Antiqua" w:hAnsi="Book Antiqua"/>
          <w:szCs w:val="24"/>
          <w:lang w:val="es-ES"/>
        </w:rPr>
      </w:pPr>
      <w:r>
        <w:rPr>
          <w:rFonts w:ascii="Book Antiqua" w:hAnsi="Book Antiqua"/>
          <w:szCs w:val="24"/>
          <w:lang w:val="es-ES"/>
        </w:rPr>
        <w:t xml:space="preserve">Añadieron que </w:t>
      </w:r>
      <w:r w:rsidRPr="00C278ED">
        <w:rPr>
          <w:rFonts w:ascii="Book Antiqua" w:hAnsi="Book Antiqua"/>
          <w:i/>
          <w:iCs/>
          <w:szCs w:val="24"/>
          <w:lang w:val="es-ES"/>
        </w:rPr>
        <w:t>“[l]a CST endosa el requerimiento propuesto en el proyecto de ley, según el cual la renovación del marbete de una motora estaría condicionada a que el peticionario cuente con un endoso Ml o M2. De esta manera, le permitiría al motociclista solicitar y sacar su endoso usando su propia motora con un tiempo razonable y definido”</w:t>
      </w:r>
      <w:r>
        <w:rPr>
          <w:rFonts w:ascii="Book Antiqua" w:hAnsi="Book Antiqua"/>
          <w:szCs w:val="24"/>
          <w:lang w:val="es-ES"/>
        </w:rPr>
        <w:t xml:space="preserve">. Finalmente, dijeron coincidir </w:t>
      </w:r>
      <w:r w:rsidRPr="00C278ED">
        <w:rPr>
          <w:rFonts w:ascii="Book Antiqua" w:hAnsi="Book Antiqua"/>
          <w:i/>
          <w:iCs/>
          <w:szCs w:val="24"/>
          <w:lang w:val="es-ES"/>
        </w:rPr>
        <w:t>“…plenamente con propósito de la presente medida y, en consecuencia, endosa la aprobación del P. de la C. 375”</w:t>
      </w:r>
      <w:r>
        <w:rPr>
          <w:rFonts w:ascii="Book Antiqua" w:hAnsi="Book Antiqua"/>
          <w:szCs w:val="24"/>
          <w:lang w:val="es-ES"/>
        </w:rPr>
        <w:t>.</w:t>
      </w:r>
      <w:r w:rsidR="00240422" w:rsidRPr="00240422">
        <w:rPr>
          <w:rFonts w:ascii="Book Antiqua" w:hAnsi="Book Antiqua"/>
          <w:szCs w:val="24"/>
          <w:lang w:val="es-ES"/>
        </w:rPr>
        <w:t xml:space="preserve"> </w:t>
      </w:r>
    </w:p>
    <w:p w14:paraId="5293DF96" w14:textId="77777777" w:rsidR="00240422" w:rsidRPr="00240422" w:rsidRDefault="00240422" w:rsidP="00240422">
      <w:pPr>
        <w:tabs>
          <w:tab w:val="left" w:pos="0"/>
        </w:tabs>
        <w:ind w:firstLine="360"/>
        <w:jc w:val="both"/>
        <w:rPr>
          <w:rFonts w:ascii="Book Antiqua" w:hAnsi="Book Antiqua"/>
          <w:szCs w:val="24"/>
          <w:lang w:val="es-ES"/>
        </w:rPr>
      </w:pPr>
    </w:p>
    <w:p w14:paraId="3F909857" w14:textId="2FC6A298" w:rsidR="00C278ED" w:rsidRDefault="00240422" w:rsidP="00C278ED">
      <w:pPr>
        <w:tabs>
          <w:tab w:val="left" w:pos="0"/>
        </w:tabs>
        <w:ind w:firstLine="360"/>
        <w:jc w:val="both"/>
        <w:rPr>
          <w:rFonts w:ascii="Book Antiqua" w:hAnsi="Book Antiqua"/>
          <w:szCs w:val="24"/>
          <w:lang w:val="es-ES"/>
        </w:rPr>
      </w:pPr>
      <w:r w:rsidRPr="00240422">
        <w:rPr>
          <w:rFonts w:ascii="Book Antiqua" w:hAnsi="Book Antiqua"/>
          <w:szCs w:val="24"/>
          <w:lang w:val="es-ES"/>
        </w:rPr>
        <w:t xml:space="preserve">Respecto al </w:t>
      </w:r>
      <w:r w:rsidR="00C278ED">
        <w:rPr>
          <w:rFonts w:ascii="Book Antiqua" w:hAnsi="Book Antiqua"/>
          <w:szCs w:val="24"/>
          <w:lang w:val="es-ES"/>
        </w:rPr>
        <w:t xml:space="preserve">Departamento de Seguridad Pública, </w:t>
      </w:r>
      <w:r w:rsidRPr="00240422">
        <w:rPr>
          <w:rFonts w:ascii="Book Antiqua" w:hAnsi="Book Antiqua"/>
          <w:szCs w:val="24"/>
          <w:lang w:val="es-ES"/>
        </w:rPr>
        <w:t xml:space="preserve">expusieron que </w:t>
      </w:r>
      <w:r w:rsidR="00C278ED" w:rsidRPr="00C278ED">
        <w:rPr>
          <w:rFonts w:ascii="Book Antiqua" w:hAnsi="Book Antiqua"/>
          <w:i/>
          <w:iCs/>
          <w:szCs w:val="24"/>
          <w:lang w:val="es-ES"/>
        </w:rPr>
        <w:t>“…las enmiendas sugeridas tienen el objetivo de atajar la problemática que enfrentamos en Puerto Rico ante las prácticas ilegales de conducción temeraria ocurridas durante las corridas ilegales de motoras incluyendo las acrobacias y maniobras de alto riesgo, así como el peligro que acarrea para éstos y para el resto de la ciudadanía. Estamos conscientes del derecho del Pueblo de usar las vías de rodaje para poder atender sus necesidades de transportación, pero por eso mismo hacemos énfasis en que son las prácticas contrarias a la ley, las que necesitamos continuar erradicando en aras de mejorar la seguridad pública en nuestras calles y carreteras”</w:t>
      </w:r>
      <w:r w:rsidR="00C278ED" w:rsidRPr="00C278ED">
        <w:rPr>
          <w:rFonts w:ascii="Book Antiqua" w:hAnsi="Book Antiqua"/>
          <w:szCs w:val="24"/>
          <w:lang w:val="es-ES"/>
        </w:rPr>
        <w:t>.</w:t>
      </w:r>
    </w:p>
    <w:p w14:paraId="74BBBB84" w14:textId="77777777" w:rsidR="00061786" w:rsidRDefault="00061786" w:rsidP="00C278ED">
      <w:pPr>
        <w:tabs>
          <w:tab w:val="left" w:pos="0"/>
        </w:tabs>
        <w:ind w:firstLine="360"/>
        <w:jc w:val="both"/>
        <w:rPr>
          <w:rFonts w:ascii="Book Antiqua" w:hAnsi="Book Antiqua"/>
          <w:szCs w:val="24"/>
          <w:lang w:val="es-ES"/>
        </w:rPr>
      </w:pPr>
    </w:p>
    <w:p w14:paraId="7D1BBE36" w14:textId="67F7E436" w:rsidR="00C278ED" w:rsidRDefault="00061786" w:rsidP="00061786">
      <w:pPr>
        <w:tabs>
          <w:tab w:val="left" w:pos="0"/>
        </w:tabs>
        <w:ind w:firstLine="360"/>
        <w:jc w:val="both"/>
        <w:rPr>
          <w:rFonts w:ascii="Book Antiqua" w:hAnsi="Book Antiqua"/>
          <w:szCs w:val="24"/>
          <w:lang w:val="es-ES"/>
        </w:rPr>
      </w:pPr>
      <w:r>
        <w:rPr>
          <w:rFonts w:ascii="Book Antiqua" w:hAnsi="Book Antiqua"/>
          <w:szCs w:val="24"/>
          <w:lang w:val="es-ES"/>
        </w:rPr>
        <w:t xml:space="preserve">Igualmente, señalaron que </w:t>
      </w:r>
      <w:r w:rsidRPr="00061786">
        <w:rPr>
          <w:rFonts w:ascii="Book Antiqua" w:hAnsi="Book Antiqua"/>
          <w:i/>
          <w:iCs/>
          <w:szCs w:val="24"/>
          <w:lang w:val="es-ES"/>
        </w:rPr>
        <w:t>“[e]sta propuesta legislativa pone un alto a la creciente práctica en menosprecio de la vida y la seguridad en Puerto Rico, al utilizar vehículos todo terreno, las corridas ilegales y el exceso de velocidad en nuestras vías de rodaje. Por ello, sin reservas manifestamos nuestro apoyo a esta medida, por cuanto refuerza las disposiciones de Ley 22-2000, mientras elimina las limitaciones que enfrentan nuestros agentes del orden público al llevar a cabo sus intervenciones conforme ordena dicho estatuto”</w:t>
      </w:r>
      <w:r w:rsidRPr="00061786">
        <w:rPr>
          <w:rFonts w:ascii="Book Antiqua" w:hAnsi="Book Antiqua"/>
          <w:szCs w:val="24"/>
          <w:lang w:val="es-ES"/>
        </w:rPr>
        <w:t>.</w:t>
      </w:r>
    </w:p>
    <w:p w14:paraId="54412871" w14:textId="77777777" w:rsidR="00061786" w:rsidRDefault="00061786" w:rsidP="00061786">
      <w:pPr>
        <w:tabs>
          <w:tab w:val="left" w:pos="0"/>
        </w:tabs>
        <w:ind w:firstLine="360"/>
        <w:jc w:val="both"/>
        <w:rPr>
          <w:rFonts w:ascii="Book Antiqua" w:hAnsi="Book Antiqua"/>
          <w:szCs w:val="24"/>
          <w:lang w:val="es-ES"/>
        </w:rPr>
      </w:pPr>
    </w:p>
    <w:p w14:paraId="20BB5792" w14:textId="07B52692" w:rsidR="00C278ED" w:rsidRDefault="00061786" w:rsidP="00240422">
      <w:pPr>
        <w:tabs>
          <w:tab w:val="left" w:pos="0"/>
        </w:tabs>
        <w:ind w:firstLine="360"/>
        <w:jc w:val="both"/>
        <w:rPr>
          <w:rFonts w:ascii="Book Antiqua" w:hAnsi="Book Antiqua"/>
          <w:szCs w:val="24"/>
          <w:lang w:val="es-ES"/>
        </w:rPr>
      </w:pPr>
      <w:r>
        <w:rPr>
          <w:rFonts w:ascii="Book Antiqua" w:hAnsi="Book Antiqua"/>
          <w:szCs w:val="24"/>
          <w:lang w:val="es-ES"/>
        </w:rPr>
        <w:t xml:space="preserve">Por tanto, el Departamento de Seguridad Pública favoreció </w:t>
      </w:r>
      <w:r w:rsidRPr="00061786">
        <w:rPr>
          <w:rFonts w:ascii="Book Antiqua" w:hAnsi="Book Antiqua"/>
          <w:i/>
          <w:iCs/>
          <w:szCs w:val="24"/>
          <w:lang w:val="es-ES"/>
        </w:rPr>
        <w:t>“…</w:t>
      </w:r>
      <w:r w:rsidRPr="00061786">
        <w:rPr>
          <w:rFonts w:ascii="Book Antiqua" w:hAnsi="Book Antiqua"/>
          <w:b/>
          <w:bCs/>
          <w:i/>
          <w:iCs/>
          <w:szCs w:val="24"/>
          <w:u w:val="single"/>
          <w:lang w:val="es-ES"/>
        </w:rPr>
        <w:t>la aprobación del P. de la C. 375”</w:t>
      </w:r>
      <w:r w:rsidRPr="00061786">
        <w:rPr>
          <w:rFonts w:ascii="Book Antiqua" w:hAnsi="Book Antiqua"/>
          <w:szCs w:val="24"/>
          <w:lang w:val="es-ES"/>
        </w:rPr>
        <w:t>.</w:t>
      </w:r>
      <w:r>
        <w:rPr>
          <w:rFonts w:ascii="Book Antiqua" w:hAnsi="Book Antiqua"/>
          <w:szCs w:val="24"/>
          <w:lang w:val="es-ES"/>
        </w:rPr>
        <w:t xml:space="preserve"> (Énfasis nuestro).</w:t>
      </w:r>
    </w:p>
    <w:p w14:paraId="3B30C7CD" w14:textId="77777777" w:rsidR="00061786" w:rsidRDefault="00061786" w:rsidP="00240422">
      <w:pPr>
        <w:tabs>
          <w:tab w:val="left" w:pos="0"/>
        </w:tabs>
        <w:ind w:firstLine="360"/>
        <w:jc w:val="both"/>
        <w:rPr>
          <w:rFonts w:ascii="Book Antiqua" w:hAnsi="Book Antiqua"/>
          <w:szCs w:val="24"/>
          <w:lang w:val="es-ES"/>
        </w:rPr>
      </w:pPr>
    </w:p>
    <w:p w14:paraId="03C768DF" w14:textId="3207D6DA" w:rsidR="00C278ED" w:rsidRDefault="00061786" w:rsidP="00061786">
      <w:pPr>
        <w:tabs>
          <w:tab w:val="left" w:pos="0"/>
        </w:tabs>
        <w:ind w:firstLine="360"/>
        <w:jc w:val="both"/>
        <w:rPr>
          <w:rFonts w:ascii="Book Antiqua" w:hAnsi="Book Antiqua"/>
          <w:szCs w:val="24"/>
          <w:lang w:val="es-ES"/>
        </w:rPr>
      </w:pPr>
      <w:r>
        <w:rPr>
          <w:rFonts w:ascii="Book Antiqua" w:hAnsi="Book Antiqua"/>
          <w:szCs w:val="24"/>
          <w:lang w:val="es-ES"/>
        </w:rPr>
        <w:t xml:space="preserve">Finalmente, el Departamento de Transportación y Obras Públicas esgrimió concordar con </w:t>
      </w:r>
      <w:r w:rsidRPr="00061786">
        <w:rPr>
          <w:rFonts w:ascii="Book Antiqua" w:hAnsi="Book Antiqua"/>
          <w:i/>
          <w:iCs/>
          <w:szCs w:val="24"/>
          <w:lang w:val="es-ES"/>
        </w:rPr>
        <w:t>“…la necesidad de establecer controles más estrictos sobre las maniobras peligrosas que comprometen la seguridad vial. En ese sentido, favorecemos expresamente las disposiciones del Proyecto que prohíben acrobacias como los “wheelies”, “stoppies”, “burnouts”, u otras actividades similares realizadas con motoras o vehículos todo terreno. Asimismo, apoyamos el requerimiento de que tanto los conductores como los pasajeros de motocicletas utilicen chalecos o dispositivos reflectores entre las seis de la tarde (6:00 p.m.) y las seis de la mañana (6:00 a.m.), como medida preventiva para aumentar la visibilidad y reducir riesgos en las vías públicas”</w:t>
      </w:r>
      <w:r w:rsidRPr="00061786">
        <w:rPr>
          <w:rFonts w:ascii="Book Antiqua" w:hAnsi="Book Antiqua"/>
          <w:szCs w:val="24"/>
          <w:lang w:val="es-ES"/>
        </w:rPr>
        <w:t>.</w:t>
      </w:r>
    </w:p>
    <w:p w14:paraId="4880A20F" w14:textId="77777777" w:rsidR="007E1EB1" w:rsidRDefault="007E1EB1" w:rsidP="00061786">
      <w:pPr>
        <w:tabs>
          <w:tab w:val="left" w:pos="0"/>
        </w:tabs>
        <w:ind w:firstLine="360"/>
        <w:jc w:val="both"/>
        <w:rPr>
          <w:rFonts w:ascii="Book Antiqua" w:hAnsi="Book Antiqua"/>
          <w:szCs w:val="24"/>
          <w:lang w:val="es-ES"/>
        </w:rPr>
      </w:pPr>
    </w:p>
    <w:p w14:paraId="365E6D9D" w14:textId="1545F18C" w:rsidR="007E1EB1" w:rsidRDefault="00C10A6F" w:rsidP="007E1EB1">
      <w:pPr>
        <w:tabs>
          <w:tab w:val="left" w:pos="0"/>
        </w:tabs>
        <w:ind w:firstLine="360"/>
        <w:jc w:val="both"/>
        <w:rPr>
          <w:rFonts w:ascii="Book Antiqua" w:hAnsi="Book Antiqua"/>
          <w:szCs w:val="24"/>
          <w:lang w:val="es-ES"/>
        </w:rPr>
      </w:pPr>
      <w:r>
        <w:rPr>
          <w:rFonts w:ascii="Book Antiqua" w:hAnsi="Book Antiqua"/>
          <w:szCs w:val="24"/>
          <w:lang w:val="es-ES"/>
        </w:rPr>
        <w:lastRenderedPageBreak/>
        <w:t xml:space="preserve">Sin embargo, </w:t>
      </w:r>
      <w:r w:rsidR="007E1EB1" w:rsidRPr="007E1EB1">
        <w:rPr>
          <w:rFonts w:ascii="Book Antiqua" w:hAnsi="Book Antiqua"/>
          <w:szCs w:val="24"/>
          <w:lang w:val="es-ES"/>
        </w:rPr>
        <w:t>en cuanto al resto del proyecto de ley, el D</w:t>
      </w:r>
      <w:r w:rsidR="007E1EB1">
        <w:rPr>
          <w:rFonts w:ascii="Book Antiqua" w:hAnsi="Book Antiqua"/>
          <w:szCs w:val="24"/>
          <w:lang w:val="es-ES"/>
        </w:rPr>
        <w:t xml:space="preserve">epartamento </w:t>
      </w:r>
      <w:r>
        <w:rPr>
          <w:rFonts w:ascii="Book Antiqua" w:hAnsi="Book Antiqua"/>
          <w:szCs w:val="24"/>
          <w:lang w:val="es-ES"/>
        </w:rPr>
        <w:t xml:space="preserve">de Transportación y Obras Públicas </w:t>
      </w:r>
      <w:r w:rsidR="007E1EB1">
        <w:rPr>
          <w:rFonts w:ascii="Book Antiqua" w:hAnsi="Book Antiqua"/>
          <w:szCs w:val="24"/>
          <w:lang w:val="es-ES"/>
        </w:rPr>
        <w:t>es del entender de que</w:t>
      </w:r>
    </w:p>
    <w:p w14:paraId="13DDBF1B" w14:textId="77777777" w:rsidR="007E1EB1" w:rsidRDefault="007E1EB1" w:rsidP="007E1EB1">
      <w:pPr>
        <w:tabs>
          <w:tab w:val="left" w:pos="0"/>
        </w:tabs>
        <w:ind w:firstLine="360"/>
        <w:jc w:val="both"/>
        <w:rPr>
          <w:rFonts w:ascii="Book Antiqua" w:hAnsi="Book Antiqua"/>
          <w:szCs w:val="24"/>
          <w:lang w:val="es-ES"/>
        </w:rPr>
      </w:pPr>
    </w:p>
    <w:p w14:paraId="4EB1F751" w14:textId="4739E8D2" w:rsidR="007E1EB1" w:rsidRPr="007E1EB1" w:rsidRDefault="007E1EB1" w:rsidP="007E1EB1">
      <w:pPr>
        <w:tabs>
          <w:tab w:val="left" w:pos="720"/>
        </w:tabs>
        <w:ind w:left="720" w:right="720"/>
        <w:jc w:val="both"/>
        <w:rPr>
          <w:rFonts w:ascii="Book Antiqua" w:hAnsi="Book Antiqua"/>
          <w:sz w:val="22"/>
          <w:szCs w:val="22"/>
          <w:lang w:val="es-ES"/>
        </w:rPr>
      </w:pPr>
      <w:r w:rsidRPr="007E1EB1">
        <w:rPr>
          <w:rFonts w:ascii="Book Antiqua" w:hAnsi="Book Antiqua"/>
          <w:sz w:val="22"/>
          <w:szCs w:val="22"/>
          <w:lang w:val="es-ES"/>
        </w:rPr>
        <w:t>…antes de adoptarse enmiendas adicionales relacionadas con la definición y restricciones de uso de los vehículos todo terreno, debe realizarse un estudio técnico abarcador. Dicho estudio debe considerar la seguridad vial, el diseño de los vehículos, su compatibilidad con el tránsito por carreteras estatales y municipales, así como los estándares establecidos por agencias federales como la National Highway Traffic Safety Administration (NHTSA).</w:t>
      </w:r>
    </w:p>
    <w:p w14:paraId="52AF3A51" w14:textId="77777777" w:rsidR="007E1EB1" w:rsidRPr="007E1EB1" w:rsidRDefault="007E1EB1" w:rsidP="007E1EB1">
      <w:pPr>
        <w:tabs>
          <w:tab w:val="left" w:pos="720"/>
        </w:tabs>
        <w:ind w:left="720" w:right="720"/>
        <w:jc w:val="both"/>
        <w:rPr>
          <w:rFonts w:ascii="Book Antiqua" w:hAnsi="Book Antiqua"/>
          <w:sz w:val="22"/>
          <w:szCs w:val="22"/>
          <w:lang w:val="es-ES"/>
        </w:rPr>
      </w:pPr>
    </w:p>
    <w:p w14:paraId="5AAF0346" w14:textId="77777777" w:rsidR="007E1EB1" w:rsidRPr="007E1EB1" w:rsidRDefault="007E1EB1" w:rsidP="007E1EB1">
      <w:pPr>
        <w:tabs>
          <w:tab w:val="left" w:pos="720"/>
        </w:tabs>
        <w:ind w:left="720" w:right="720"/>
        <w:jc w:val="both"/>
        <w:rPr>
          <w:rFonts w:ascii="Book Antiqua" w:hAnsi="Book Antiqua"/>
          <w:sz w:val="22"/>
          <w:szCs w:val="22"/>
          <w:lang w:val="es-ES"/>
        </w:rPr>
      </w:pPr>
      <w:r w:rsidRPr="007E1EB1">
        <w:rPr>
          <w:rFonts w:ascii="Book Antiqua" w:hAnsi="Book Antiqua"/>
          <w:sz w:val="22"/>
          <w:szCs w:val="22"/>
          <w:lang w:val="es-ES"/>
        </w:rPr>
        <w:t xml:space="preserve">Particularmente, las disposiciones que proponen limitar o prohibir el uso de ciertos vehículos como los denominados “off road” o “Side by Sides” (SxS) en carreteras pavimentadas, así como la imposición de requisitos como el endoso Ml o M2 para la renovación de marbetes, requieren de una base empírica y normativa sólida para su implantación efectiva y justa. </w:t>
      </w:r>
    </w:p>
    <w:p w14:paraId="106C6F9C" w14:textId="77777777" w:rsidR="007E1EB1" w:rsidRPr="007E1EB1" w:rsidRDefault="007E1EB1" w:rsidP="007E1EB1">
      <w:pPr>
        <w:tabs>
          <w:tab w:val="left" w:pos="720"/>
        </w:tabs>
        <w:ind w:left="720" w:right="720"/>
        <w:jc w:val="both"/>
        <w:rPr>
          <w:rFonts w:ascii="Book Antiqua" w:hAnsi="Book Antiqua"/>
          <w:sz w:val="22"/>
          <w:szCs w:val="22"/>
          <w:lang w:val="es-ES"/>
        </w:rPr>
      </w:pPr>
    </w:p>
    <w:p w14:paraId="6DAFC8E6" w14:textId="6DD0C8DB" w:rsidR="007E1EB1" w:rsidRPr="007E1EB1" w:rsidRDefault="007E1EB1" w:rsidP="007E1EB1">
      <w:pPr>
        <w:tabs>
          <w:tab w:val="left" w:pos="720"/>
        </w:tabs>
        <w:ind w:left="720" w:right="720"/>
        <w:jc w:val="both"/>
        <w:rPr>
          <w:rFonts w:ascii="Book Antiqua" w:hAnsi="Book Antiqua"/>
          <w:sz w:val="22"/>
          <w:szCs w:val="22"/>
          <w:lang w:val="es-ES"/>
        </w:rPr>
      </w:pPr>
      <w:r w:rsidRPr="007E1EB1">
        <w:rPr>
          <w:rFonts w:ascii="Book Antiqua" w:hAnsi="Book Antiqua"/>
          <w:sz w:val="22"/>
          <w:szCs w:val="22"/>
          <w:lang w:val="es-ES"/>
        </w:rPr>
        <w:t>Por ello, el DTOP recomienda que, previo a la aprobación de estas disposiciones, esta Honorable Comisión considere encomendar un estudio formal sobre el uso, riesgos y adecuación de estos vehículos en el sistema vial de Puerto Rico. Solo así se podrán adoptar medidas legislativas informadas, viables y alineadas con la realidad del tránsito y la seguridad pública.</w:t>
      </w:r>
    </w:p>
    <w:p w14:paraId="18209871" w14:textId="77777777" w:rsidR="00C278ED" w:rsidRDefault="00C278ED" w:rsidP="00240422">
      <w:pPr>
        <w:tabs>
          <w:tab w:val="left" w:pos="0"/>
        </w:tabs>
        <w:ind w:firstLine="360"/>
        <w:jc w:val="both"/>
        <w:rPr>
          <w:rFonts w:ascii="Book Antiqua" w:hAnsi="Book Antiqua"/>
          <w:szCs w:val="24"/>
          <w:lang w:val="es-ES"/>
        </w:rPr>
      </w:pPr>
    </w:p>
    <w:p w14:paraId="2CB6721E" w14:textId="251F3400" w:rsidR="007E1EB1" w:rsidRDefault="00240422" w:rsidP="007E1EB1">
      <w:pPr>
        <w:tabs>
          <w:tab w:val="left" w:pos="0"/>
        </w:tabs>
        <w:ind w:firstLine="360"/>
        <w:jc w:val="both"/>
        <w:rPr>
          <w:rFonts w:ascii="Book Antiqua" w:hAnsi="Book Antiqua"/>
          <w:szCs w:val="24"/>
          <w:lang w:val="es-ES"/>
        </w:rPr>
      </w:pPr>
      <w:r w:rsidRPr="00240422">
        <w:rPr>
          <w:rFonts w:ascii="Book Antiqua" w:hAnsi="Book Antiqua"/>
          <w:szCs w:val="24"/>
          <w:lang w:val="es-ES"/>
        </w:rPr>
        <w:t xml:space="preserve">Analizado el proyecto en sus méritos, entendemos que el mismo requiere ser aprobado con prontitud. </w:t>
      </w:r>
      <w:r w:rsidR="007E1EB1">
        <w:rPr>
          <w:rFonts w:ascii="Book Antiqua" w:hAnsi="Book Antiqua"/>
          <w:szCs w:val="24"/>
          <w:lang w:val="es-ES"/>
        </w:rPr>
        <w:t xml:space="preserve">Ciertamente, la </w:t>
      </w:r>
      <w:r w:rsidR="007E1EB1" w:rsidRPr="007E1EB1">
        <w:rPr>
          <w:rFonts w:ascii="Book Antiqua" w:hAnsi="Book Antiqua"/>
          <w:szCs w:val="24"/>
          <w:lang w:val="es-ES"/>
        </w:rPr>
        <w:t>seguridad vial es un derecho fundamental de todos los</w:t>
      </w:r>
      <w:r w:rsidR="007E1EB1">
        <w:rPr>
          <w:rFonts w:ascii="Book Antiqua" w:hAnsi="Book Antiqua"/>
          <w:szCs w:val="24"/>
          <w:lang w:val="es-ES"/>
        </w:rPr>
        <w:t xml:space="preserve"> </w:t>
      </w:r>
      <w:r w:rsidR="007E1EB1" w:rsidRPr="007E1EB1">
        <w:rPr>
          <w:rFonts w:ascii="Book Antiqua" w:hAnsi="Book Antiqua"/>
          <w:szCs w:val="24"/>
          <w:lang w:val="es-ES"/>
        </w:rPr>
        <w:t>ciudadanos y constituye una de las principales preocupaciones de</w:t>
      </w:r>
      <w:r w:rsidR="007E1EB1">
        <w:rPr>
          <w:rFonts w:ascii="Book Antiqua" w:hAnsi="Book Antiqua"/>
          <w:szCs w:val="24"/>
          <w:lang w:val="es-ES"/>
        </w:rPr>
        <w:t xml:space="preserve"> </w:t>
      </w:r>
      <w:r w:rsidR="007E1EB1" w:rsidRPr="007E1EB1">
        <w:rPr>
          <w:rFonts w:ascii="Book Antiqua" w:hAnsi="Book Antiqua"/>
          <w:szCs w:val="24"/>
          <w:lang w:val="es-ES"/>
        </w:rPr>
        <w:t>las autoridades encargadas de velar por el bienestar público en</w:t>
      </w:r>
      <w:r w:rsidR="007E1EB1">
        <w:rPr>
          <w:rFonts w:ascii="Book Antiqua" w:hAnsi="Book Antiqua"/>
          <w:szCs w:val="24"/>
          <w:lang w:val="es-ES"/>
        </w:rPr>
        <w:t xml:space="preserve"> </w:t>
      </w:r>
      <w:r w:rsidR="007E1EB1" w:rsidRPr="007E1EB1">
        <w:rPr>
          <w:rFonts w:ascii="Book Antiqua" w:hAnsi="Book Antiqua"/>
          <w:szCs w:val="24"/>
          <w:lang w:val="es-ES"/>
        </w:rPr>
        <w:t>Puerto Rico. Asimismo, cuando refieren que estas corridas crean</w:t>
      </w:r>
      <w:r w:rsidR="007E1EB1">
        <w:rPr>
          <w:rFonts w:ascii="Book Antiqua" w:hAnsi="Book Antiqua"/>
          <w:szCs w:val="24"/>
          <w:lang w:val="es-ES"/>
        </w:rPr>
        <w:t xml:space="preserve"> </w:t>
      </w:r>
      <w:r w:rsidR="007E1EB1" w:rsidRPr="007E1EB1">
        <w:rPr>
          <w:rFonts w:ascii="Book Antiqua" w:hAnsi="Book Antiqua"/>
          <w:szCs w:val="24"/>
          <w:lang w:val="es-ES"/>
        </w:rPr>
        <w:t>problemas de seguridad tanto para los que están a bordo de estos</w:t>
      </w:r>
      <w:r w:rsidR="007E1EB1">
        <w:rPr>
          <w:rFonts w:ascii="Book Antiqua" w:hAnsi="Book Antiqua"/>
          <w:szCs w:val="24"/>
          <w:lang w:val="es-ES"/>
        </w:rPr>
        <w:t xml:space="preserve"> </w:t>
      </w:r>
      <w:r w:rsidR="007E1EB1" w:rsidRPr="007E1EB1">
        <w:rPr>
          <w:rFonts w:ascii="Book Antiqua" w:hAnsi="Book Antiqua"/>
          <w:szCs w:val="24"/>
          <w:lang w:val="es-ES"/>
        </w:rPr>
        <w:t>vehículos violando la ley, como para los ciudadanos que están</w:t>
      </w:r>
      <w:r w:rsidR="007E1EB1">
        <w:rPr>
          <w:rFonts w:ascii="Book Antiqua" w:hAnsi="Book Antiqua"/>
          <w:szCs w:val="24"/>
          <w:lang w:val="es-ES"/>
        </w:rPr>
        <w:t xml:space="preserve"> </w:t>
      </w:r>
      <w:r w:rsidR="007E1EB1" w:rsidRPr="007E1EB1">
        <w:rPr>
          <w:rFonts w:ascii="Book Antiqua" w:hAnsi="Book Antiqua"/>
          <w:szCs w:val="24"/>
          <w:lang w:val="es-ES"/>
        </w:rPr>
        <w:t>conduciendo en ley por las vías públicas. Por ello, entendemos</w:t>
      </w:r>
      <w:r w:rsidR="007E1EB1">
        <w:rPr>
          <w:rFonts w:ascii="Book Antiqua" w:hAnsi="Book Antiqua"/>
          <w:szCs w:val="24"/>
          <w:lang w:val="es-ES"/>
        </w:rPr>
        <w:t xml:space="preserve"> </w:t>
      </w:r>
      <w:r w:rsidR="007E1EB1" w:rsidRPr="007E1EB1">
        <w:rPr>
          <w:rFonts w:ascii="Book Antiqua" w:hAnsi="Book Antiqua"/>
          <w:szCs w:val="24"/>
          <w:lang w:val="es-ES"/>
        </w:rPr>
        <w:t>pertinente que se promuevan enmiendas como las esbozadas en</w:t>
      </w:r>
      <w:r w:rsidR="007E1EB1">
        <w:rPr>
          <w:rFonts w:ascii="Book Antiqua" w:hAnsi="Book Antiqua"/>
          <w:szCs w:val="24"/>
          <w:lang w:val="es-ES"/>
        </w:rPr>
        <w:t xml:space="preserve"> el P. de la C. 375, </w:t>
      </w:r>
      <w:r w:rsidR="007E1EB1" w:rsidRPr="007E1EB1">
        <w:rPr>
          <w:rFonts w:ascii="Book Antiqua" w:hAnsi="Book Antiqua"/>
          <w:szCs w:val="24"/>
          <w:lang w:val="es-ES"/>
        </w:rPr>
        <w:t>tendentes a reforzar la legislación vigente,</w:t>
      </w:r>
      <w:r w:rsidR="007E1EB1">
        <w:rPr>
          <w:rFonts w:ascii="Book Antiqua" w:hAnsi="Book Antiqua"/>
          <w:szCs w:val="24"/>
          <w:lang w:val="es-ES"/>
        </w:rPr>
        <w:t xml:space="preserve"> </w:t>
      </w:r>
      <w:r w:rsidR="007E1EB1" w:rsidRPr="007E1EB1">
        <w:rPr>
          <w:rFonts w:ascii="Book Antiqua" w:hAnsi="Book Antiqua"/>
          <w:szCs w:val="24"/>
          <w:lang w:val="es-ES"/>
        </w:rPr>
        <w:t>puesto que, ante la falta de disposiciones claras sobre las</w:t>
      </w:r>
      <w:r w:rsidR="007E1EB1">
        <w:rPr>
          <w:rFonts w:ascii="Book Antiqua" w:hAnsi="Book Antiqua"/>
          <w:szCs w:val="24"/>
          <w:lang w:val="es-ES"/>
        </w:rPr>
        <w:t xml:space="preserve"> </w:t>
      </w:r>
      <w:r w:rsidR="007E1EB1" w:rsidRPr="007E1EB1">
        <w:rPr>
          <w:rFonts w:ascii="Book Antiqua" w:hAnsi="Book Antiqua"/>
          <w:szCs w:val="24"/>
          <w:lang w:val="es-ES"/>
        </w:rPr>
        <w:t>prohibiciones de este tipo de motora (Scramble), así como de la</w:t>
      </w:r>
      <w:r w:rsidR="007E1EB1">
        <w:rPr>
          <w:rFonts w:ascii="Book Antiqua" w:hAnsi="Book Antiqua"/>
          <w:szCs w:val="24"/>
          <w:lang w:val="es-ES"/>
        </w:rPr>
        <w:t xml:space="preserve"> </w:t>
      </w:r>
      <w:r w:rsidR="007E1EB1" w:rsidRPr="007E1EB1">
        <w:rPr>
          <w:rFonts w:ascii="Book Antiqua" w:hAnsi="Book Antiqua"/>
          <w:szCs w:val="24"/>
          <w:lang w:val="es-ES"/>
        </w:rPr>
        <w:t>práctica de maniobras y acrobacias, el personal del Negociado de</w:t>
      </w:r>
      <w:r w:rsidR="007E1EB1">
        <w:rPr>
          <w:rFonts w:ascii="Book Antiqua" w:hAnsi="Book Antiqua"/>
          <w:szCs w:val="24"/>
          <w:lang w:val="es-ES"/>
        </w:rPr>
        <w:t xml:space="preserve"> </w:t>
      </w:r>
      <w:r w:rsidR="007E1EB1" w:rsidRPr="007E1EB1">
        <w:rPr>
          <w:rFonts w:ascii="Book Antiqua" w:hAnsi="Book Antiqua"/>
          <w:szCs w:val="24"/>
          <w:lang w:val="es-ES"/>
        </w:rPr>
        <w:t>la Policía de Puerto Rico enfrenta limitaciones durante sus</w:t>
      </w:r>
      <w:r w:rsidR="007E1EB1">
        <w:rPr>
          <w:rFonts w:ascii="Book Antiqua" w:hAnsi="Book Antiqua"/>
          <w:szCs w:val="24"/>
          <w:lang w:val="es-ES"/>
        </w:rPr>
        <w:t xml:space="preserve"> </w:t>
      </w:r>
      <w:r w:rsidR="007E1EB1" w:rsidRPr="007E1EB1">
        <w:rPr>
          <w:rFonts w:ascii="Book Antiqua" w:hAnsi="Book Antiqua"/>
          <w:szCs w:val="24"/>
          <w:lang w:val="es-ES"/>
        </w:rPr>
        <w:t xml:space="preserve">intervenciones. </w:t>
      </w:r>
    </w:p>
    <w:p w14:paraId="01D39960" w14:textId="77777777" w:rsidR="00C10A6F" w:rsidRDefault="00C10A6F" w:rsidP="007E1EB1">
      <w:pPr>
        <w:tabs>
          <w:tab w:val="left" w:pos="0"/>
        </w:tabs>
        <w:ind w:firstLine="360"/>
        <w:jc w:val="both"/>
        <w:rPr>
          <w:rFonts w:ascii="Book Antiqua" w:hAnsi="Book Antiqua"/>
          <w:szCs w:val="24"/>
          <w:lang w:val="es-ES"/>
        </w:rPr>
      </w:pPr>
    </w:p>
    <w:p w14:paraId="0A0936CA" w14:textId="77777777" w:rsidR="00C10A6F" w:rsidRPr="00C10A6F" w:rsidRDefault="00C10A6F" w:rsidP="00C10A6F">
      <w:pPr>
        <w:tabs>
          <w:tab w:val="left" w:pos="0"/>
        </w:tabs>
        <w:ind w:firstLine="360"/>
        <w:jc w:val="both"/>
        <w:rPr>
          <w:rFonts w:ascii="Book Antiqua" w:hAnsi="Book Antiqua"/>
          <w:szCs w:val="24"/>
          <w:lang w:val="es-ES"/>
        </w:rPr>
      </w:pPr>
      <w:r w:rsidRPr="00C10A6F">
        <w:rPr>
          <w:rFonts w:ascii="Book Antiqua" w:hAnsi="Book Antiqua"/>
          <w:szCs w:val="24"/>
          <w:lang w:val="es-ES"/>
        </w:rPr>
        <w:t>En los últimos años, hemos sido testigos de un aumento alarmante en la cantidad de choques de tránsito relacionados con las corridas ilegales de motoras en diversas autopistas y carreteras de la isla, lo que ha generado un grave riesgo para la seguridad de los conductores, peatones y otros usuarios de las vías públicas.</w:t>
      </w:r>
    </w:p>
    <w:p w14:paraId="6273CFB3" w14:textId="77777777" w:rsidR="00C10A6F" w:rsidRDefault="00C10A6F" w:rsidP="00C10A6F">
      <w:pPr>
        <w:tabs>
          <w:tab w:val="left" w:pos="0"/>
        </w:tabs>
        <w:ind w:firstLine="360"/>
        <w:jc w:val="both"/>
        <w:rPr>
          <w:rFonts w:ascii="Book Antiqua" w:hAnsi="Book Antiqua"/>
          <w:szCs w:val="24"/>
          <w:lang w:val="es-ES"/>
        </w:rPr>
      </w:pPr>
    </w:p>
    <w:p w14:paraId="458D018B" w14:textId="4F3EA9EF" w:rsidR="00C10A6F" w:rsidRDefault="00C10A6F" w:rsidP="00C10A6F">
      <w:pPr>
        <w:tabs>
          <w:tab w:val="left" w:pos="0"/>
        </w:tabs>
        <w:ind w:firstLine="360"/>
        <w:jc w:val="both"/>
        <w:rPr>
          <w:rFonts w:ascii="Book Antiqua" w:hAnsi="Book Antiqua"/>
          <w:szCs w:val="24"/>
          <w:lang w:val="es-ES"/>
        </w:rPr>
      </w:pPr>
      <w:r w:rsidRPr="00C10A6F">
        <w:rPr>
          <w:rFonts w:ascii="Book Antiqua" w:hAnsi="Book Antiqua"/>
          <w:szCs w:val="24"/>
          <w:lang w:val="es-ES"/>
        </w:rPr>
        <w:t xml:space="preserve">Según </w:t>
      </w:r>
      <w:r>
        <w:rPr>
          <w:rFonts w:ascii="Book Antiqua" w:hAnsi="Book Antiqua"/>
          <w:szCs w:val="24"/>
          <w:lang w:val="es-ES"/>
        </w:rPr>
        <w:t>los d</w:t>
      </w:r>
      <w:r w:rsidRPr="00C10A6F">
        <w:rPr>
          <w:rFonts w:ascii="Book Antiqua" w:hAnsi="Book Antiqua"/>
          <w:szCs w:val="24"/>
          <w:lang w:val="es-ES"/>
        </w:rPr>
        <w:t xml:space="preserve">atos </w:t>
      </w:r>
      <w:r>
        <w:rPr>
          <w:rFonts w:ascii="Book Antiqua" w:hAnsi="Book Antiqua"/>
          <w:szCs w:val="24"/>
          <w:lang w:val="es-ES"/>
        </w:rPr>
        <w:t xml:space="preserve">de la Comisión para la Seguridad en el Tránsito, sobre </w:t>
      </w:r>
      <w:r w:rsidRPr="00C10A6F">
        <w:rPr>
          <w:rFonts w:ascii="Book Antiqua" w:hAnsi="Book Antiqua"/>
          <w:szCs w:val="24"/>
          <w:lang w:val="es-ES"/>
        </w:rPr>
        <w:t>choques con motoras:</w:t>
      </w:r>
    </w:p>
    <w:p w14:paraId="3617F2F5" w14:textId="77777777" w:rsidR="00C10A6F" w:rsidRDefault="00C10A6F" w:rsidP="00C10A6F">
      <w:pPr>
        <w:tabs>
          <w:tab w:val="left" w:pos="0"/>
        </w:tabs>
        <w:ind w:firstLine="360"/>
        <w:jc w:val="both"/>
        <w:rPr>
          <w:rFonts w:ascii="Book Antiqua" w:hAnsi="Book Antiqua"/>
          <w:szCs w:val="24"/>
          <w:lang w:val="es-ES"/>
        </w:rPr>
      </w:pPr>
    </w:p>
    <w:tbl>
      <w:tblPr>
        <w:tblW w:w="0" w:type="auto"/>
        <w:tblInd w:w="1536" w:type="dxa"/>
        <w:tblLayout w:type="fixed"/>
        <w:tblCellMar>
          <w:left w:w="0" w:type="dxa"/>
          <w:right w:w="0" w:type="dxa"/>
        </w:tblCellMar>
        <w:tblLook w:val="0000" w:firstRow="0" w:lastRow="0" w:firstColumn="0" w:lastColumn="0" w:noHBand="0" w:noVBand="0"/>
      </w:tblPr>
      <w:tblGrid>
        <w:gridCol w:w="1397"/>
        <w:gridCol w:w="1262"/>
        <w:gridCol w:w="1226"/>
        <w:gridCol w:w="1662"/>
      </w:tblGrid>
      <w:tr w:rsidR="00C10A6F" w:rsidRPr="00C10A6F" w14:paraId="004F518A" w14:textId="77777777">
        <w:trPr>
          <w:trHeight w:val="479"/>
        </w:trPr>
        <w:tc>
          <w:tcPr>
            <w:tcW w:w="1397" w:type="dxa"/>
            <w:tcBorders>
              <w:top w:val="single" w:sz="8" w:space="0" w:color="000000"/>
              <w:left w:val="single" w:sz="8" w:space="0" w:color="000000"/>
              <w:bottom w:val="single" w:sz="8" w:space="0" w:color="000000"/>
              <w:right w:val="single" w:sz="8" w:space="0" w:color="000000"/>
            </w:tcBorders>
          </w:tcPr>
          <w:p w14:paraId="70EE00B8" w14:textId="77777777" w:rsidR="00C10A6F" w:rsidRPr="00C10A6F" w:rsidRDefault="00C10A6F" w:rsidP="00C10A6F">
            <w:pPr>
              <w:kinsoku w:val="0"/>
              <w:overflowPunct w:val="0"/>
              <w:autoSpaceDE w:val="0"/>
              <w:autoSpaceDN w:val="0"/>
              <w:adjustRightInd w:val="0"/>
              <w:spacing w:before="3"/>
              <w:ind w:left="460"/>
              <w:jc w:val="both"/>
              <w:rPr>
                <w:rFonts w:eastAsia="Calibri"/>
                <w:b/>
                <w:bCs/>
                <w:spacing w:val="-4"/>
                <w:szCs w:val="24"/>
                <w:lang w:eastAsia="es-419"/>
              </w:rPr>
            </w:pPr>
            <w:r w:rsidRPr="00C10A6F">
              <w:rPr>
                <w:rFonts w:eastAsia="Calibri"/>
                <w:b/>
                <w:bCs/>
                <w:spacing w:val="-4"/>
                <w:szCs w:val="24"/>
                <w:lang w:eastAsia="es-419"/>
              </w:rPr>
              <w:lastRenderedPageBreak/>
              <w:t>Año</w:t>
            </w:r>
          </w:p>
        </w:tc>
        <w:tc>
          <w:tcPr>
            <w:tcW w:w="1262" w:type="dxa"/>
            <w:tcBorders>
              <w:top w:val="single" w:sz="8" w:space="0" w:color="000000"/>
              <w:left w:val="single" w:sz="8" w:space="0" w:color="000000"/>
              <w:bottom w:val="single" w:sz="8" w:space="0" w:color="000000"/>
              <w:right w:val="single" w:sz="8" w:space="0" w:color="000000"/>
            </w:tcBorders>
          </w:tcPr>
          <w:p w14:paraId="759E8C00" w14:textId="77777777" w:rsidR="00C10A6F" w:rsidRPr="00C10A6F" w:rsidRDefault="00C10A6F" w:rsidP="00C10A6F">
            <w:pPr>
              <w:kinsoku w:val="0"/>
              <w:overflowPunct w:val="0"/>
              <w:autoSpaceDE w:val="0"/>
              <w:autoSpaceDN w:val="0"/>
              <w:adjustRightInd w:val="0"/>
              <w:spacing w:before="3"/>
              <w:ind w:left="108"/>
              <w:jc w:val="both"/>
              <w:rPr>
                <w:rFonts w:eastAsia="Calibri"/>
                <w:b/>
                <w:bCs/>
                <w:spacing w:val="-2"/>
                <w:szCs w:val="24"/>
                <w:lang w:eastAsia="es-419"/>
              </w:rPr>
            </w:pPr>
            <w:r w:rsidRPr="00C10A6F">
              <w:rPr>
                <w:rFonts w:eastAsia="Calibri"/>
                <w:b/>
                <w:bCs/>
                <w:spacing w:val="-2"/>
                <w:szCs w:val="24"/>
                <w:lang w:eastAsia="es-419"/>
              </w:rPr>
              <w:t>Choques</w:t>
            </w:r>
          </w:p>
        </w:tc>
        <w:tc>
          <w:tcPr>
            <w:tcW w:w="1226" w:type="dxa"/>
            <w:tcBorders>
              <w:top w:val="single" w:sz="8" w:space="0" w:color="000000"/>
              <w:left w:val="single" w:sz="8" w:space="0" w:color="000000"/>
              <w:bottom w:val="single" w:sz="8" w:space="0" w:color="000000"/>
              <w:right w:val="single" w:sz="8" w:space="0" w:color="000000"/>
            </w:tcBorders>
          </w:tcPr>
          <w:p w14:paraId="5E6DD143" w14:textId="77777777" w:rsidR="00C10A6F" w:rsidRPr="00C10A6F" w:rsidRDefault="00C10A6F" w:rsidP="00C10A6F">
            <w:pPr>
              <w:kinsoku w:val="0"/>
              <w:overflowPunct w:val="0"/>
              <w:autoSpaceDE w:val="0"/>
              <w:autoSpaceDN w:val="0"/>
              <w:adjustRightInd w:val="0"/>
              <w:spacing w:before="3"/>
              <w:ind w:left="178"/>
              <w:jc w:val="both"/>
              <w:rPr>
                <w:rFonts w:eastAsia="Calibri"/>
                <w:b/>
                <w:bCs/>
                <w:spacing w:val="-2"/>
                <w:szCs w:val="24"/>
                <w:lang w:eastAsia="es-419"/>
              </w:rPr>
            </w:pPr>
            <w:r w:rsidRPr="00C10A6F">
              <w:rPr>
                <w:rFonts w:eastAsia="Calibri"/>
                <w:b/>
                <w:bCs/>
                <w:spacing w:val="-2"/>
                <w:szCs w:val="24"/>
                <w:lang w:eastAsia="es-419"/>
              </w:rPr>
              <w:t>Heridos</w:t>
            </w:r>
          </w:p>
        </w:tc>
        <w:tc>
          <w:tcPr>
            <w:tcW w:w="1662" w:type="dxa"/>
            <w:tcBorders>
              <w:top w:val="single" w:sz="8" w:space="0" w:color="000000"/>
              <w:left w:val="single" w:sz="8" w:space="0" w:color="000000"/>
              <w:bottom w:val="single" w:sz="8" w:space="0" w:color="000000"/>
              <w:right w:val="single" w:sz="8" w:space="0" w:color="000000"/>
            </w:tcBorders>
          </w:tcPr>
          <w:p w14:paraId="3601DB85" w14:textId="77777777" w:rsidR="00C10A6F" w:rsidRPr="00C10A6F" w:rsidRDefault="00C10A6F" w:rsidP="00C10A6F">
            <w:pPr>
              <w:kinsoku w:val="0"/>
              <w:overflowPunct w:val="0"/>
              <w:autoSpaceDE w:val="0"/>
              <w:autoSpaceDN w:val="0"/>
              <w:adjustRightInd w:val="0"/>
              <w:spacing w:before="3"/>
              <w:ind w:left="154"/>
              <w:jc w:val="both"/>
              <w:rPr>
                <w:rFonts w:eastAsia="Calibri"/>
                <w:b/>
                <w:bCs/>
                <w:spacing w:val="-2"/>
                <w:szCs w:val="24"/>
                <w:lang w:eastAsia="es-419"/>
              </w:rPr>
            </w:pPr>
            <w:r w:rsidRPr="00C10A6F">
              <w:rPr>
                <w:rFonts w:eastAsia="Calibri"/>
                <w:b/>
                <w:bCs/>
                <w:spacing w:val="-2"/>
                <w:szCs w:val="24"/>
                <w:lang w:eastAsia="es-419"/>
              </w:rPr>
              <w:t>Fatalidades</w:t>
            </w:r>
          </w:p>
        </w:tc>
      </w:tr>
      <w:tr w:rsidR="00C10A6F" w:rsidRPr="00C10A6F" w14:paraId="4EDAD60F" w14:textId="77777777">
        <w:trPr>
          <w:trHeight w:val="476"/>
        </w:trPr>
        <w:tc>
          <w:tcPr>
            <w:tcW w:w="1397" w:type="dxa"/>
            <w:tcBorders>
              <w:top w:val="single" w:sz="8" w:space="0" w:color="000000"/>
              <w:left w:val="single" w:sz="8" w:space="0" w:color="000000"/>
              <w:bottom w:val="single" w:sz="8" w:space="0" w:color="000000"/>
              <w:right w:val="single" w:sz="8" w:space="0" w:color="000000"/>
            </w:tcBorders>
          </w:tcPr>
          <w:p w14:paraId="7DF7D4E6" w14:textId="77777777" w:rsidR="00C10A6F" w:rsidRPr="00C10A6F" w:rsidRDefault="00C10A6F" w:rsidP="00C10A6F">
            <w:pPr>
              <w:kinsoku w:val="0"/>
              <w:overflowPunct w:val="0"/>
              <w:autoSpaceDE w:val="0"/>
              <w:autoSpaceDN w:val="0"/>
              <w:adjustRightInd w:val="0"/>
              <w:ind w:left="107"/>
              <w:jc w:val="both"/>
              <w:rPr>
                <w:rFonts w:eastAsia="Calibri"/>
                <w:spacing w:val="-4"/>
                <w:szCs w:val="24"/>
                <w:lang w:eastAsia="es-419"/>
              </w:rPr>
            </w:pPr>
            <w:r w:rsidRPr="00C10A6F">
              <w:rPr>
                <w:rFonts w:eastAsia="Calibri"/>
                <w:spacing w:val="-4"/>
                <w:szCs w:val="24"/>
                <w:lang w:eastAsia="es-419"/>
              </w:rPr>
              <w:t>2021</w:t>
            </w:r>
          </w:p>
        </w:tc>
        <w:tc>
          <w:tcPr>
            <w:tcW w:w="1262" w:type="dxa"/>
            <w:tcBorders>
              <w:top w:val="single" w:sz="8" w:space="0" w:color="000000"/>
              <w:left w:val="single" w:sz="8" w:space="0" w:color="000000"/>
              <w:bottom w:val="single" w:sz="8" w:space="0" w:color="000000"/>
              <w:right w:val="single" w:sz="8" w:space="0" w:color="000000"/>
            </w:tcBorders>
          </w:tcPr>
          <w:p w14:paraId="27AF7D7C" w14:textId="77777777" w:rsidR="00C10A6F" w:rsidRPr="00C10A6F" w:rsidRDefault="00C10A6F" w:rsidP="00C10A6F">
            <w:pPr>
              <w:kinsoku w:val="0"/>
              <w:overflowPunct w:val="0"/>
              <w:autoSpaceDE w:val="0"/>
              <w:autoSpaceDN w:val="0"/>
              <w:adjustRightInd w:val="0"/>
              <w:ind w:left="108"/>
              <w:jc w:val="both"/>
              <w:rPr>
                <w:rFonts w:eastAsia="Calibri"/>
                <w:spacing w:val="-2"/>
                <w:szCs w:val="24"/>
                <w:lang w:eastAsia="es-419"/>
              </w:rPr>
            </w:pPr>
            <w:r w:rsidRPr="00C10A6F">
              <w:rPr>
                <w:rFonts w:eastAsia="Calibri"/>
                <w:spacing w:val="-2"/>
                <w:szCs w:val="24"/>
                <w:lang w:eastAsia="es-419"/>
              </w:rPr>
              <w:t>16,052</w:t>
            </w:r>
          </w:p>
        </w:tc>
        <w:tc>
          <w:tcPr>
            <w:tcW w:w="1226" w:type="dxa"/>
            <w:tcBorders>
              <w:top w:val="single" w:sz="8" w:space="0" w:color="000000"/>
              <w:left w:val="single" w:sz="8" w:space="0" w:color="000000"/>
              <w:bottom w:val="single" w:sz="8" w:space="0" w:color="000000"/>
              <w:right w:val="single" w:sz="8" w:space="0" w:color="000000"/>
            </w:tcBorders>
          </w:tcPr>
          <w:p w14:paraId="126DBE90" w14:textId="77777777" w:rsidR="00C10A6F" w:rsidRPr="00C10A6F" w:rsidRDefault="00C10A6F" w:rsidP="00C10A6F">
            <w:pPr>
              <w:kinsoku w:val="0"/>
              <w:overflowPunct w:val="0"/>
              <w:autoSpaceDE w:val="0"/>
              <w:autoSpaceDN w:val="0"/>
              <w:adjustRightInd w:val="0"/>
              <w:ind w:left="108"/>
              <w:jc w:val="both"/>
              <w:rPr>
                <w:rFonts w:eastAsia="Calibri"/>
                <w:spacing w:val="-2"/>
                <w:szCs w:val="24"/>
                <w:lang w:eastAsia="es-419"/>
              </w:rPr>
            </w:pPr>
            <w:r w:rsidRPr="00C10A6F">
              <w:rPr>
                <w:rFonts w:eastAsia="Calibri"/>
                <w:spacing w:val="-2"/>
                <w:szCs w:val="24"/>
                <w:lang w:eastAsia="es-419"/>
              </w:rPr>
              <w:t>1,695</w:t>
            </w:r>
          </w:p>
        </w:tc>
        <w:tc>
          <w:tcPr>
            <w:tcW w:w="1662" w:type="dxa"/>
            <w:tcBorders>
              <w:top w:val="single" w:sz="8" w:space="0" w:color="000000"/>
              <w:left w:val="single" w:sz="8" w:space="0" w:color="000000"/>
              <w:bottom w:val="single" w:sz="8" w:space="0" w:color="000000"/>
              <w:right w:val="single" w:sz="8" w:space="0" w:color="000000"/>
            </w:tcBorders>
          </w:tcPr>
          <w:p w14:paraId="17345CDA" w14:textId="77777777" w:rsidR="00C10A6F" w:rsidRPr="00C10A6F" w:rsidRDefault="00C10A6F" w:rsidP="00C10A6F">
            <w:pPr>
              <w:kinsoku w:val="0"/>
              <w:overflowPunct w:val="0"/>
              <w:autoSpaceDE w:val="0"/>
              <w:autoSpaceDN w:val="0"/>
              <w:adjustRightInd w:val="0"/>
              <w:ind w:left="109"/>
              <w:jc w:val="both"/>
              <w:rPr>
                <w:rFonts w:eastAsia="Calibri"/>
                <w:spacing w:val="-6"/>
                <w:szCs w:val="24"/>
                <w:lang w:eastAsia="es-419"/>
              </w:rPr>
            </w:pPr>
            <w:r w:rsidRPr="00C10A6F">
              <w:rPr>
                <w:rFonts w:eastAsia="Calibri"/>
                <w:spacing w:val="-6"/>
                <w:szCs w:val="24"/>
                <w:lang w:eastAsia="es-419"/>
              </w:rPr>
              <w:t>70</w:t>
            </w:r>
          </w:p>
        </w:tc>
      </w:tr>
      <w:tr w:rsidR="00C10A6F" w:rsidRPr="00C10A6F" w14:paraId="745FA004" w14:textId="77777777">
        <w:trPr>
          <w:trHeight w:val="476"/>
        </w:trPr>
        <w:tc>
          <w:tcPr>
            <w:tcW w:w="1397" w:type="dxa"/>
            <w:tcBorders>
              <w:top w:val="single" w:sz="8" w:space="0" w:color="000000"/>
              <w:left w:val="single" w:sz="8" w:space="0" w:color="000000"/>
              <w:bottom w:val="single" w:sz="8" w:space="0" w:color="000000"/>
              <w:right w:val="single" w:sz="8" w:space="0" w:color="000000"/>
            </w:tcBorders>
          </w:tcPr>
          <w:p w14:paraId="3C52E680" w14:textId="77777777" w:rsidR="00C10A6F" w:rsidRPr="00C10A6F" w:rsidRDefault="00C10A6F" w:rsidP="00C10A6F">
            <w:pPr>
              <w:kinsoku w:val="0"/>
              <w:overflowPunct w:val="0"/>
              <w:autoSpaceDE w:val="0"/>
              <w:autoSpaceDN w:val="0"/>
              <w:adjustRightInd w:val="0"/>
              <w:ind w:left="107"/>
              <w:jc w:val="both"/>
              <w:rPr>
                <w:rFonts w:eastAsia="Calibri"/>
                <w:spacing w:val="-4"/>
                <w:szCs w:val="24"/>
                <w:lang w:eastAsia="es-419"/>
              </w:rPr>
            </w:pPr>
            <w:r w:rsidRPr="00C10A6F">
              <w:rPr>
                <w:rFonts w:eastAsia="Calibri"/>
                <w:spacing w:val="-4"/>
                <w:szCs w:val="24"/>
                <w:lang w:eastAsia="es-419"/>
              </w:rPr>
              <w:t>2022</w:t>
            </w:r>
          </w:p>
        </w:tc>
        <w:tc>
          <w:tcPr>
            <w:tcW w:w="1262" w:type="dxa"/>
            <w:tcBorders>
              <w:top w:val="single" w:sz="8" w:space="0" w:color="000000"/>
              <w:left w:val="single" w:sz="8" w:space="0" w:color="000000"/>
              <w:bottom w:val="single" w:sz="8" w:space="0" w:color="000000"/>
              <w:right w:val="single" w:sz="8" w:space="0" w:color="000000"/>
            </w:tcBorders>
          </w:tcPr>
          <w:p w14:paraId="5361894D" w14:textId="77777777" w:rsidR="00C10A6F" w:rsidRPr="00C10A6F" w:rsidRDefault="00C10A6F" w:rsidP="00C10A6F">
            <w:pPr>
              <w:kinsoku w:val="0"/>
              <w:overflowPunct w:val="0"/>
              <w:autoSpaceDE w:val="0"/>
              <w:autoSpaceDN w:val="0"/>
              <w:adjustRightInd w:val="0"/>
              <w:ind w:left="108"/>
              <w:jc w:val="both"/>
              <w:rPr>
                <w:rFonts w:eastAsia="Calibri"/>
                <w:spacing w:val="-2"/>
                <w:szCs w:val="24"/>
                <w:lang w:eastAsia="es-419"/>
              </w:rPr>
            </w:pPr>
            <w:r w:rsidRPr="00C10A6F">
              <w:rPr>
                <w:rFonts w:eastAsia="Calibri"/>
                <w:spacing w:val="-2"/>
                <w:szCs w:val="24"/>
                <w:lang w:eastAsia="es-419"/>
              </w:rPr>
              <w:t>16,219</w:t>
            </w:r>
          </w:p>
        </w:tc>
        <w:tc>
          <w:tcPr>
            <w:tcW w:w="1226" w:type="dxa"/>
            <w:tcBorders>
              <w:top w:val="single" w:sz="8" w:space="0" w:color="000000"/>
              <w:left w:val="single" w:sz="8" w:space="0" w:color="000000"/>
              <w:bottom w:val="single" w:sz="8" w:space="0" w:color="000000"/>
              <w:right w:val="single" w:sz="8" w:space="0" w:color="000000"/>
            </w:tcBorders>
          </w:tcPr>
          <w:p w14:paraId="5FDD2FC7" w14:textId="77777777" w:rsidR="00C10A6F" w:rsidRPr="00C10A6F" w:rsidRDefault="00C10A6F" w:rsidP="00C10A6F">
            <w:pPr>
              <w:kinsoku w:val="0"/>
              <w:overflowPunct w:val="0"/>
              <w:autoSpaceDE w:val="0"/>
              <w:autoSpaceDN w:val="0"/>
              <w:adjustRightInd w:val="0"/>
              <w:ind w:left="108"/>
              <w:jc w:val="both"/>
              <w:rPr>
                <w:rFonts w:eastAsia="Calibri"/>
                <w:spacing w:val="-4"/>
                <w:szCs w:val="24"/>
                <w:lang w:eastAsia="es-419"/>
              </w:rPr>
            </w:pPr>
            <w:r w:rsidRPr="00C10A6F">
              <w:rPr>
                <w:rFonts w:eastAsia="Calibri"/>
                <w:spacing w:val="-4"/>
                <w:szCs w:val="24"/>
                <w:lang w:eastAsia="es-419"/>
              </w:rPr>
              <w:t>349</w:t>
            </w:r>
          </w:p>
        </w:tc>
        <w:tc>
          <w:tcPr>
            <w:tcW w:w="1662" w:type="dxa"/>
            <w:tcBorders>
              <w:top w:val="single" w:sz="8" w:space="0" w:color="000000"/>
              <w:left w:val="single" w:sz="8" w:space="0" w:color="000000"/>
              <w:bottom w:val="single" w:sz="8" w:space="0" w:color="000000"/>
              <w:right w:val="single" w:sz="8" w:space="0" w:color="000000"/>
            </w:tcBorders>
          </w:tcPr>
          <w:p w14:paraId="437ED935" w14:textId="77777777" w:rsidR="00C10A6F" w:rsidRPr="00C10A6F" w:rsidRDefault="00C10A6F" w:rsidP="00C10A6F">
            <w:pPr>
              <w:kinsoku w:val="0"/>
              <w:overflowPunct w:val="0"/>
              <w:autoSpaceDE w:val="0"/>
              <w:autoSpaceDN w:val="0"/>
              <w:adjustRightInd w:val="0"/>
              <w:ind w:left="109"/>
              <w:jc w:val="both"/>
              <w:rPr>
                <w:rFonts w:eastAsia="Calibri"/>
                <w:spacing w:val="-6"/>
                <w:szCs w:val="24"/>
                <w:lang w:eastAsia="es-419"/>
              </w:rPr>
            </w:pPr>
            <w:r w:rsidRPr="00C10A6F">
              <w:rPr>
                <w:rFonts w:eastAsia="Calibri"/>
                <w:spacing w:val="-6"/>
                <w:szCs w:val="24"/>
                <w:lang w:eastAsia="es-419"/>
              </w:rPr>
              <w:t>57</w:t>
            </w:r>
          </w:p>
        </w:tc>
      </w:tr>
      <w:tr w:rsidR="00C10A6F" w:rsidRPr="00C10A6F" w14:paraId="76AAD884" w14:textId="77777777">
        <w:trPr>
          <w:trHeight w:val="479"/>
        </w:trPr>
        <w:tc>
          <w:tcPr>
            <w:tcW w:w="1397" w:type="dxa"/>
            <w:tcBorders>
              <w:top w:val="single" w:sz="8" w:space="0" w:color="000000"/>
              <w:left w:val="single" w:sz="8" w:space="0" w:color="000000"/>
              <w:bottom w:val="single" w:sz="8" w:space="0" w:color="000000"/>
              <w:right w:val="single" w:sz="8" w:space="0" w:color="000000"/>
            </w:tcBorders>
          </w:tcPr>
          <w:p w14:paraId="138AAA86" w14:textId="77777777" w:rsidR="00C10A6F" w:rsidRPr="00C10A6F" w:rsidRDefault="00C10A6F" w:rsidP="00C10A6F">
            <w:pPr>
              <w:kinsoku w:val="0"/>
              <w:overflowPunct w:val="0"/>
              <w:autoSpaceDE w:val="0"/>
              <w:autoSpaceDN w:val="0"/>
              <w:adjustRightInd w:val="0"/>
              <w:spacing w:before="3"/>
              <w:ind w:left="107"/>
              <w:jc w:val="both"/>
              <w:rPr>
                <w:rFonts w:eastAsia="Calibri"/>
                <w:spacing w:val="-4"/>
                <w:szCs w:val="24"/>
                <w:lang w:eastAsia="es-419"/>
              </w:rPr>
            </w:pPr>
            <w:r w:rsidRPr="00C10A6F">
              <w:rPr>
                <w:rFonts w:eastAsia="Calibri"/>
                <w:spacing w:val="-4"/>
                <w:szCs w:val="24"/>
                <w:lang w:eastAsia="es-419"/>
              </w:rPr>
              <w:t>2023</w:t>
            </w:r>
          </w:p>
        </w:tc>
        <w:tc>
          <w:tcPr>
            <w:tcW w:w="1262" w:type="dxa"/>
            <w:tcBorders>
              <w:top w:val="single" w:sz="8" w:space="0" w:color="000000"/>
              <w:left w:val="single" w:sz="8" w:space="0" w:color="000000"/>
              <w:bottom w:val="single" w:sz="8" w:space="0" w:color="000000"/>
              <w:right w:val="single" w:sz="8" w:space="0" w:color="000000"/>
            </w:tcBorders>
          </w:tcPr>
          <w:p w14:paraId="49BC8DE7" w14:textId="77777777" w:rsidR="00C10A6F" w:rsidRPr="00C10A6F" w:rsidRDefault="00C10A6F" w:rsidP="00C10A6F">
            <w:pPr>
              <w:kinsoku w:val="0"/>
              <w:overflowPunct w:val="0"/>
              <w:autoSpaceDE w:val="0"/>
              <w:autoSpaceDN w:val="0"/>
              <w:adjustRightInd w:val="0"/>
              <w:spacing w:before="3"/>
              <w:ind w:left="108"/>
              <w:jc w:val="both"/>
              <w:rPr>
                <w:rFonts w:eastAsia="Calibri"/>
                <w:spacing w:val="-2"/>
                <w:szCs w:val="24"/>
                <w:lang w:eastAsia="es-419"/>
              </w:rPr>
            </w:pPr>
            <w:r w:rsidRPr="00C10A6F">
              <w:rPr>
                <w:rFonts w:eastAsia="Calibri"/>
                <w:spacing w:val="-2"/>
                <w:szCs w:val="24"/>
                <w:lang w:eastAsia="es-419"/>
              </w:rPr>
              <w:t>18,716</w:t>
            </w:r>
          </w:p>
        </w:tc>
        <w:tc>
          <w:tcPr>
            <w:tcW w:w="1226" w:type="dxa"/>
            <w:tcBorders>
              <w:top w:val="single" w:sz="8" w:space="0" w:color="000000"/>
              <w:left w:val="single" w:sz="8" w:space="0" w:color="000000"/>
              <w:bottom w:val="single" w:sz="8" w:space="0" w:color="000000"/>
              <w:right w:val="single" w:sz="8" w:space="0" w:color="000000"/>
            </w:tcBorders>
          </w:tcPr>
          <w:p w14:paraId="619CABBC" w14:textId="77777777" w:rsidR="00C10A6F" w:rsidRPr="00C10A6F" w:rsidRDefault="00C10A6F" w:rsidP="00C10A6F">
            <w:pPr>
              <w:kinsoku w:val="0"/>
              <w:overflowPunct w:val="0"/>
              <w:autoSpaceDE w:val="0"/>
              <w:autoSpaceDN w:val="0"/>
              <w:adjustRightInd w:val="0"/>
              <w:spacing w:before="3"/>
              <w:ind w:left="108"/>
              <w:jc w:val="both"/>
              <w:rPr>
                <w:rFonts w:eastAsia="Calibri"/>
                <w:spacing w:val="-4"/>
                <w:szCs w:val="24"/>
                <w:lang w:eastAsia="es-419"/>
              </w:rPr>
            </w:pPr>
            <w:r w:rsidRPr="00C10A6F">
              <w:rPr>
                <w:rFonts w:eastAsia="Calibri"/>
                <w:spacing w:val="-4"/>
                <w:szCs w:val="24"/>
                <w:lang w:eastAsia="es-419"/>
              </w:rPr>
              <w:t>471</w:t>
            </w:r>
          </w:p>
        </w:tc>
        <w:tc>
          <w:tcPr>
            <w:tcW w:w="1662" w:type="dxa"/>
            <w:tcBorders>
              <w:top w:val="single" w:sz="8" w:space="0" w:color="000000"/>
              <w:left w:val="single" w:sz="8" w:space="0" w:color="000000"/>
              <w:bottom w:val="single" w:sz="8" w:space="0" w:color="000000"/>
              <w:right w:val="single" w:sz="8" w:space="0" w:color="000000"/>
            </w:tcBorders>
          </w:tcPr>
          <w:p w14:paraId="52753CD0" w14:textId="77777777" w:rsidR="00C10A6F" w:rsidRPr="00C10A6F" w:rsidRDefault="00C10A6F" w:rsidP="00C10A6F">
            <w:pPr>
              <w:kinsoku w:val="0"/>
              <w:overflowPunct w:val="0"/>
              <w:autoSpaceDE w:val="0"/>
              <w:autoSpaceDN w:val="0"/>
              <w:adjustRightInd w:val="0"/>
              <w:spacing w:before="3"/>
              <w:ind w:left="109"/>
              <w:jc w:val="both"/>
              <w:rPr>
                <w:rFonts w:eastAsia="Calibri"/>
                <w:spacing w:val="-6"/>
                <w:szCs w:val="24"/>
                <w:lang w:eastAsia="es-419"/>
              </w:rPr>
            </w:pPr>
            <w:r w:rsidRPr="00C10A6F">
              <w:rPr>
                <w:rFonts w:eastAsia="Calibri"/>
                <w:spacing w:val="-6"/>
                <w:szCs w:val="24"/>
                <w:lang w:eastAsia="es-419"/>
              </w:rPr>
              <w:t>80</w:t>
            </w:r>
          </w:p>
        </w:tc>
      </w:tr>
      <w:tr w:rsidR="00C10A6F" w:rsidRPr="00C10A6F" w14:paraId="078899AE" w14:textId="77777777">
        <w:trPr>
          <w:trHeight w:val="476"/>
        </w:trPr>
        <w:tc>
          <w:tcPr>
            <w:tcW w:w="1397" w:type="dxa"/>
            <w:tcBorders>
              <w:top w:val="single" w:sz="8" w:space="0" w:color="000000"/>
              <w:left w:val="single" w:sz="8" w:space="0" w:color="000000"/>
              <w:bottom w:val="single" w:sz="8" w:space="0" w:color="000000"/>
              <w:right w:val="single" w:sz="8" w:space="0" w:color="000000"/>
            </w:tcBorders>
          </w:tcPr>
          <w:p w14:paraId="134141CF" w14:textId="77777777" w:rsidR="00C10A6F" w:rsidRPr="00C10A6F" w:rsidRDefault="00C10A6F" w:rsidP="00C10A6F">
            <w:pPr>
              <w:kinsoku w:val="0"/>
              <w:overflowPunct w:val="0"/>
              <w:autoSpaceDE w:val="0"/>
              <w:autoSpaceDN w:val="0"/>
              <w:adjustRightInd w:val="0"/>
              <w:ind w:left="107"/>
              <w:jc w:val="both"/>
              <w:rPr>
                <w:rFonts w:eastAsia="Calibri"/>
                <w:spacing w:val="-4"/>
                <w:szCs w:val="24"/>
                <w:lang w:eastAsia="es-419"/>
              </w:rPr>
            </w:pPr>
            <w:r w:rsidRPr="00C10A6F">
              <w:rPr>
                <w:rFonts w:eastAsia="Calibri"/>
                <w:spacing w:val="-4"/>
                <w:szCs w:val="24"/>
                <w:lang w:eastAsia="es-419"/>
              </w:rPr>
              <w:t>2024</w:t>
            </w:r>
          </w:p>
        </w:tc>
        <w:tc>
          <w:tcPr>
            <w:tcW w:w="1262" w:type="dxa"/>
            <w:tcBorders>
              <w:top w:val="single" w:sz="8" w:space="0" w:color="000000"/>
              <w:left w:val="single" w:sz="8" w:space="0" w:color="000000"/>
              <w:bottom w:val="single" w:sz="8" w:space="0" w:color="000000"/>
              <w:right w:val="single" w:sz="8" w:space="0" w:color="000000"/>
            </w:tcBorders>
          </w:tcPr>
          <w:p w14:paraId="49864D6F" w14:textId="77777777" w:rsidR="00C10A6F" w:rsidRPr="00C10A6F" w:rsidRDefault="00C10A6F" w:rsidP="00C10A6F">
            <w:pPr>
              <w:kinsoku w:val="0"/>
              <w:overflowPunct w:val="0"/>
              <w:autoSpaceDE w:val="0"/>
              <w:autoSpaceDN w:val="0"/>
              <w:adjustRightInd w:val="0"/>
              <w:ind w:left="108"/>
              <w:jc w:val="both"/>
              <w:rPr>
                <w:rFonts w:eastAsia="Calibri"/>
                <w:spacing w:val="-2"/>
                <w:szCs w:val="24"/>
                <w:lang w:eastAsia="es-419"/>
              </w:rPr>
            </w:pPr>
            <w:r w:rsidRPr="00C10A6F">
              <w:rPr>
                <w:rFonts w:eastAsia="Calibri"/>
                <w:spacing w:val="-2"/>
                <w:szCs w:val="24"/>
                <w:lang w:eastAsia="es-419"/>
              </w:rPr>
              <w:t>18,673</w:t>
            </w:r>
          </w:p>
        </w:tc>
        <w:tc>
          <w:tcPr>
            <w:tcW w:w="1226" w:type="dxa"/>
            <w:tcBorders>
              <w:top w:val="single" w:sz="8" w:space="0" w:color="000000"/>
              <w:left w:val="single" w:sz="8" w:space="0" w:color="000000"/>
              <w:bottom w:val="single" w:sz="8" w:space="0" w:color="000000"/>
              <w:right w:val="single" w:sz="8" w:space="0" w:color="000000"/>
            </w:tcBorders>
          </w:tcPr>
          <w:p w14:paraId="40556DBF" w14:textId="77777777" w:rsidR="00C10A6F" w:rsidRPr="00C10A6F" w:rsidRDefault="00C10A6F" w:rsidP="00C10A6F">
            <w:pPr>
              <w:kinsoku w:val="0"/>
              <w:overflowPunct w:val="0"/>
              <w:autoSpaceDE w:val="0"/>
              <w:autoSpaceDN w:val="0"/>
              <w:adjustRightInd w:val="0"/>
              <w:ind w:left="108"/>
              <w:jc w:val="both"/>
              <w:rPr>
                <w:rFonts w:eastAsia="Calibri"/>
                <w:spacing w:val="-4"/>
                <w:szCs w:val="24"/>
                <w:lang w:eastAsia="es-419"/>
              </w:rPr>
            </w:pPr>
            <w:r w:rsidRPr="00C10A6F">
              <w:rPr>
                <w:rFonts w:eastAsia="Calibri"/>
                <w:spacing w:val="-4"/>
                <w:szCs w:val="24"/>
                <w:lang w:eastAsia="es-419"/>
              </w:rPr>
              <w:t>508</w:t>
            </w:r>
          </w:p>
        </w:tc>
        <w:tc>
          <w:tcPr>
            <w:tcW w:w="1662" w:type="dxa"/>
            <w:tcBorders>
              <w:top w:val="single" w:sz="8" w:space="0" w:color="000000"/>
              <w:left w:val="single" w:sz="8" w:space="0" w:color="000000"/>
              <w:bottom w:val="single" w:sz="8" w:space="0" w:color="000000"/>
              <w:right w:val="single" w:sz="8" w:space="0" w:color="000000"/>
            </w:tcBorders>
          </w:tcPr>
          <w:p w14:paraId="28600ABC" w14:textId="77777777" w:rsidR="00C10A6F" w:rsidRPr="00C10A6F" w:rsidRDefault="00C10A6F" w:rsidP="00C10A6F">
            <w:pPr>
              <w:kinsoku w:val="0"/>
              <w:overflowPunct w:val="0"/>
              <w:autoSpaceDE w:val="0"/>
              <w:autoSpaceDN w:val="0"/>
              <w:adjustRightInd w:val="0"/>
              <w:ind w:left="109"/>
              <w:jc w:val="both"/>
              <w:rPr>
                <w:rFonts w:eastAsia="Calibri"/>
                <w:spacing w:val="-6"/>
                <w:szCs w:val="24"/>
                <w:lang w:eastAsia="es-419"/>
              </w:rPr>
            </w:pPr>
            <w:r w:rsidRPr="00C10A6F">
              <w:rPr>
                <w:rFonts w:eastAsia="Calibri"/>
                <w:spacing w:val="-6"/>
                <w:szCs w:val="24"/>
                <w:lang w:eastAsia="es-419"/>
              </w:rPr>
              <w:t>65</w:t>
            </w:r>
          </w:p>
        </w:tc>
      </w:tr>
    </w:tbl>
    <w:p w14:paraId="1E7C5159" w14:textId="77777777" w:rsidR="00C10A6F" w:rsidRDefault="00C10A6F" w:rsidP="00C10A6F">
      <w:pPr>
        <w:kinsoku w:val="0"/>
        <w:overflowPunct w:val="0"/>
        <w:autoSpaceDE w:val="0"/>
        <w:autoSpaceDN w:val="0"/>
        <w:adjustRightInd w:val="0"/>
        <w:spacing w:before="3"/>
        <w:ind w:left="1708" w:firstLine="452"/>
        <w:jc w:val="both"/>
        <w:rPr>
          <w:rFonts w:eastAsia="Calibri"/>
          <w:szCs w:val="24"/>
          <w:lang w:eastAsia="es-419"/>
        </w:rPr>
      </w:pPr>
      <w:r w:rsidRPr="00C10A6F">
        <w:rPr>
          <w:rFonts w:eastAsia="Calibri"/>
          <w:szCs w:val="24"/>
          <w:lang w:eastAsia="es-419"/>
        </w:rPr>
        <w:t>*El año 2024 es información preliminar</w:t>
      </w:r>
    </w:p>
    <w:p w14:paraId="4547529B" w14:textId="77777777" w:rsidR="00C10A6F" w:rsidRDefault="00C10A6F" w:rsidP="00C10A6F">
      <w:pPr>
        <w:kinsoku w:val="0"/>
        <w:overflowPunct w:val="0"/>
        <w:autoSpaceDE w:val="0"/>
        <w:autoSpaceDN w:val="0"/>
        <w:adjustRightInd w:val="0"/>
        <w:spacing w:before="3"/>
        <w:ind w:left="1708" w:firstLine="452"/>
        <w:jc w:val="both"/>
        <w:rPr>
          <w:rFonts w:eastAsia="Calibri"/>
          <w:szCs w:val="24"/>
          <w:lang w:eastAsia="es-419"/>
        </w:rPr>
      </w:pPr>
    </w:p>
    <w:p w14:paraId="0B397A4B" w14:textId="64E51362" w:rsidR="00C10A6F" w:rsidRDefault="00C10A6F" w:rsidP="00C10A6F">
      <w:pPr>
        <w:kinsoku w:val="0"/>
        <w:overflowPunct w:val="0"/>
        <w:autoSpaceDE w:val="0"/>
        <w:autoSpaceDN w:val="0"/>
        <w:adjustRightInd w:val="0"/>
        <w:spacing w:before="3"/>
        <w:rPr>
          <w:b/>
          <w:bCs/>
          <w:szCs w:val="24"/>
        </w:rPr>
      </w:pPr>
      <w:r w:rsidRPr="00C10A6F">
        <w:rPr>
          <w:b/>
          <w:bCs/>
          <w:szCs w:val="24"/>
        </w:rPr>
        <w:t>MUERTES POR CHOQUES DE TRÁNSITO HASTA EL 30 DE SEPTIEMBRE DE 2024</w:t>
      </w:r>
    </w:p>
    <w:p w14:paraId="11318FE1" w14:textId="77777777" w:rsidR="00C10A6F" w:rsidRDefault="00C10A6F" w:rsidP="00C10A6F">
      <w:pPr>
        <w:kinsoku w:val="0"/>
        <w:overflowPunct w:val="0"/>
        <w:autoSpaceDE w:val="0"/>
        <w:autoSpaceDN w:val="0"/>
        <w:adjustRightInd w:val="0"/>
        <w:spacing w:before="3"/>
        <w:ind w:firstLine="452"/>
        <w:jc w:val="center"/>
        <w:rPr>
          <w:b/>
          <w:bCs/>
          <w:szCs w:val="24"/>
        </w:rPr>
      </w:pPr>
    </w:p>
    <w:p w14:paraId="249B4950" w14:textId="3D6E7417" w:rsidR="00C10A6F" w:rsidRPr="00C10A6F" w:rsidRDefault="00C10A6F" w:rsidP="00C10A6F">
      <w:pPr>
        <w:kinsoku w:val="0"/>
        <w:overflowPunct w:val="0"/>
        <w:autoSpaceDE w:val="0"/>
        <w:autoSpaceDN w:val="0"/>
        <w:adjustRightInd w:val="0"/>
        <w:spacing w:before="3"/>
        <w:jc w:val="center"/>
        <w:rPr>
          <w:rFonts w:eastAsia="Calibri"/>
          <w:szCs w:val="24"/>
          <w:lang w:eastAsia="es-419"/>
        </w:rPr>
      </w:pPr>
      <w:r w:rsidRPr="00C10A6F">
        <w:rPr>
          <w:rFonts w:eastAsia="Calibri"/>
          <w:noProof/>
          <w:szCs w:val="24"/>
          <w:lang w:eastAsia="es-419"/>
        </w:rPr>
        <w:drawing>
          <wp:inline distT="0" distB="0" distL="0" distR="0" wp14:anchorId="2CCF1149" wp14:editId="72262BE2">
            <wp:extent cx="3406140" cy="2362200"/>
            <wp:effectExtent l="0" t="0" r="3810" b="0"/>
            <wp:docPr id="194451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6140" cy="2362200"/>
                    </a:xfrm>
                    <a:prstGeom prst="rect">
                      <a:avLst/>
                    </a:prstGeom>
                    <a:noFill/>
                    <a:ln>
                      <a:noFill/>
                    </a:ln>
                  </pic:spPr>
                </pic:pic>
              </a:graphicData>
            </a:graphic>
          </wp:inline>
        </w:drawing>
      </w:r>
    </w:p>
    <w:p w14:paraId="09CF3B9F" w14:textId="77777777" w:rsidR="00C10A6F" w:rsidRDefault="00C10A6F" w:rsidP="00C10A6F">
      <w:pPr>
        <w:tabs>
          <w:tab w:val="left" w:pos="0"/>
        </w:tabs>
        <w:ind w:firstLine="360"/>
        <w:jc w:val="both"/>
        <w:rPr>
          <w:rFonts w:ascii="Book Antiqua" w:hAnsi="Book Antiqua"/>
          <w:szCs w:val="24"/>
          <w:lang w:val="es-ES"/>
        </w:rPr>
      </w:pPr>
    </w:p>
    <w:p w14:paraId="5E93A278" w14:textId="77777777" w:rsidR="007E1EB1" w:rsidRDefault="007E1EB1" w:rsidP="00240422">
      <w:pPr>
        <w:tabs>
          <w:tab w:val="left" w:pos="0"/>
        </w:tabs>
        <w:ind w:firstLine="360"/>
        <w:jc w:val="both"/>
        <w:rPr>
          <w:rFonts w:ascii="Book Antiqua" w:hAnsi="Book Antiqua"/>
          <w:szCs w:val="24"/>
          <w:lang w:val="es-ES"/>
        </w:rPr>
      </w:pPr>
    </w:p>
    <w:p w14:paraId="038FB020" w14:textId="29232AAF" w:rsidR="007E1EB1" w:rsidRDefault="00C10A6F" w:rsidP="00240422">
      <w:pPr>
        <w:tabs>
          <w:tab w:val="left" w:pos="0"/>
        </w:tabs>
        <w:ind w:firstLine="360"/>
        <w:jc w:val="both"/>
        <w:rPr>
          <w:rFonts w:ascii="Book Antiqua" w:hAnsi="Book Antiqua"/>
          <w:szCs w:val="24"/>
          <w:lang w:val="es-ES"/>
        </w:rPr>
      </w:pPr>
      <w:r>
        <w:rPr>
          <w:rFonts w:ascii="Book Antiqua" w:hAnsi="Book Antiqua"/>
          <w:szCs w:val="24"/>
          <w:lang w:val="es-ES"/>
        </w:rPr>
        <w:t xml:space="preserve">Lamentablemente, </w:t>
      </w:r>
      <w:r w:rsidRPr="00C10A6F">
        <w:rPr>
          <w:rFonts w:ascii="Book Antiqua" w:hAnsi="Book Antiqua"/>
          <w:szCs w:val="24"/>
          <w:lang w:val="es-ES"/>
        </w:rPr>
        <w:t>con relación a las prácticas ilegales de conducción temeraria ocurridas durante las corridas ilegales de motoras, incluyendo las acrobacias y maniobras de alto riesgo que estos conductores realizan en las carreteras públicas de Puerto Rico</w:t>
      </w:r>
      <w:r>
        <w:rPr>
          <w:rFonts w:ascii="Book Antiqua" w:hAnsi="Book Antiqua"/>
          <w:szCs w:val="24"/>
          <w:lang w:val="es-ES"/>
        </w:rPr>
        <w:t>,</w:t>
      </w:r>
      <w:r w:rsidRPr="00C10A6F">
        <w:rPr>
          <w:rFonts w:ascii="Book Antiqua" w:hAnsi="Book Antiqua"/>
          <w:szCs w:val="24"/>
          <w:lang w:val="es-ES"/>
        </w:rPr>
        <w:t xml:space="preserve"> la Comisión en la Seguridad en el Tr</w:t>
      </w:r>
      <w:r>
        <w:rPr>
          <w:rFonts w:ascii="Book Antiqua" w:hAnsi="Book Antiqua"/>
          <w:szCs w:val="24"/>
          <w:lang w:val="es-ES"/>
        </w:rPr>
        <w:t>á</w:t>
      </w:r>
      <w:r w:rsidRPr="00C10A6F">
        <w:rPr>
          <w:rFonts w:ascii="Book Antiqua" w:hAnsi="Book Antiqua"/>
          <w:szCs w:val="24"/>
          <w:lang w:val="es-ES"/>
        </w:rPr>
        <w:t>nsito no cuenta con estadísticas</w:t>
      </w:r>
      <w:r>
        <w:rPr>
          <w:rFonts w:ascii="Book Antiqua" w:hAnsi="Book Antiqua"/>
          <w:szCs w:val="24"/>
          <w:lang w:val="es-ES"/>
        </w:rPr>
        <w:t xml:space="preserve">. </w:t>
      </w:r>
      <w:r w:rsidRPr="00C10A6F">
        <w:rPr>
          <w:rFonts w:ascii="Book Antiqua" w:hAnsi="Book Antiqua"/>
          <w:szCs w:val="24"/>
          <w:lang w:val="es-ES"/>
        </w:rPr>
        <w:t xml:space="preserve">Esto es debido a que los datos requeridos en el informe PPR-621.4 (Informe de Choques de NPPR) no provee para completar este tipo de información por lo que, en el Observatorio de Seguridad Vial, no se cuenta con </w:t>
      </w:r>
      <w:r>
        <w:rPr>
          <w:rFonts w:ascii="Book Antiqua" w:hAnsi="Book Antiqua"/>
          <w:szCs w:val="24"/>
          <w:lang w:val="es-ES"/>
        </w:rPr>
        <w:t>ese tipo de información.</w:t>
      </w:r>
    </w:p>
    <w:p w14:paraId="6020662E" w14:textId="77777777" w:rsidR="00240422" w:rsidRPr="00240422" w:rsidRDefault="00240422" w:rsidP="00240422">
      <w:pPr>
        <w:tabs>
          <w:tab w:val="left" w:pos="0"/>
        </w:tabs>
        <w:ind w:firstLine="360"/>
        <w:jc w:val="both"/>
        <w:rPr>
          <w:rFonts w:ascii="Book Antiqua" w:hAnsi="Book Antiqua"/>
          <w:szCs w:val="24"/>
          <w:lang w:val="es-ES"/>
        </w:rPr>
      </w:pPr>
    </w:p>
    <w:p w14:paraId="56F9B3A0" w14:textId="77777777" w:rsidR="002E38AD" w:rsidRDefault="00C10A6F" w:rsidP="00240422">
      <w:pPr>
        <w:tabs>
          <w:tab w:val="left" w:pos="0"/>
        </w:tabs>
        <w:ind w:firstLine="360"/>
        <w:jc w:val="both"/>
        <w:rPr>
          <w:rFonts w:ascii="Book Antiqua" w:hAnsi="Book Antiqua"/>
          <w:szCs w:val="24"/>
          <w:lang w:val="es-ES_tradnl"/>
        </w:rPr>
      </w:pPr>
      <w:r>
        <w:rPr>
          <w:rFonts w:ascii="Book Antiqua" w:hAnsi="Book Antiqua"/>
          <w:szCs w:val="24"/>
          <w:lang w:val="es-ES"/>
        </w:rPr>
        <w:t xml:space="preserve">No </w:t>
      </w:r>
      <w:r w:rsidR="002E38AD">
        <w:rPr>
          <w:rFonts w:ascii="Book Antiqua" w:hAnsi="Book Antiqua"/>
          <w:szCs w:val="24"/>
          <w:lang w:val="es-ES"/>
        </w:rPr>
        <w:t xml:space="preserve">obstante, debemos enfatizar en el hecho de que </w:t>
      </w:r>
      <w:r w:rsidR="00240422" w:rsidRPr="00240422">
        <w:rPr>
          <w:rFonts w:ascii="Book Antiqua" w:hAnsi="Book Antiqua"/>
          <w:szCs w:val="24"/>
          <w:lang w:val="es-ES_tradnl"/>
        </w:rPr>
        <w:t xml:space="preserve">la pieza legislativa </w:t>
      </w:r>
      <w:r w:rsidR="00240422">
        <w:rPr>
          <w:rFonts w:ascii="Book Antiqua" w:hAnsi="Book Antiqua"/>
          <w:szCs w:val="24"/>
          <w:lang w:val="es-ES_tradnl"/>
        </w:rPr>
        <w:t xml:space="preserve">objeto de este informe, </w:t>
      </w:r>
      <w:r w:rsidR="00240422" w:rsidRPr="00240422">
        <w:rPr>
          <w:rFonts w:ascii="Book Antiqua" w:hAnsi="Book Antiqua"/>
          <w:szCs w:val="24"/>
          <w:lang w:val="es-ES_tradnl"/>
        </w:rPr>
        <w:t>se encuentra perfectamente alineada con las protecciones establecidas en la Sección 19 del Artículo II de la Constitución de Puerto Rico</w:t>
      </w:r>
      <w:r w:rsidR="00240422" w:rsidRPr="00240422">
        <w:rPr>
          <w:rFonts w:ascii="Book Antiqua" w:hAnsi="Book Antiqua"/>
          <w:szCs w:val="24"/>
          <w:vertAlign w:val="superscript"/>
          <w:lang w:val="es-ES_tradnl"/>
        </w:rPr>
        <w:footnoteReference w:id="1"/>
      </w:r>
      <w:r w:rsidR="00240422" w:rsidRPr="00240422">
        <w:rPr>
          <w:rFonts w:ascii="Book Antiqua" w:hAnsi="Book Antiqua"/>
          <w:szCs w:val="24"/>
          <w:lang w:val="es-ES_tradnl"/>
        </w:rPr>
        <w:t>, específicamente, en lo relativo a la aprobación de leyes en protección de la vida, la salud y el bienestar del pueblo.</w:t>
      </w:r>
    </w:p>
    <w:p w14:paraId="51F3C778" w14:textId="7C7CB35B" w:rsidR="00240422" w:rsidRPr="00240422" w:rsidRDefault="00240422" w:rsidP="00240422">
      <w:pPr>
        <w:tabs>
          <w:tab w:val="left" w:pos="0"/>
        </w:tabs>
        <w:ind w:firstLine="360"/>
        <w:jc w:val="both"/>
        <w:rPr>
          <w:rFonts w:ascii="Book Antiqua" w:hAnsi="Book Antiqua"/>
          <w:szCs w:val="24"/>
          <w:lang w:val="es-ES_tradnl"/>
        </w:rPr>
      </w:pPr>
      <w:r w:rsidRPr="00240422">
        <w:rPr>
          <w:rFonts w:ascii="Book Antiqua" w:hAnsi="Book Antiqua"/>
          <w:szCs w:val="24"/>
          <w:lang w:val="es-ES_tradnl"/>
        </w:rPr>
        <w:lastRenderedPageBreak/>
        <w:t>Para finalizar, es preciso indicar que la Sección 1 del Artículo III de la Constitución de Puerto Rico</w:t>
      </w:r>
      <w:r w:rsidRPr="00240422">
        <w:rPr>
          <w:rFonts w:ascii="Book Antiqua" w:hAnsi="Book Antiqua"/>
          <w:szCs w:val="24"/>
          <w:vertAlign w:val="superscript"/>
          <w:lang w:val="es-ES_tradnl"/>
        </w:rPr>
        <w:footnoteReference w:id="2"/>
      </w:r>
      <w:r w:rsidRPr="00240422">
        <w:rPr>
          <w:rFonts w:ascii="Book Antiqua" w:hAnsi="Book Antiqua"/>
          <w:szCs w:val="24"/>
          <w:lang w:val="es-ES_tradnl"/>
        </w:rPr>
        <w:t>, delega a la Rama Legislativa la potestad de aprobar leyes. Por su parte, la Sección 17 del referido Artículo III</w:t>
      </w:r>
      <w:r w:rsidRPr="00240422">
        <w:rPr>
          <w:rFonts w:ascii="Book Antiqua" w:hAnsi="Book Antiqua"/>
          <w:szCs w:val="24"/>
          <w:vertAlign w:val="superscript"/>
          <w:lang w:val="es-ES_tradnl"/>
        </w:rPr>
        <w:footnoteReference w:id="3"/>
      </w:r>
      <w:r w:rsidRPr="00240422">
        <w:rPr>
          <w:rFonts w:ascii="Book Antiqua" w:hAnsi="Book Antiqua"/>
          <w:szCs w:val="24"/>
          <w:lang w:val="es-ES_tradnl"/>
        </w:rPr>
        <w:t>, delinea el proceso legislativo a observarse para que una legislación presentada se convierta en ley. Asimismo, la Sección 19 del mismo Artículo</w:t>
      </w:r>
      <w:r w:rsidRPr="00240422">
        <w:rPr>
          <w:rFonts w:ascii="Book Antiqua" w:hAnsi="Book Antiqua"/>
          <w:szCs w:val="24"/>
          <w:vertAlign w:val="superscript"/>
          <w:lang w:val="es-ES_tradnl"/>
        </w:rPr>
        <w:footnoteReference w:id="4"/>
      </w:r>
      <w:r w:rsidRPr="00240422">
        <w:rPr>
          <w:rFonts w:ascii="Book Antiqua" w:hAnsi="Book Antiqua"/>
          <w:szCs w:val="24"/>
          <w:lang w:val="es-ES_tradnl"/>
        </w:rPr>
        <w:t xml:space="preserve">, establece los requisitos constitucionales relativos a la aprobación de proyectos de ley, por los Cuerpos Legislativos y el Gobernador de Puerto Rico. </w:t>
      </w:r>
    </w:p>
    <w:p w14:paraId="0196E262" w14:textId="77777777" w:rsidR="007E1EB1" w:rsidRDefault="007E1EB1" w:rsidP="00240422">
      <w:pPr>
        <w:tabs>
          <w:tab w:val="left" w:pos="0"/>
        </w:tabs>
        <w:ind w:firstLine="360"/>
        <w:jc w:val="both"/>
        <w:rPr>
          <w:rFonts w:ascii="Book Antiqua" w:hAnsi="Book Antiqua"/>
          <w:szCs w:val="24"/>
          <w:lang w:val="es-ES_tradnl"/>
        </w:rPr>
      </w:pPr>
    </w:p>
    <w:p w14:paraId="10382E99" w14:textId="7E32E562" w:rsidR="00240422" w:rsidRPr="00240422" w:rsidRDefault="00240422" w:rsidP="00240422">
      <w:pPr>
        <w:tabs>
          <w:tab w:val="left" w:pos="0"/>
        </w:tabs>
        <w:ind w:firstLine="360"/>
        <w:jc w:val="both"/>
        <w:rPr>
          <w:rFonts w:ascii="Book Antiqua" w:hAnsi="Book Antiqua"/>
          <w:szCs w:val="24"/>
          <w:lang w:val="es-ES_tradnl"/>
        </w:rPr>
      </w:pPr>
      <w:r w:rsidRPr="00240422">
        <w:rPr>
          <w:rFonts w:ascii="Book Antiqua" w:hAnsi="Book Antiqua"/>
          <w:szCs w:val="24"/>
          <w:lang w:val="es-ES_tradnl"/>
        </w:rPr>
        <w:t>Expuesto ello, y a base de los preceptos constitucionales antes descritos, es imperativo reconocer que la aprobación del P. de</w:t>
      </w:r>
      <w:r w:rsidR="007E1EB1">
        <w:rPr>
          <w:rFonts w:ascii="Book Antiqua" w:hAnsi="Book Antiqua"/>
          <w:szCs w:val="24"/>
          <w:lang w:val="es-ES_tradnl"/>
        </w:rPr>
        <w:t xml:space="preserve"> la C. 375</w:t>
      </w:r>
      <w:r w:rsidRPr="00240422">
        <w:rPr>
          <w:rFonts w:ascii="Book Antiqua" w:hAnsi="Book Antiqua"/>
          <w:szCs w:val="24"/>
          <w:lang w:val="es-ES_tradnl"/>
        </w:rPr>
        <w:t xml:space="preserve"> es un ejercicio válido de la facultad de esta Asamblea Legislativa, según es aquí fundamentado.</w:t>
      </w:r>
    </w:p>
    <w:p w14:paraId="56605B8D" w14:textId="77777777" w:rsidR="00240422" w:rsidRPr="00240422" w:rsidRDefault="00240422" w:rsidP="00240422">
      <w:pPr>
        <w:tabs>
          <w:tab w:val="left" w:pos="9990"/>
        </w:tabs>
        <w:ind w:right="144" w:firstLine="360"/>
        <w:jc w:val="center"/>
        <w:rPr>
          <w:rFonts w:ascii="Book Antiqua" w:hAnsi="Book Antiqua"/>
          <w:b/>
          <w:bCs/>
          <w:szCs w:val="24"/>
          <w:lang w:val="es-ES"/>
        </w:rPr>
      </w:pPr>
    </w:p>
    <w:p w14:paraId="49A5245C" w14:textId="77777777" w:rsidR="00240422" w:rsidRPr="00240422" w:rsidRDefault="00240422" w:rsidP="00240422">
      <w:pPr>
        <w:tabs>
          <w:tab w:val="left" w:pos="9990"/>
        </w:tabs>
        <w:ind w:right="144" w:firstLine="360"/>
        <w:jc w:val="center"/>
        <w:rPr>
          <w:rFonts w:ascii="Book Antiqua" w:hAnsi="Book Antiqua"/>
          <w:b/>
          <w:bCs/>
          <w:szCs w:val="24"/>
          <w:lang w:val="es-ES"/>
        </w:rPr>
      </w:pPr>
      <w:r w:rsidRPr="00240422">
        <w:rPr>
          <w:rFonts w:ascii="Book Antiqua" w:hAnsi="Book Antiqua"/>
          <w:b/>
          <w:bCs/>
          <w:szCs w:val="24"/>
          <w:lang w:val="es-ES"/>
        </w:rPr>
        <w:t xml:space="preserve">IMPACTO FISCAL MUNICIPAL  </w:t>
      </w:r>
    </w:p>
    <w:p w14:paraId="5F70CC17" w14:textId="77777777" w:rsidR="00240422" w:rsidRPr="00240422" w:rsidRDefault="00240422" w:rsidP="00240422">
      <w:pPr>
        <w:tabs>
          <w:tab w:val="left" w:pos="9990"/>
        </w:tabs>
        <w:ind w:right="144" w:firstLine="630"/>
        <w:jc w:val="center"/>
        <w:rPr>
          <w:rFonts w:ascii="Book Antiqua" w:hAnsi="Book Antiqua"/>
          <w:szCs w:val="24"/>
          <w:lang w:val="es-ES"/>
        </w:rPr>
      </w:pPr>
    </w:p>
    <w:p w14:paraId="05527310" w14:textId="77777777" w:rsidR="00240422" w:rsidRPr="00240422" w:rsidRDefault="00240422" w:rsidP="00240422">
      <w:pPr>
        <w:tabs>
          <w:tab w:val="left" w:pos="9990"/>
        </w:tabs>
        <w:ind w:right="144" w:firstLine="360"/>
        <w:jc w:val="both"/>
        <w:rPr>
          <w:rFonts w:ascii="Book Antiqua" w:hAnsi="Book Antiqua"/>
          <w:szCs w:val="24"/>
          <w:lang w:val="es-ES"/>
        </w:rPr>
      </w:pPr>
      <w:r w:rsidRPr="00240422">
        <w:rPr>
          <w:rFonts w:ascii="Book Antiqua" w:hAnsi="Book Antiqua"/>
          <w:szCs w:val="24"/>
          <w:lang w:val="es-ES"/>
        </w:rPr>
        <w:t>Del análisis realizado por esta Comisión, a tenor con el Artículo 1.007 de la Ley 107-2020, según enmendada, conocida como “Código Municipal de Puerto Rico”, no surge que la medida tenga impacto fiscal sobre las finanzas municipales.</w:t>
      </w:r>
    </w:p>
    <w:p w14:paraId="4714E515" w14:textId="77777777" w:rsidR="00240422" w:rsidRPr="00240422" w:rsidRDefault="00240422" w:rsidP="00240422">
      <w:pPr>
        <w:tabs>
          <w:tab w:val="left" w:pos="9990"/>
        </w:tabs>
        <w:ind w:right="144" w:firstLine="630"/>
        <w:jc w:val="both"/>
        <w:rPr>
          <w:rFonts w:ascii="Book Antiqua" w:hAnsi="Book Antiqua"/>
          <w:szCs w:val="24"/>
          <w:lang w:val="es-ES"/>
        </w:rPr>
      </w:pPr>
    </w:p>
    <w:p w14:paraId="07A54048" w14:textId="77777777" w:rsidR="00240422" w:rsidRPr="00240422" w:rsidRDefault="00240422" w:rsidP="00240422">
      <w:pPr>
        <w:tabs>
          <w:tab w:val="left" w:pos="0"/>
        </w:tabs>
        <w:ind w:firstLine="360"/>
        <w:jc w:val="center"/>
        <w:rPr>
          <w:rFonts w:ascii="Book Antiqua" w:hAnsi="Book Antiqua"/>
          <w:b/>
          <w:szCs w:val="24"/>
          <w:lang w:val="es-ES"/>
        </w:rPr>
      </w:pPr>
      <w:r w:rsidRPr="00240422">
        <w:rPr>
          <w:rFonts w:ascii="Book Antiqua" w:hAnsi="Book Antiqua"/>
          <w:b/>
          <w:szCs w:val="24"/>
          <w:lang w:val="es-ES"/>
        </w:rPr>
        <w:t>CONCLUSIÓN</w:t>
      </w:r>
    </w:p>
    <w:p w14:paraId="699FC1FA" w14:textId="77777777" w:rsidR="00240422" w:rsidRPr="00240422" w:rsidRDefault="00240422" w:rsidP="00240422">
      <w:pPr>
        <w:tabs>
          <w:tab w:val="left" w:pos="0"/>
        </w:tabs>
        <w:ind w:firstLine="720"/>
        <w:jc w:val="center"/>
        <w:rPr>
          <w:rFonts w:ascii="Book Antiqua" w:hAnsi="Book Antiqua"/>
          <w:b/>
          <w:szCs w:val="24"/>
          <w:lang w:val="es-ES"/>
        </w:rPr>
      </w:pPr>
    </w:p>
    <w:p w14:paraId="30E17A06" w14:textId="77777777" w:rsidR="00240422" w:rsidRPr="00240422" w:rsidRDefault="00240422" w:rsidP="00240422">
      <w:pPr>
        <w:tabs>
          <w:tab w:val="left" w:pos="0"/>
        </w:tabs>
        <w:ind w:firstLine="360"/>
        <w:jc w:val="both"/>
        <w:rPr>
          <w:rFonts w:ascii="Book Antiqua" w:hAnsi="Book Antiqua"/>
          <w:szCs w:val="24"/>
          <w:lang w:val="es-ES"/>
        </w:rPr>
      </w:pPr>
      <w:r w:rsidRPr="00240422">
        <w:rPr>
          <w:rFonts w:ascii="Book Antiqua" w:hAnsi="Book Antiqua"/>
          <w:szCs w:val="24"/>
          <w:lang w:val="es-ES"/>
        </w:rPr>
        <w:t xml:space="preserve">Es tarea de la Asamblea Legislativa de Puerto Rico crear y aprobar política pública, la cual surge como respuesta a los cambios sociales que motivan la actualización del estado de derecho que rige el destino de todos los que aquí residimos. Por ello, podemos concluir que el propósito que origina la presentación de la medida ante nuestra consideración, es una acción cobijada dentro del amplio poder que tiene esta Rama, la cual fuera conferida por nuestros constituyentes. </w:t>
      </w:r>
    </w:p>
    <w:p w14:paraId="551308BA" w14:textId="77777777" w:rsidR="00240422" w:rsidRPr="00240422" w:rsidRDefault="00240422" w:rsidP="00240422">
      <w:pPr>
        <w:tabs>
          <w:tab w:val="left" w:pos="0"/>
        </w:tabs>
        <w:ind w:firstLine="360"/>
        <w:jc w:val="both"/>
        <w:rPr>
          <w:rFonts w:ascii="Book Antiqua" w:hAnsi="Book Antiqua"/>
          <w:szCs w:val="24"/>
          <w:lang w:val="es-ES"/>
        </w:rPr>
      </w:pPr>
    </w:p>
    <w:p w14:paraId="5642AB86" w14:textId="20B94258" w:rsidR="00240422" w:rsidRPr="00240422" w:rsidRDefault="00240422" w:rsidP="00240422">
      <w:pPr>
        <w:tabs>
          <w:tab w:val="left" w:pos="0"/>
        </w:tabs>
        <w:ind w:firstLine="360"/>
        <w:jc w:val="both"/>
        <w:rPr>
          <w:rFonts w:ascii="Book Antiqua" w:hAnsi="Book Antiqua"/>
          <w:b/>
          <w:bCs/>
          <w:szCs w:val="24"/>
          <w:lang w:val="es-ES"/>
        </w:rPr>
      </w:pPr>
      <w:r w:rsidRPr="00240422">
        <w:rPr>
          <w:rFonts w:ascii="Book Antiqua" w:hAnsi="Book Antiqua"/>
          <w:szCs w:val="24"/>
          <w:lang w:val="es-ES"/>
        </w:rPr>
        <w:lastRenderedPageBreak/>
        <w:t xml:space="preserve">Por todo lo anterior, la </w:t>
      </w:r>
      <w:r w:rsidR="00B17E78">
        <w:rPr>
          <w:rFonts w:ascii="Book Antiqua" w:hAnsi="Book Antiqua"/>
          <w:szCs w:val="24"/>
          <w:lang w:val="es-ES"/>
        </w:rPr>
        <w:t xml:space="preserve">Comisión </w:t>
      </w:r>
      <w:r w:rsidRPr="00240422">
        <w:rPr>
          <w:rFonts w:ascii="Book Antiqua" w:hAnsi="Book Antiqua"/>
          <w:szCs w:val="24"/>
          <w:lang w:val="es-ES"/>
        </w:rPr>
        <w:t>de Transportación, Telecomunicaciones, Servicios Públicos y Asuntos del Consumidor</w:t>
      </w:r>
      <w:r w:rsidR="00B17E78">
        <w:rPr>
          <w:rFonts w:ascii="Book Antiqua" w:hAnsi="Book Antiqua"/>
          <w:szCs w:val="24"/>
          <w:lang w:val="es-ES"/>
        </w:rPr>
        <w:t xml:space="preserve"> </w:t>
      </w:r>
      <w:r w:rsidRPr="00240422">
        <w:rPr>
          <w:rFonts w:ascii="Book Antiqua" w:hAnsi="Book Antiqua"/>
          <w:szCs w:val="24"/>
          <w:lang w:val="es-ES"/>
        </w:rPr>
        <w:t>del Senado de Puerto Rico, recomienda la aprobación del Proyecto de</w:t>
      </w:r>
      <w:r w:rsidR="007E1EB1">
        <w:rPr>
          <w:rFonts w:ascii="Book Antiqua" w:hAnsi="Book Antiqua"/>
          <w:szCs w:val="24"/>
          <w:lang w:val="es-ES"/>
        </w:rPr>
        <w:t xml:space="preserve"> la Cámara 375</w:t>
      </w:r>
      <w:r w:rsidRPr="00240422">
        <w:rPr>
          <w:rFonts w:ascii="Book Antiqua" w:hAnsi="Book Antiqua"/>
          <w:szCs w:val="24"/>
          <w:lang w:val="es-ES"/>
        </w:rPr>
        <w:t xml:space="preserve">, con las </w:t>
      </w:r>
      <w:r w:rsidRPr="00240422">
        <w:rPr>
          <w:rFonts w:ascii="Book Antiqua" w:hAnsi="Book Antiqua"/>
          <w:bCs/>
          <w:szCs w:val="24"/>
          <w:lang w:val="es-ES"/>
        </w:rPr>
        <w:t>enmiendas contenidas en el entirillado electrónico que acompaña a este informe</w:t>
      </w:r>
      <w:r w:rsidRPr="00240422">
        <w:rPr>
          <w:rFonts w:ascii="Book Antiqua" w:hAnsi="Book Antiqua"/>
          <w:szCs w:val="24"/>
          <w:lang w:val="es-ES"/>
        </w:rPr>
        <w:t>.</w:t>
      </w:r>
    </w:p>
    <w:p w14:paraId="56BB195B" w14:textId="77777777" w:rsidR="00240422" w:rsidRPr="00240422" w:rsidRDefault="00240422" w:rsidP="00240422">
      <w:pPr>
        <w:tabs>
          <w:tab w:val="left" w:pos="0"/>
        </w:tabs>
        <w:jc w:val="both"/>
        <w:rPr>
          <w:rFonts w:ascii="Book Antiqua" w:hAnsi="Book Antiqua"/>
          <w:b/>
          <w:bCs/>
          <w:sz w:val="16"/>
          <w:szCs w:val="16"/>
          <w:lang w:val="es-ES"/>
        </w:rPr>
      </w:pPr>
    </w:p>
    <w:p w14:paraId="62C8A48E" w14:textId="77777777" w:rsidR="00240422" w:rsidRPr="00240422" w:rsidRDefault="00240422" w:rsidP="00240422">
      <w:pPr>
        <w:tabs>
          <w:tab w:val="left" w:pos="0"/>
        </w:tabs>
        <w:jc w:val="both"/>
        <w:rPr>
          <w:rFonts w:ascii="Book Antiqua" w:hAnsi="Book Antiqua"/>
          <w:b/>
          <w:bCs/>
          <w:szCs w:val="24"/>
          <w:lang w:val="es-ES"/>
        </w:rPr>
      </w:pPr>
      <w:r w:rsidRPr="00240422">
        <w:rPr>
          <w:rFonts w:ascii="Book Antiqua" w:hAnsi="Book Antiqua"/>
          <w:b/>
          <w:bCs/>
          <w:szCs w:val="24"/>
          <w:lang w:val="es-ES"/>
        </w:rPr>
        <w:t>Respetuosamente sometido,</w:t>
      </w:r>
    </w:p>
    <w:p w14:paraId="465DB606" w14:textId="77777777" w:rsidR="00240422" w:rsidRPr="00240422" w:rsidRDefault="00240422" w:rsidP="00240422">
      <w:pPr>
        <w:tabs>
          <w:tab w:val="left" w:pos="0"/>
        </w:tabs>
        <w:jc w:val="both"/>
        <w:rPr>
          <w:rFonts w:ascii="Book Antiqua" w:hAnsi="Book Antiqua"/>
          <w:szCs w:val="24"/>
          <w:lang w:val="es-ES"/>
        </w:rPr>
      </w:pPr>
    </w:p>
    <w:p w14:paraId="141CE73D" w14:textId="77777777" w:rsidR="00240422" w:rsidRPr="00240422" w:rsidRDefault="00240422" w:rsidP="00240422">
      <w:pPr>
        <w:tabs>
          <w:tab w:val="left" w:pos="0"/>
        </w:tabs>
        <w:jc w:val="both"/>
        <w:rPr>
          <w:rFonts w:ascii="Book Antiqua" w:hAnsi="Book Antiqua"/>
          <w:szCs w:val="24"/>
          <w:lang w:val="es-ES"/>
        </w:rPr>
      </w:pPr>
    </w:p>
    <w:p w14:paraId="33DFC795" w14:textId="77777777" w:rsidR="00240422" w:rsidRPr="00240422" w:rsidRDefault="00240422" w:rsidP="00240422">
      <w:pPr>
        <w:tabs>
          <w:tab w:val="left" w:pos="0"/>
        </w:tabs>
        <w:jc w:val="both"/>
        <w:rPr>
          <w:rFonts w:ascii="Book Antiqua" w:hAnsi="Book Antiqua"/>
          <w:szCs w:val="24"/>
          <w:lang w:val="es-ES"/>
        </w:rPr>
      </w:pPr>
    </w:p>
    <w:p w14:paraId="2AF8705A" w14:textId="647AC536" w:rsidR="00240422" w:rsidRPr="00240422" w:rsidRDefault="00240422" w:rsidP="00240422">
      <w:pPr>
        <w:tabs>
          <w:tab w:val="left" w:pos="0"/>
        </w:tabs>
        <w:jc w:val="both"/>
        <w:rPr>
          <w:rFonts w:ascii="Book Antiqua" w:hAnsi="Book Antiqua"/>
          <w:szCs w:val="24"/>
          <w:lang w:val="es-ES"/>
        </w:rPr>
      </w:pPr>
      <w:r w:rsidRPr="00240422">
        <w:rPr>
          <w:rFonts w:ascii="Book Antiqua" w:hAnsi="Book Antiqua"/>
          <w:szCs w:val="24"/>
          <w:lang w:val="es-ES"/>
        </w:rPr>
        <w:t>__________________________________</w:t>
      </w:r>
      <w:r w:rsidRPr="00240422">
        <w:rPr>
          <w:rFonts w:ascii="Book Antiqua" w:hAnsi="Book Antiqua"/>
          <w:szCs w:val="24"/>
          <w:lang w:val="es-ES"/>
        </w:rPr>
        <w:tab/>
      </w:r>
      <w:r w:rsidRPr="00240422">
        <w:rPr>
          <w:rFonts w:ascii="Book Antiqua" w:hAnsi="Book Antiqua"/>
          <w:szCs w:val="24"/>
          <w:lang w:val="es-ES"/>
        </w:rPr>
        <w:tab/>
      </w:r>
      <w:r w:rsidRPr="00240422">
        <w:rPr>
          <w:rFonts w:ascii="Book Antiqua" w:hAnsi="Book Antiqua"/>
          <w:szCs w:val="24"/>
          <w:lang w:val="es-ES"/>
        </w:rPr>
        <w:tab/>
      </w:r>
    </w:p>
    <w:p w14:paraId="17FB02A4" w14:textId="54ECA3A6" w:rsidR="00240422" w:rsidRPr="00240422" w:rsidRDefault="00240422" w:rsidP="00240422">
      <w:pPr>
        <w:tabs>
          <w:tab w:val="left" w:pos="0"/>
        </w:tabs>
        <w:jc w:val="both"/>
        <w:rPr>
          <w:rFonts w:ascii="Book Antiqua" w:hAnsi="Book Antiqua"/>
          <w:szCs w:val="24"/>
          <w:lang w:val="es-ES"/>
        </w:rPr>
      </w:pPr>
      <w:r w:rsidRPr="00240422">
        <w:rPr>
          <w:rFonts w:ascii="Book Antiqua" w:hAnsi="Book Antiqua"/>
          <w:szCs w:val="24"/>
          <w:lang w:val="es-ES"/>
        </w:rPr>
        <w:t>Hon. Héctor Joaquín Sánchez Álvarez</w:t>
      </w:r>
      <w:r w:rsidRPr="00240422">
        <w:rPr>
          <w:rFonts w:ascii="Book Antiqua" w:hAnsi="Book Antiqua"/>
          <w:szCs w:val="24"/>
          <w:lang w:val="es-ES"/>
        </w:rPr>
        <w:tab/>
      </w:r>
      <w:r w:rsidRPr="00240422">
        <w:rPr>
          <w:rFonts w:ascii="Book Antiqua" w:hAnsi="Book Antiqua"/>
          <w:szCs w:val="24"/>
          <w:lang w:val="es-ES"/>
        </w:rPr>
        <w:tab/>
      </w:r>
      <w:r w:rsidRPr="00240422">
        <w:rPr>
          <w:rFonts w:ascii="Book Antiqua" w:hAnsi="Book Antiqua"/>
          <w:szCs w:val="24"/>
          <w:lang w:val="es-ES"/>
        </w:rPr>
        <w:tab/>
      </w:r>
    </w:p>
    <w:p w14:paraId="13A10E2B" w14:textId="154EFAE3" w:rsidR="00240422" w:rsidRPr="00240422" w:rsidRDefault="00240422" w:rsidP="00240422">
      <w:pPr>
        <w:tabs>
          <w:tab w:val="left" w:pos="0"/>
        </w:tabs>
        <w:jc w:val="both"/>
        <w:rPr>
          <w:rFonts w:ascii="Book Antiqua" w:hAnsi="Book Antiqua"/>
          <w:szCs w:val="24"/>
          <w:lang w:val="es-ES"/>
        </w:rPr>
      </w:pPr>
      <w:r w:rsidRPr="00240422">
        <w:rPr>
          <w:rFonts w:ascii="Book Antiqua" w:hAnsi="Book Antiqua"/>
          <w:szCs w:val="24"/>
          <w:lang w:val="es-ES"/>
        </w:rPr>
        <w:t>Presidente</w:t>
      </w:r>
      <w:r w:rsidRPr="00240422">
        <w:rPr>
          <w:rFonts w:ascii="Book Antiqua" w:hAnsi="Book Antiqua"/>
          <w:szCs w:val="24"/>
          <w:lang w:val="es-ES"/>
        </w:rPr>
        <w:tab/>
      </w:r>
      <w:r w:rsidRPr="00240422">
        <w:rPr>
          <w:rFonts w:ascii="Book Antiqua" w:hAnsi="Book Antiqua"/>
          <w:szCs w:val="24"/>
          <w:lang w:val="es-ES"/>
        </w:rPr>
        <w:tab/>
      </w:r>
      <w:r w:rsidRPr="00240422">
        <w:rPr>
          <w:rFonts w:ascii="Book Antiqua" w:hAnsi="Book Antiqua"/>
          <w:szCs w:val="24"/>
          <w:lang w:val="es-ES"/>
        </w:rPr>
        <w:tab/>
      </w:r>
      <w:r w:rsidRPr="00240422">
        <w:rPr>
          <w:rFonts w:ascii="Book Antiqua" w:hAnsi="Book Antiqua"/>
          <w:szCs w:val="24"/>
          <w:lang w:val="es-ES"/>
        </w:rPr>
        <w:tab/>
      </w:r>
      <w:r w:rsidRPr="00240422">
        <w:rPr>
          <w:rFonts w:ascii="Book Antiqua" w:hAnsi="Book Antiqua"/>
          <w:szCs w:val="24"/>
          <w:lang w:val="es-ES"/>
        </w:rPr>
        <w:tab/>
      </w:r>
      <w:r w:rsidRPr="00240422">
        <w:rPr>
          <w:rFonts w:ascii="Book Antiqua" w:hAnsi="Book Antiqua"/>
          <w:szCs w:val="24"/>
          <w:lang w:val="es-ES"/>
        </w:rPr>
        <w:tab/>
      </w:r>
      <w:r w:rsidRPr="00240422">
        <w:rPr>
          <w:rFonts w:ascii="Book Antiqua" w:hAnsi="Book Antiqua"/>
          <w:szCs w:val="24"/>
          <w:lang w:val="es-ES"/>
        </w:rPr>
        <w:tab/>
      </w:r>
    </w:p>
    <w:p w14:paraId="0E9A19BC" w14:textId="20A219D7" w:rsidR="00240422" w:rsidRPr="00240422" w:rsidRDefault="00240422" w:rsidP="00240422">
      <w:pPr>
        <w:tabs>
          <w:tab w:val="left" w:pos="0"/>
        </w:tabs>
        <w:jc w:val="both"/>
        <w:rPr>
          <w:rFonts w:ascii="Book Antiqua" w:hAnsi="Book Antiqua"/>
          <w:szCs w:val="24"/>
          <w:lang w:val="es-ES"/>
        </w:rPr>
      </w:pPr>
      <w:r w:rsidRPr="00240422">
        <w:rPr>
          <w:rFonts w:ascii="Book Antiqua" w:hAnsi="Book Antiqua"/>
          <w:szCs w:val="24"/>
          <w:lang w:val="es-ES"/>
        </w:rPr>
        <w:t>Comisión de Transportación, Telecomunicaciones,</w:t>
      </w:r>
      <w:r w:rsidR="00B17E78">
        <w:rPr>
          <w:rFonts w:ascii="Book Antiqua" w:hAnsi="Book Antiqua"/>
          <w:szCs w:val="24"/>
          <w:lang w:val="es-ES"/>
        </w:rPr>
        <w:t xml:space="preserve"> </w:t>
      </w:r>
      <w:r w:rsidRPr="00240422">
        <w:rPr>
          <w:rFonts w:ascii="Book Antiqua" w:hAnsi="Book Antiqua"/>
          <w:szCs w:val="24"/>
          <w:lang w:val="es-ES"/>
        </w:rPr>
        <w:t xml:space="preserve">Servicios Públicos y Asuntos del Consumidor </w:t>
      </w:r>
    </w:p>
    <w:p w14:paraId="14980A1E" w14:textId="77777777" w:rsidR="00240422" w:rsidRDefault="00240422" w:rsidP="00240422">
      <w:pPr>
        <w:tabs>
          <w:tab w:val="left" w:pos="720"/>
        </w:tabs>
        <w:ind w:left="720" w:right="720"/>
        <w:jc w:val="both"/>
        <w:rPr>
          <w:rFonts w:ascii="Book Antiqua" w:eastAsia="Calibri" w:hAnsi="Book Antiqua"/>
          <w:sz w:val="22"/>
          <w:szCs w:val="22"/>
          <w:lang w:val="es-ES"/>
        </w:rPr>
      </w:pPr>
    </w:p>
    <w:sectPr w:rsidR="00240422" w:rsidSect="00043754">
      <w:headerReference w:type="default" r:id="rId9"/>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26DC6" w14:textId="77777777" w:rsidR="00114143" w:rsidRDefault="00114143">
      <w:r>
        <w:separator/>
      </w:r>
    </w:p>
  </w:endnote>
  <w:endnote w:type="continuationSeparator" w:id="0">
    <w:p w14:paraId="2F0F9CA6" w14:textId="77777777" w:rsidR="00114143" w:rsidRDefault="0011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BBCF9" w14:textId="77777777" w:rsidR="00114143" w:rsidRDefault="00114143">
      <w:r>
        <w:separator/>
      </w:r>
    </w:p>
  </w:footnote>
  <w:footnote w:type="continuationSeparator" w:id="0">
    <w:p w14:paraId="0E253BB1" w14:textId="77777777" w:rsidR="00114143" w:rsidRDefault="00114143">
      <w:r>
        <w:continuationSeparator/>
      </w:r>
    </w:p>
  </w:footnote>
  <w:footnote w:id="1">
    <w:p w14:paraId="48DA045C" w14:textId="77777777" w:rsidR="00240422" w:rsidRPr="00240422" w:rsidRDefault="00240422" w:rsidP="00240422">
      <w:pPr>
        <w:pStyle w:val="FootnoteText"/>
        <w:jc w:val="both"/>
        <w:rPr>
          <w:sz w:val="16"/>
          <w:szCs w:val="16"/>
        </w:rPr>
      </w:pPr>
      <w:r w:rsidRPr="00240422">
        <w:rPr>
          <w:rStyle w:val="FootnoteReference"/>
          <w:sz w:val="16"/>
          <w:szCs w:val="16"/>
        </w:rPr>
        <w:footnoteRef/>
      </w:r>
      <w:r w:rsidRPr="00240422">
        <w:rPr>
          <w:sz w:val="16"/>
          <w:szCs w:val="16"/>
        </w:rPr>
        <w:t xml:space="preserve"> Esta Sección, específicamente, dispone que la enumeración de derechos que antecede (Carta de Derechos)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w:t>
      </w:r>
    </w:p>
  </w:footnote>
  <w:footnote w:id="2">
    <w:p w14:paraId="6EE606B3" w14:textId="77777777" w:rsidR="00240422" w:rsidRPr="00240422" w:rsidRDefault="00240422" w:rsidP="00240422">
      <w:pPr>
        <w:pStyle w:val="FootnoteText"/>
        <w:jc w:val="both"/>
        <w:rPr>
          <w:sz w:val="16"/>
          <w:szCs w:val="16"/>
        </w:rPr>
      </w:pPr>
      <w:r w:rsidRPr="00240422">
        <w:rPr>
          <w:rStyle w:val="FootnoteReference"/>
          <w:sz w:val="16"/>
          <w:szCs w:val="16"/>
        </w:rPr>
        <w:footnoteRef/>
      </w:r>
      <w:r w:rsidRPr="00240422">
        <w:rPr>
          <w:sz w:val="16"/>
          <w:szCs w:val="16"/>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3">
    <w:p w14:paraId="099BF399" w14:textId="77777777" w:rsidR="00240422" w:rsidRPr="00240422" w:rsidRDefault="00240422" w:rsidP="00240422">
      <w:pPr>
        <w:pStyle w:val="FootnoteText"/>
        <w:jc w:val="both"/>
        <w:rPr>
          <w:sz w:val="16"/>
          <w:szCs w:val="16"/>
        </w:rPr>
      </w:pPr>
      <w:r w:rsidRPr="00240422">
        <w:rPr>
          <w:rStyle w:val="FootnoteReference"/>
          <w:sz w:val="16"/>
          <w:szCs w:val="16"/>
        </w:rPr>
        <w:footnoteRef/>
      </w:r>
      <w:r w:rsidRPr="00240422">
        <w:rPr>
          <w:sz w:val="16"/>
          <w:szCs w:val="16"/>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4">
    <w:p w14:paraId="3EDCDDB8" w14:textId="77777777" w:rsidR="00240422" w:rsidRDefault="00240422" w:rsidP="00240422">
      <w:pPr>
        <w:pStyle w:val="FootnoteText"/>
        <w:jc w:val="both"/>
        <w:rPr>
          <w:rFonts w:ascii="Book Antiqua" w:hAnsi="Book Antiqua"/>
          <w:sz w:val="16"/>
          <w:szCs w:val="16"/>
        </w:rPr>
      </w:pPr>
      <w:r w:rsidRPr="00240422">
        <w:rPr>
          <w:rStyle w:val="FootnoteReference"/>
          <w:sz w:val="16"/>
          <w:szCs w:val="16"/>
        </w:rPr>
        <w:footnoteRef/>
      </w:r>
      <w:r w:rsidRPr="00240422">
        <w:rPr>
          <w:sz w:val="16"/>
          <w:szCs w:val="16"/>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w:t>
      </w:r>
      <w:r>
        <w:rPr>
          <w:rFonts w:ascii="Book Antiqua" w:hAnsi="Book Antiqua"/>
          <w:sz w:val="16"/>
          <w:szCs w:val="16"/>
        </w:rPr>
        <w:t xml:space="preserve"> objeciones a la cámara de origen dentro de diez días (exceptuando los domingos) contados a partir de la fecha en que lo hubiese recibido. </w:t>
      </w:r>
    </w:p>
    <w:p w14:paraId="3A32AAF8" w14:textId="77777777" w:rsidR="00240422" w:rsidRDefault="00240422" w:rsidP="00240422">
      <w:pPr>
        <w:pStyle w:val="FootnoteText"/>
        <w:jc w:val="both"/>
        <w:rPr>
          <w:rFonts w:ascii="Book Antiqua" w:hAnsi="Book Antiqua"/>
          <w:sz w:val="16"/>
          <w:szCs w:val="16"/>
        </w:rPr>
      </w:pPr>
    </w:p>
    <w:p w14:paraId="44D5BEBD" w14:textId="77777777" w:rsidR="00240422" w:rsidRDefault="00240422" w:rsidP="00240422">
      <w:pPr>
        <w:pStyle w:val="FootnoteText"/>
        <w:jc w:val="both"/>
        <w:rPr>
          <w:rFonts w:ascii="Book Antiqua" w:hAnsi="Book Antiqua"/>
          <w:sz w:val="16"/>
          <w:szCs w:val="16"/>
        </w:rPr>
      </w:pPr>
      <w:r>
        <w:rPr>
          <w:rFonts w:ascii="Book Antiqua" w:hAnsi="Book Antiqua"/>
          <w:sz w:val="16"/>
          <w:szCs w:val="16"/>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57033FE9" w14:textId="77777777" w:rsidR="00240422" w:rsidRDefault="00240422" w:rsidP="00240422">
      <w:pPr>
        <w:pStyle w:val="FootnoteText"/>
        <w:jc w:val="both"/>
        <w:rPr>
          <w:rFonts w:ascii="Book Antiqua" w:hAnsi="Book Antiqua"/>
          <w:sz w:val="16"/>
          <w:szCs w:val="16"/>
        </w:rPr>
      </w:pPr>
      <w:r>
        <w:rPr>
          <w:rFonts w:ascii="Book Antiqua" w:hAnsi="Book Antiqua"/>
          <w:sz w:val="16"/>
          <w:szCs w:val="16"/>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32B7B306" w14:textId="77777777" w:rsidR="00240422" w:rsidRDefault="00240422" w:rsidP="00240422">
      <w:pPr>
        <w:pStyle w:val="FootnoteText"/>
        <w:jc w:val="both"/>
        <w:rPr>
          <w:rFonts w:ascii="Book Antiqua" w:hAnsi="Book Antiqua"/>
          <w:sz w:val="16"/>
          <w:szCs w:val="16"/>
        </w:rPr>
      </w:pPr>
    </w:p>
    <w:p w14:paraId="4C5BBDCD" w14:textId="77777777" w:rsidR="00240422" w:rsidRDefault="00240422" w:rsidP="00240422">
      <w:pPr>
        <w:pStyle w:val="FootnoteText"/>
        <w:jc w:val="both"/>
        <w:rPr>
          <w:sz w:val="16"/>
          <w:szCs w:val="16"/>
        </w:rPr>
      </w:pPr>
      <w:r>
        <w:rPr>
          <w:rFonts w:ascii="Book Antiqua" w:hAnsi="Book Antiqua"/>
          <w:sz w:val="16"/>
          <w:szCs w:val="16"/>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7B08B" w14:textId="77777777" w:rsidR="00C82532" w:rsidRDefault="00C8253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61960BA"/>
    <w:multiLevelType w:val="hybridMultilevel"/>
    <w:tmpl w:val="B3204502"/>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7E2067B3"/>
    <w:multiLevelType w:val="hybridMultilevel"/>
    <w:tmpl w:val="27D0C09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6"/>
  </w:num>
  <w:num w:numId="9" w16cid:durableId="630483635">
    <w:abstractNumId w:val="4"/>
  </w:num>
  <w:num w:numId="10" w16cid:durableId="393698790">
    <w:abstractNumId w:val="20"/>
  </w:num>
  <w:num w:numId="11" w16cid:durableId="2141413603">
    <w:abstractNumId w:val="3"/>
  </w:num>
  <w:num w:numId="12" w16cid:durableId="1114520518">
    <w:abstractNumId w:val="17"/>
  </w:num>
  <w:num w:numId="13" w16cid:durableId="1638685194">
    <w:abstractNumId w:val="2"/>
  </w:num>
  <w:num w:numId="14" w16cid:durableId="2044596934">
    <w:abstractNumId w:val="7"/>
  </w:num>
  <w:num w:numId="15" w16cid:durableId="1668971395">
    <w:abstractNumId w:val="22"/>
  </w:num>
  <w:num w:numId="16" w16cid:durableId="645554478">
    <w:abstractNumId w:val="11"/>
  </w:num>
  <w:num w:numId="17" w16cid:durableId="1837109528">
    <w:abstractNumId w:val="18"/>
  </w:num>
  <w:num w:numId="18" w16cid:durableId="1720202599">
    <w:abstractNumId w:val="13"/>
  </w:num>
  <w:num w:numId="19" w16cid:durableId="2126851350">
    <w:abstractNumId w:val="5"/>
  </w:num>
  <w:num w:numId="20" w16cid:durableId="1844008711">
    <w:abstractNumId w:val="15"/>
  </w:num>
  <w:num w:numId="21" w16cid:durableId="2044818628">
    <w:abstractNumId w:val="12"/>
  </w:num>
  <w:num w:numId="22" w16cid:durableId="1201044999">
    <w:abstractNumId w:val="1"/>
  </w:num>
  <w:num w:numId="23" w16cid:durableId="675884255">
    <w:abstractNumId w:val="19"/>
  </w:num>
  <w:num w:numId="24" w16cid:durableId="369571477">
    <w:abstractNumId w:val="8"/>
  </w:num>
  <w:num w:numId="25" w16cid:durableId="2020963415">
    <w:abstractNumId w:val="23"/>
  </w:num>
  <w:num w:numId="26" w16cid:durableId="8066247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051C"/>
    <w:rsid w:val="0001265C"/>
    <w:rsid w:val="00023B98"/>
    <w:rsid w:val="0002624E"/>
    <w:rsid w:val="00030A41"/>
    <w:rsid w:val="000316EB"/>
    <w:rsid w:val="00035804"/>
    <w:rsid w:val="00043754"/>
    <w:rsid w:val="00046743"/>
    <w:rsid w:val="000539B1"/>
    <w:rsid w:val="00054437"/>
    <w:rsid w:val="00054647"/>
    <w:rsid w:val="00055534"/>
    <w:rsid w:val="0005786C"/>
    <w:rsid w:val="00057B0E"/>
    <w:rsid w:val="00061786"/>
    <w:rsid w:val="00063BBB"/>
    <w:rsid w:val="00064056"/>
    <w:rsid w:val="00072162"/>
    <w:rsid w:val="00074D98"/>
    <w:rsid w:val="00092F2C"/>
    <w:rsid w:val="00095623"/>
    <w:rsid w:val="000A0A65"/>
    <w:rsid w:val="000B1F5E"/>
    <w:rsid w:val="000B20A8"/>
    <w:rsid w:val="000C4DE3"/>
    <w:rsid w:val="000D0A75"/>
    <w:rsid w:val="000D649C"/>
    <w:rsid w:val="000E4634"/>
    <w:rsid w:val="000E5521"/>
    <w:rsid w:val="000F3FE2"/>
    <w:rsid w:val="000F76D4"/>
    <w:rsid w:val="00114143"/>
    <w:rsid w:val="001167D1"/>
    <w:rsid w:val="001276DE"/>
    <w:rsid w:val="0013260A"/>
    <w:rsid w:val="0013755C"/>
    <w:rsid w:val="001376E8"/>
    <w:rsid w:val="00143F28"/>
    <w:rsid w:val="0015787C"/>
    <w:rsid w:val="00161091"/>
    <w:rsid w:val="0016541D"/>
    <w:rsid w:val="0016559E"/>
    <w:rsid w:val="00165B86"/>
    <w:rsid w:val="00165D22"/>
    <w:rsid w:val="001762E5"/>
    <w:rsid w:val="0018035F"/>
    <w:rsid w:val="00186134"/>
    <w:rsid w:val="001A3664"/>
    <w:rsid w:val="001A59F6"/>
    <w:rsid w:val="001A64B6"/>
    <w:rsid w:val="001B2C29"/>
    <w:rsid w:val="001C2D20"/>
    <w:rsid w:val="001C4D34"/>
    <w:rsid w:val="001C515C"/>
    <w:rsid w:val="001C6262"/>
    <w:rsid w:val="001C62D6"/>
    <w:rsid w:val="001D57D5"/>
    <w:rsid w:val="001E1B35"/>
    <w:rsid w:val="001E1C03"/>
    <w:rsid w:val="001E3957"/>
    <w:rsid w:val="001E3A48"/>
    <w:rsid w:val="001F0509"/>
    <w:rsid w:val="0022396C"/>
    <w:rsid w:val="002241E1"/>
    <w:rsid w:val="00224CDE"/>
    <w:rsid w:val="00225787"/>
    <w:rsid w:val="00231C09"/>
    <w:rsid w:val="002400DD"/>
    <w:rsid w:val="00240422"/>
    <w:rsid w:val="002435A5"/>
    <w:rsid w:val="00247744"/>
    <w:rsid w:val="00250C98"/>
    <w:rsid w:val="00267D17"/>
    <w:rsid w:val="00270D8F"/>
    <w:rsid w:val="00280307"/>
    <w:rsid w:val="002855ED"/>
    <w:rsid w:val="00286D9D"/>
    <w:rsid w:val="0029408C"/>
    <w:rsid w:val="00296108"/>
    <w:rsid w:val="002A0D72"/>
    <w:rsid w:val="002A18A9"/>
    <w:rsid w:val="002D5430"/>
    <w:rsid w:val="002D5F4E"/>
    <w:rsid w:val="002E120D"/>
    <w:rsid w:val="002E1681"/>
    <w:rsid w:val="002E38AD"/>
    <w:rsid w:val="00303AAB"/>
    <w:rsid w:val="0031430A"/>
    <w:rsid w:val="00317A4C"/>
    <w:rsid w:val="00321331"/>
    <w:rsid w:val="003230E5"/>
    <w:rsid w:val="00330431"/>
    <w:rsid w:val="00340C0E"/>
    <w:rsid w:val="00341AD1"/>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49F3"/>
    <w:rsid w:val="00385E93"/>
    <w:rsid w:val="00387113"/>
    <w:rsid w:val="003909BA"/>
    <w:rsid w:val="00390BA5"/>
    <w:rsid w:val="003A2B91"/>
    <w:rsid w:val="003B4CA1"/>
    <w:rsid w:val="003B6FFF"/>
    <w:rsid w:val="003C1CAB"/>
    <w:rsid w:val="003C4F2A"/>
    <w:rsid w:val="003D2428"/>
    <w:rsid w:val="003E29EC"/>
    <w:rsid w:val="003E3539"/>
    <w:rsid w:val="003F13D4"/>
    <w:rsid w:val="003F15B4"/>
    <w:rsid w:val="003F5321"/>
    <w:rsid w:val="00414F4C"/>
    <w:rsid w:val="00417723"/>
    <w:rsid w:val="00425C1D"/>
    <w:rsid w:val="00433224"/>
    <w:rsid w:val="00433747"/>
    <w:rsid w:val="004353DD"/>
    <w:rsid w:val="004457F3"/>
    <w:rsid w:val="00447943"/>
    <w:rsid w:val="00453D2D"/>
    <w:rsid w:val="0045638E"/>
    <w:rsid w:val="00464900"/>
    <w:rsid w:val="00472C98"/>
    <w:rsid w:val="00473174"/>
    <w:rsid w:val="00474ED4"/>
    <w:rsid w:val="00482CB6"/>
    <w:rsid w:val="00485A0A"/>
    <w:rsid w:val="00486126"/>
    <w:rsid w:val="00497E7C"/>
    <w:rsid w:val="004A1709"/>
    <w:rsid w:val="004A1A8E"/>
    <w:rsid w:val="004A1E90"/>
    <w:rsid w:val="004A7717"/>
    <w:rsid w:val="004B120A"/>
    <w:rsid w:val="004C0E60"/>
    <w:rsid w:val="004C2B97"/>
    <w:rsid w:val="004C5C46"/>
    <w:rsid w:val="004D7F44"/>
    <w:rsid w:val="004E165C"/>
    <w:rsid w:val="004F0387"/>
    <w:rsid w:val="004F3502"/>
    <w:rsid w:val="004F5426"/>
    <w:rsid w:val="004F5E95"/>
    <w:rsid w:val="00505D62"/>
    <w:rsid w:val="00507CED"/>
    <w:rsid w:val="00514B66"/>
    <w:rsid w:val="00532D26"/>
    <w:rsid w:val="00534903"/>
    <w:rsid w:val="00535761"/>
    <w:rsid w:val="00540FF2"/>
    <w:rsid w:val="005522BB"/>
    <w:rsid w:val="00554390"/>
    <w:rsid w:val="0056264A"/>
    <w:rsid w:val="0056320A"/>
    <w:rsid w:val="00563FAD"/>
    <w:rsid w:val="005651D9"/>
    <w:rsid w:val="005652BC"/>
    <w:rsid w:val="00567729"/>
    <w:rsid w:val="00570D96"/>
    <w:rsid w:val="00573E3E"/>
    <w:rsid w:val="005748AC"/>
    <w:rsid w:val="005822FA"/>
    <w:rsid w:val="005914D6"/>
    <w:rsid w:val="0059185D"/>
    <w:rsid w:val="00597AE6"/>
    <w:rsid w:val="005A5732"/>
    <w:rsid w:val="005B1DCE"/>
    <w:rsid w:val="005C5DD4"/>
    <w:rsid w:val="005C7209"/>
    <w:rsid w:val="005C743E"/>
    <w:rsid w:val="005D52AF"/>
    <w:rsid w:val="005D561C"/>
    <w:rsid w:val="005D5CD1"/>
    <w:rsid w:val="005E6F4A"/>
    <w:rsid w:val="005F2147"/>
    <w:rsid w:val="005F2D49"/>
    <w:rsid w:val="006003EF"/>
    <w:rsid w:val="00605D43"/>
    <w:rsid w:val="00607E97"/>
    <w:rsid w:val="006109E6"/>
    <w:rsid w:val="006248D3"/>
    <w:rsid w:val="00626437"/>
    <w:rsid w:val="0062673F"/>
    <w:rsid w:val="00626CE6"/>
    <w:rsid w:val="00630368"/>
    <w:rsid w:val="006306B3"/>
    <w:rsid w:val="006378F8"/>
    <w:rsid w:val="00641A43"/>
    <w:rsid w:val="006515CB"/>
    <w:rsid w:val="00655650"/>
    <w:rsid w:val="0066731F"/>
    <w:rsid w:val="006676E3"/>
    <w:rsid w:val="00667E71"/>
    <w:rsid w:val="006727D2"/>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D6489"/>
    <w:rsid w:val="006E46FB"/>
    <w:rsid w:val="006E4B5D"/>
    <w:rsid w:val="006F7210"/>
    <w:rsid w:val="00706320"/>
    <w:rsid w:val="007125A5"/>
    <w:rsid w:val="00731A03"/>
    <w:rsid w:val="00737C62"/>
    <w:rsid w:val="00743FDB"/>
    <w:rsid w:val="007443E7"/>
    <w:rsid w:val="0074460A"/>
    <w:rsid w:val="007463E0"/>
    <w:rsid w:val="0076127C"/>
    <w:rsid w:val="007658F5"/>
    <w:rsid w:val="0076644C"/>
    <w:rsid w:val="00777C6B"/>
    <w:rsid w:val="00782EB1"/>
    <w:rsid w:val="00784F5D"/>
    <w:rsid w:val="00785A24"/>
    <w:rsid w:val="00787CA1"/>
    <w:rsid w:val="00792D5B"/>
    <w:rsid w:val="00797BEA"/>
    <w:rsid w:val="007A2159"/>
    <w:rsid w:val="007B6917"/>
    <w:rsid w:val="007C2297"/>
    <w:rsid w:val="007C29E5"/>
    <w:rsid w:val="007C48D7"/>
    <w:rsid w:val="007C5C33"/>
    <w:rsid w:val="007D6A90"/>
    <w:rsid w:val="007E15AF"/>
    <w:rsid w:val="007E1EB1"/>
    <w:rsid w:val="007E2D9C"/>
    <w:rsid w:val="007F1CEB"/>
    <w:rsid w:val="007F24F3"/>
    <w:rsid w:val="007F3ACF"/>
    <w:rsid w:val="007F3E16"/>
    <w:rsid w:val="0080056D"/>
    <w:rsid w:val="0080699C"/>
    <w:rsid w:val="0080741C"/>
    <w:rsid w:val="00813704"/>
    <w:rsid w:val="00817A25"/>
    <w:rsid w:val="008225EF"/>
    <w:rsid w:val="00840B00"/>
    <w:rsid w:val="00841351"/>
    <w:rsid w:val="008417CA"/>
    <w:rsid w:val="00841A45"/>
    <w:rsid w:val="00842EBC"/>
    <w:rsid w:val="00842EF1"/>
    <w:rsid w:val="00847491"/>
    <w:rsid w:val="00850BE5"/>
    <w:rsid w:val="00850D20"/>
    <w:rsid w:val="00854E26"/>
    <w:rsid w:val="00856CE8"/>
    <w:rsid w:val="00863513"/>
    <w:rsid w:val="00865639"/>
    <w:rsid w:val="00866C06"/>
    <w:rsid w:val="00866D84"/>
    <w:rsid w:val="00873F14"/>
    <w:rsid w:val="00877B51"/>
    <w:rsid w:val="00880C5E"/>
    <w:rsid w:val="0088383D"/>
    <w:rsid w:val="00893D72"/>
    <w:rsid w:val="00895877"/>
    <w:rsid w:val="008963DC"/>
    <w:rsid w:val="008A222B"/>
    <w:rsid w:val="008A43E4"/>
    <w:rsid w:val="008A4D33"/>
    <w:rsid w:val="008B4B94"/>
    <w:rsid w:val="008C3187"/>
    <w:rsid w:val="008C36C7"/>
    <w:rsid w:val="008C36E3"/>
    <w:rsid w:val="008E3326"/>
    <w:rsid w:val="008E3DAD"/>
    <w:rsid w:val="008E7281"/>
    <w:rsid w:val="008E7E0D"/>
    <w:rsid w:val="00905813"/>
    <w:rsid w:val="00906E0D"/>
    <w:rsid w:val="00912325"/>
    <w:rsid w:val="0092402E"/>
    <w:rsid w:val="009419F6"/>
    <w:rsid w:val="009447FA"/>
    <w:rsid w:val="00944819"/>
    <w:rsid w:val="0094591B"/>
    <w:rsid w:val="00950FAA"/>
    <w:rsid w:val="009610E7"/>
    <w:rsid w:val="00966767"/>
    <w:rsid w:val="00967E05"/>
    <w:rsid w:val="00973289"/>
    <w:rsid w:val="00975F2F"/>
    <w:rsid w:val="00980749"/>
    <w:rsid w:val="009816FF"/>
    <w:rsid w:val="009828BF"/>
    <w:rsid w:val="0098352E"/>
    <w:rsid w:val="009901D7"/>
    <w:rsid w:val="009A359F"/>
    <w:rsid w:val="009B3D47"/>
    <w:rsid w:val="009B67A2"/>
    <w:rsid w:val="009C083E"/>
    <w:rsid w:val="009C29D1"/>
    <w:rsid w:val="009C2AEE"/>
    <w:rsid w:val="009D080D"/>
    <w:rsid w:val="009D6027"/>
    <w:rsid w:val="009F16F9"/>
    <w:rsid w:val="009F6F40"/>
    <w:rsid w:val="009F79D9"/>
    <w:rsid w:val="00A06C8A"/>
    <w:rsid w:val="00A13312"/>
    <w:rsid w:val="00A157ED"/>
    <w:rsid w:val="00A205FA"/>
    <w:rsid w:val="00A25022"/>
    <w:rsid w:val="00A35818"/>
    <w:rsid w:val="00A3697F"/>
    <w:rsid w:val="00A42C55"/>
    <w:rsid w:val="00A5480D"/>
    <w:rsid w:val="00A602B3"/>
    <w:rsid w:val="00A61870"/>
    <w:rsid w:val="00A6499F"/>
    <w:rsid w:val="00A652E9"/>
    <w:rsid w:val="00A66D3B"/>
    <w:rsid w:val="00A7104C"/>
    <w:rsid w:val="00A767FE"/>
    <w:rsid w:val="00A814B3"/>
    <w:rsid w:val="00A83D10"/>
    <w:rsid w:val="00A84A02"/>
    <w:rsid w:val="00A87B86"/>
    <w:rsid w:val="00A95973"/>
    <w:rsid w:val="00AA26D0"/>
    <w:rsid w:val="00AA5B42"/>
    <w:rsid w:val="00AB2C3D"/>
    <w:rsid w:val="00AB3D9A"/>
    <w:rsid w:val="00AB4223"/>
    <w:rsid w:val="00AB6098"/>
    <w:rsid w:val="00AD3120"/>
    <w:rsid w:val="00AE2A3D"/>
    <w:rsid w:val="00AF0DBA"/>
    <w:rsid w:val="00B10501"/>
    <w:rsid w:val="00B10B45"/>
    <w:rsid w:val="00B133B2"/>
    <w:rsid w:val="00B17E78"/>
    <w:rsid w:val="00B24029"/>
    <w:rsid w:val="00B24DC2"/>
    <w:rsid w:val="00B34091"/>
    <w:rsid w:val="00B37307"/>
    <w:rsid w:val="00B42550"/>
    <w:rsid w:val="00B44BD8"/>
    <w:rsid w:val="00B461C8"/>
    <w:rsid w:val="00B46DF7"/>
    <w:rsid w:val="00B47481"/>
    <w:rsid w:val="00B53C40"/>
    <w:rsid w:val="00B55EF7"/>
    <w:rsid w:val="00B56635"/>
    <w:rsid w:val="00B67724"/>
    <w:rsid w:val="00B678B0"/>
    <w:rsid w:val="00B7703B"/>
    <w:rsid w:val="00B8095D"/>
    <w:rsid w:val="00B82F30"/>
    <w:rsid w:val="00B85253"/>
    <w:rsid w:val="00B92A2A"/>
    <w:rsid w:val="00B93C0B"/>
    <w:rsid w:val="00B95096"/>
    <w:rsid w:val="00B95E06"/>
    <w:rsid w:val="00BA3448"/>
    <w:rsid w:val="00BA3EB7"/>
    <w:rsid w:val="00BA60F7"/>
    <w:rsid w:val="00BB0188"/>
    <w:rsid w:val="00BB0DA0"/>
    <w:rsid w:val="00BB2366"/>
    <w:rsid w:val="00BB23F6"/>
    <w:rsid w:val="00BB716A"/>
    <w:rsid w:val="00BC0435"/>
    <w:rsid w:val="00BC0FBF"/>
    <w:rsid w:val="00BC15D5"/>
    <w:rsid w:val="00BC27B0"/>
    <w:rsid w:val="00BC3B8E"/>
    <w:rsid w:val="00BD1F49"/>
    <w:rsid w:val="00BD3030"/>
    <w:rsid w:val="00BD32E6"/>
    <w:rsid w:val="00BD52EA"/>
    <w:rsid w:val="00BD6AFB"/>
    <w:rsid w:val="00BD6C96"/>
    <w:rsid w:val="00BE30EC"/>
    <w:rsid w:val="00BE5936"/>
    <w:rsid w:val="00BF4A53"/>
    <w:rsid w:val="00BF4E7B"/>
    <w:rsid w:val="00C057A8"/>
    <w:rsid w:val="00C10A6F"/>
    <w:rsid w:val="00C1134F"/>
    <w:rsid w:val="00C1205F"/>
    <w:rsid w:val="00C131E8"/>
    <w:rsid w:val="00C14336"/>
    <w:rsid w:val="00C17856"/>
    <w:rsid w:val="00C22816"/>
    <w:rsid w:val="00C23BF5"/>
    <w:rsid w:val="00C25D0F"/>
    <w:rsid w:val="00C278ED"/>
    <w:rsid w:val="00C32FC3"/>
    <w:rsid w:val="00C50412"/>
    <w:rsid w:val="00C65F6F"/>
    <w:rsid w:val="00C66FBC"/>
    <w:rsid w:val="00C71D5C"/>
    <w:rsid w:val="00C72587"/>
    <w:rsid w:val="00C74667"/>
    <w:rsid w:val="00C7472C"/>
    <w:rsid w:val="00C766CA"/>
    <w:rsid w:val="00C76E6C"/>
    <w:rsid w:val="00C80A10"/>
    <w:rsid w:val="00C82114"/>
    <w:rsid w:val="00C82532"/>
    <w:rsid w:val="00C84EB3"/>
    <w:rsid w:val="00C90B55"/>
    <w:rsid w:val="00CA12FB"/>
    <w:rsid w:val="00CA4D98"/>
    <w:rsid w:val="00CB43E3"/>
    <w:rsid w:val="00CC0B82"/>
    <w:rsid w:val="00CC2F3F"/>
    <w:rsid w:val="00CC335C"/>
    <w:rsid w:val="00CC6885"/>
    <w:rsid w:val="00CD3DE0"/>
    <w:rsid w:val="00CD4AF5"/>
    <w:rsid w:val="00CD55B7"/>
    <w:rsid w:val="00CD744E"/>
    <w:rsid w:val="00CE2D55"/>
    <w:rsid w:val="00CF5FAA"/>
    <w:rsid w:val="00D01BDD"/>
    <w:rsid w:val="00D03DE7"/>
    <w:rsid w:val="00D05A3C"/>
    <w:rsid w:val="00D12441"/>
    <w:rsid w:val="00D12DA1"/>
    <w:rsid w:val="00D15A92"/>
    <w:rsid w:val="00D15C69"/>
    <w:rsid w:val="00D206FF"/>
    <w:rsid w:val="00D23385"/>
    <w:rsid w:val="00D31514"/>
    <w:rsid w:val="00D36A26"/>
    <w:rsid w:val="00D3767C"/>
    <w:rsid w:val="00D401DE"/>
    <w:rsid w:val="00D4431D"/>
    <w:rsid w:val="00D46A4E"/>
    <w:rsid w:val="00D46E03"/>
    <w:rsid w:val="00D56010"/>
    <w:rsid w:val="00D563EF"/>
    <w:rsid w:val="00D603A8"/>
    <w:rsid w:val="00D644F5"/>
    <w:rsid w:val="00D67C9E"/>
    <w:rsid w:val="00D71874"/>
    <w:rsid w:val="00D755F6"/>
    <w:rsid w:val="00D75BD9"/>
    <w:rsid w:val="00D77FFC"/>
    <w:rsid w:val="00D83F31"/>
    <w:rsid w:val="00D87DDF"/>
    <w:rsid w:val="00D93EFD"/>
    <w:rsid w:val="00D95905"/>
    <w:rsid w:val="00D96420"/>
    <w:rsid w:val="00DA0AD1"/>
    <w:rsid w:val="00DA23E6"/>
    <w:rsid w:val="00DA4EFA"/>
    <w:rsid w:val="00DB5062"/>
    <w:rsid w:val="00DB61F2"/>
    <w:rsid w:val="00DC24A8"/>
    <w:rsid w:val="00DC5FD8"/>
    <w:rsid w:val="00DD1425"/>
    <w:rsid w:val="00DD168E"/>
    <w:rsid w:val="00DE3167"/>
    <w:rsid w:val="00DE3174"/>
    <w:rsid w:val="00E00E30"/>
    <w:rsid w:val="00E00FAF"/>
    <w:rsid w:val="00E01096"/>
    <w:rsid w:val="00E020C1"/>
    <w:rsid w:val="00E200FE"/>
    <w:rsid w:val="00E2220B"/>
    <w:rsid w:val="00E235F0"/>
    <w:rsid w:val="00E238FE"/>
    <w:rsid w:val="00E25225"/>
    <w:rsid w:val="00E302AA"/>
    <w:rsid w:val="00E3440C"/>
    <w:rsid w:val="00E34CC1"/>
    <w:rsid w:val="00E34D3A"/>
    <w:rsid w:val="00E40018"/>
    <w:rsid w:val="00E40CF6"/>
    <w:rsid w:val="00E51A69"/>
    <w:rsid w:val="00E573FB"/>
    <w:rsid w:val="00E62497"/>
    <w:rsid w:val="00E72C51"/>
    <w:rsid w:val="00E80306"/>
    <w:rsid w:val="00E812F6"/>
    <w:rsid w:val="00E82972"/>
    <w:rsid w:val="00E829D1"/>
    <w:rsid w:val="00E830A4"/>
    <w:rsid w:val="00E958F5"/>
    <w:rsid w:val="00E9729F"/>
    <w:rsid w:val="00E97530"/>
    <w:rsid w:val="00EA2283"/>
    <w:rsid w:val="00EA632F"/>
    <w:rsid w:val="00EB2DC9"/>
    <w:rsid w:val="00EB31F6"/>
    <w:rsid w:val="00EC0553"/>
    <w:rsid w:val="00EC7098"/>
    <w:rsid w:val="00ED064C"/>
    <w:rsid w:val="00ED436B"/>
    <w:rsid w:val="00ED58CE"/>
    <w:rsid w:val="00ED69D2"/>
    <w:rsid w:val="00ED73EB"/>
    <w:rsid w:val="00EF6F14"/>
    <w:rsid w:val="00EF72D4"/>
    <w:rsid w:val="00F03294"/>
    <w:rsid w:val="00F03534"/>
    <w:rsid w:val="00F039E2"/>
    <w:rsid w:val="00F1011B"/>
    <w:rsid w:val="00F14F92"/>
    <w:rsid w:val="00F15944"/>
    <w:rsid w:val="00F2210F"/>
    <w:rsid w:val="00F3316A"/>
    <w:rsid w:val="00F37DF3"/>
    <w:rsid w:val="00F43328"/>
    <w:rsid w:val="00F462E9"/>
    <w:rsid w:val="00F6347E"/>
    <w:rsid w:val="00F678E7"/>
    <w:rsid w:val="00F70DB9"/>
    <w:rsid w:val="00F8095A"/>
    <w:rsid w:val="00F834B4"/>
    <w:rsid w:val="00F87989"/>
    <w:rsid w:val="00F91B30"/>
    <w:rsid w:val="00F93085"/>
    <w:rsid w:val="00F945A3"/>
    <w:rsid w:val="00FA5820"/>
    <w:rsid w:val="00FB4D4D"/>
    <w:rsid w:val="00FB698A"/>
    <w:rsid w:val="00FB7674"/>
    <w:rsid w:val="00FC1FCE"/>
    <w:rsid w:val="00FC553A"/>
    <w:rsid w:val="00FD1DA7"/>
    <w:rsid w:val="00FD22D0"/>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4SQX5P7U7WPY-958212181-813947</_dlc_DocId>
    <_dlc_DocIdUrl xmlns="c890fddd-4e87-4e08-8b51-545f2a3f7b06">
      <Url>https://senpr.sharepoint.com/sites/obralegislativa/_layouts/15/DocIdRedir.aspx?ID=4SQX5P7U7WPY-958212181-813947</Url>
      <Description>4SQX5P7U7WPY-958212181-813947</Description>
    </_dlc_DocIdUrl>
  </documentManagement>
</p:properties>
</file>

<file path=customXml/itemProps1.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2.xml><?xml version="1.0" encoding="utf-8"?>
<ds:datastoreItem xmlns:ds="http://schemas.openxmlformats.org/officeDocument/2006/customXml" ds:itemID="{51768631-FAE4-4DA6-9841-EC22E0609A6D}"/>
</file>

<file path=customXml/itemProps3.xml><?xml version="1.0" encoding="utf-8"?>
<ds:datastoreItem xmlns:ds="http://schemas.openxmlformats.org/officeDocument/2006/customXml" ds:itemID="{B13F3F00-EA29-45B3-BEB9-49ABD1D29CE9}"/>
</file>

<file path=customXml/itemProps4.xml><?xml version="1.0" encoding="utf-8"?>
<ds:datastoreItem xmlns:ds="http://schemas.openxmlformats.org/officeDocument/2006/customXml" ds:itemID="{E3818EB7-2A9C-44EB-84CC-1FA070C5592E}"/>
</file>

<file path=customXml/itemProps5.xml><?xml version="1.0" encoding="utf-8"?>
<ds:datastoreItem xmlns:ds="http://schemas.openxmlformats.org/officeDocument/2006/customXml" ds:itemID="{A2D7DE43-1F0E-4BD0-A40B-38470528FC33}"/>
</file>

<file path=docProps/app.xml><?xml version="1.0" encoding="utf-8"?>
<Properties xmlns="http://schemas.openxmlformats.org/officeDocument/2006/extended-properties" xmlns:vt="http://schemas.openxmlformats.org/officeDocument/2006/docPropsVTypes">
  <Template>Normal</Template>
  <TotalTime>0</TotalTime>
  <Pages>8</Pages>
  <Words>2417</Words>
  <Characters>13778</Characters>
  <Application>Microsoft Office Word</Application>
  <DocSecurity>0</DocSecurity>
  <Lines>114</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Monica Maldonado Gonzalez (Secretaria)</cp:lastModifiedBy>
  <cp:revision>2</cp:revision>
  <cp:lastPrinted>2017-01-28T02:43:00Z</cp:lastPrinted>
  <dcterms:created xsi:type="dcterms:W3CDTF">2025-05-30T14:58:00Z</dcterms:created>
  <dcterms:modified xsi:type="dcterms:W3CDTF">2025-05-30T14:58:00Z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9dc6746c-decf-4f0b-8720-905ac680f575</vt:lpwstr>
  </property>
  <property fmtid="{D5CDD505-2E9C-101B-9397-08002B2CF9AE}" pid="4" name="MediaServiceImageTags">
    <vt:lpwstr/>
  </property>
</Properties>
</file>