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C0A419" w14:textId="77777777" w:rsidR="00FF6BD2" w:rsidRDefault="006B3825" w:rsidP="006B3825">
      <w:pPr>
        <w:jc w:val="center"/>
        <w:rPr>
          <w:rFonts w:ascii="Book Antiqua" w:hAnsi="Book Antiqua"/>
          <w:sz w:val="28"/>
          <w:lang w:val="es-ES_tradnl"/>
        </w:rPr>
      </w:pPr>
      <w:r>
        <w:rPr>
          <w:rFonts w:ascii="Book Antiqua" w:hAnsi="Book Antiqua"/>
          <w:sz w:val="28"/>
          <w:lang w:val="es-ES_tradnl"/>
        </w:rPr>
        <w:t>GOBIERNO DE PUERTO RICO</w:t>
      </w:r>
    </w:p>
    <w:p w14:paraId="69C0A41A" w14:textId="2E4DC4CD" w:rsidR="006B3825" w:rsidRPr="00914D04" w:rsidRDefault="006B3825" w:rsidP="006B3825">
      <w:pPr>
        <w:jc w:val="center"/>
        <w:rPr>
          <w:rFonts w:ascii="Book Antiqua" w:hAnsi="Book Antiqua"/>
          <w:szCs w:val="24"/>
          <w:lang w:val="es-ES_tradnl"/>
        </w:rPr>
      </w:pPr>
    </w:p>
    <w:p w14:paraId="2E594471" w14:textId="617FE1A7" w:rsidR="008022C8" w:rsidRPr="00E440BE" w:rsidRDefault="00914D04" w:rsidP="00914D04">
      <w:pPr>
        <w:pStyle w:val="Title2"/>
        <w:tabs>
          <w:tab w:val="clear" w:pos="648"/>
          <w:tab w:val="clear" w:pos="7776"/>
          <w:tab w:val="clear" w:pos="7848"/>
        </w:tabs>
        <w:rPr>
          <w:rFonts w:ascii="Book Antiqua" w:hAnsi="Book Antiqua"/>
          <w:lang w:val="es-PR"/>
        </w:rPr>
      </w:pPr>
      <w:r w:rsidRPr="00E440BE">
        <w:rPr>
          <w:rFonts w:ascii="Book Antiqua" w:hAnsi="Book Antiqua"/>
          <w:lang w:val="es-PR"/>
        </w:rPr>
        <w:t>20ma.</w:t>
      </w:r>
      <w:r w:rsidR="008022C8" w:rsidRPr="00E440BE">
        <w:rPr>
          <w:rFonts w:ascii="Book Antiqua" w:hAnsi="Book Antiqua"/>
          <w:lang w:val="es-PR"/>
        </w:rPr>
        <w:tab/>
        <w:t>Asamblea</w:t>
      </w:r>
      <w:r w:rsidR="008022C8" w:rsidRPr="00E440BE">
        <w:rPr>
          <w:rFonts w:ascii="Book Antiqua" w:hAnsi="Book Antiqua"/>
          <w:lang w:val="es-PR"/>
        </w:rPr>
        <w:tab/>
      </w:r>
      <w:r w:rsidRPr="00E440BE">
        <w:rPr>
          <w:rFonts w:ascii="Book Antiqua" w:hAnsi="Book Antiqua"/>
          <w:lang w:val="es-PR"/>
        </w:rPr>
        <w:tab/>
      </w:r>
      <w:r w:rsidRPr="00E440BE">
        <w:rPr>
          <w:rFonts w:ascii="Book Antiqua" w:hAnsi="Book Antiqua"/>
          <w:lang w:val="es-PR"/>
        </w:rPr>
        <w:tab/>
      </w:r>
      <w:r w:rsidRPr="00E440BE">
        <w:rPr>
          <w:rFonts w:ascii="Book Antiqua" w:hAnsi="Book Antiqua"/>
          <w:lang w:val="es-PR"/>
        </w:rPr>
        <w:tab/>
      </w:r>
      <w:r w:rsidRPr="00E440BE">
        <w:rPr>
          <w:rFonts w:ascii="Book Antiqua" w:hAnsi="Book Antiqua"/>
          <w:lang w:val="es-PR"/>
        </w:rPr>
        <w:tab/>
      </w:r>
      <w:r w:rsidRPr="00E440BE">
        <w:rPr>
          <w:rFonts w:ascii="Book Antiqua" w:hAnsi="Book Antiqua"/>
          <w:lang w:val="es-PR"/>
        </w:rPr>
        <w:tab/>
      </w:r>
      <w:r w:rsidRPr="00E440BE">
        <w:rPr>
          <w:rFonts w:ascii="Book Antiqua" w:hAnsi="Book Antiqua"/>
          <w:lang w:val="es-PR"/>
        </w:rPr>
        <w:tab/>
      </w:r>
      <w:r w:rsidRPr="00E440BE">
        <w:rPr>
          <w:rFonts w:ascii="Book Antiqua" w:hAnsi="Book Antiqua"/>
          <w:lang w:val="es-PR"/>
        </w:rPr>
        <w:tab/>
        <w:t xml:space="preserve">           1ra. </w:t>
      </w:r>
      <w:r w:rsidR="008022C8" w:rsidRPr="00E440BE">
        <w:rPr>
          <w:rFonts w:ascii="Book Antiqua" w:hAnsi="Book Antiqua"/>
          <w:lang w:val="es-PR"/>
        </w:rPr>
        <w:t>Sesión</w:t>
      </w:r>
    </w:p>
    <w:p w14:paraId="31A35EEB" w14:textId="2C194D8E" w:rsidR="008022C8" w:rsidRPr="00E440BE" w:rsidRDefault="008022C8" w:rsidP="00914D04">
      <w:pPr>
        <w:pStyle w:val="Title2"/>
        <w:tabs>
          <w:tab w:val="clear" w:pos="648"/>
          <w:tab w:val="clear" w:pos="7776"/>
          <w:tab w:val="clear" w:pos="7848"/>
        </w:tabs>
        <w:rPr>
          <w:rFonts w:ascii="Book Antiqua" w:hAnsi="Book Antiqua"/>
          <w:lang w:val="es-PR"/>
        </w:rPr>
      </w:pPr>
      <w:r w:rsidRPr="00E440BE">
        <w:rPr>
          <w:rFonts w:ascii="Book Antiqua" w:hAnsi="Book Antiqua"/>
          <w:lang w:val="es-PR"/>
        </w:rPr>
        <w:tab/>
      </w:r>
      <w:r w:rsidR="00914D04" w:rsidRPr="00E440BE">
        <w:rPr>
          <w:rFonts w:ascii="Book Antiqua" w:hAnsi="Book Antiqua"/>
          <w:lang w:val="es-PR"/>
        </w:rPr>
        <w:t xml:space="preserve"> </w:t>
      </w:r>
      <w:r w:rsidRPr="00E440BE">
        <w:rPr>
          <w:rFonts w:ascii="Book Antiqua" w:hAnsi="Book Antiqua"/>
          <w:lang w:val="es-PR"/>
        </w:rPr>
        <w:t>Legislativa</w:t>
      </w:r>
      <w:r w:rsidRPr="00E440BE">
        <w:rPr>
          <w:rFonts w:ascii="Book Antiqua" w:hAnsi="Book Antiqua"/>
          <w:lang w:val="es-PR"/>
        </w:rPr>
        <w:tab/>
      </w:r>
      <w:r w:rsidRPr="00E440BE">
        <w:rPr>
          <w:rFonts w:ascii="Book Antiqua" w:hAnsi="Book Antiqua"/>
          <w:lang w:val="es-PR"/>
        </w:rPr>
        <w:tab/>
      </w:r>
      <w:r w:rsidR="00914D04" w:rsidRPr="00E440BE">
        <w:rPr>
          <w:rFonts w:ascii="Book Antiqua" w:hAnsi="Book Antiqua"/>
          <w:lang w:val="es-PR"/>
        </w:rPr>
        <w:t xml:space="preserve">       </w:t>
      </w:r>
      <w:r w:rsidR="00914D04" w:rsidRPr="00E440BE">
        <w:rPr>
          <w:rFonts w:ascii="Book Antiqua" w:hAnsi="Book Antiqua"/>
          <w:lang w:val="es-PR"/>
        </w:rPr>
        <w:tab/>
      </w:r>
      <w:r w:rsidR="00914D04" w:rsidRPr="00E440BE">
        <w:rPr>
          <w:rFonts w:ascii="Book Antiqua" w:hAnsi="Book Antiqua"/>
          <w:lang w:val="es-PR"/>
        </w:rPr>
        <w:tab/>
      </w:r>
      <w:r w:rsidR="00914D04" w:rsidRPr="00E440BE">
        <w:rPr>
          <w:rFonts w:ascii="Book Antiqua" w:hAnsi="Book Antiqua"/>
          <w:lang w:val="es-PR"/>
        </w:rPr>
        <w:tab/>
      </w:r>
      <w:r w:rsidR="00914D04" w:rsidRPr="00E440BE">
        <w:rPr>
          <w:rFonts w:ascii="Book Antiqua" w:hAnsi="Book Antiqua"/>
          <w:lang w:val="es-PR"/>
        </w:rPr>
        <w:tab/>
      </w:r>
      <w:r w:rsidR="00914D04" w:rsidRPr="00E440BE">
        <w:rPr>
          <w:rFonts w:ascii="Book Antiqua" w:hAnsi="Book Antiqua"/>
          <w:lang w:val="es-PR"/>
        </w:rPr>
        <w:tab/>
      </w:r>
      <w:r w:rsidR="00914D04" w:rsidRPr="00E440BE">
        <w:rPr>
          <w:rFonts w:ascii="Book Antiqua" w:hAnsi="Book Antiqua"/>
          <w:lang w:val="es-PR"/>
        </w:rPr>
        <w:tab/>
      </w:r>
      <w:r w:rsidR="00914D04" w:rsidRPr="00E440BE">
        <w:rPr>
          <w:rFonts w:ascii="Book Antiqua" w:hAnsi="Book Antiqua"/>
          <w:lang w:val="es-PR"/>
        </w:rPr>
        <w:tab/>
        <w:t xml:space="preserve">      </w:t>
      </w:r>
      <w:r w:rsidRPr="00E440BE">
        <w:rPr>
          <w:rFonts w:ascii="Book Antiqua" w:hAnsi="Book Antiqua"/>
          <w:lang w:val="es-PR"/>
        </w:rPr>
        <w:t>Ordinaria</w:t>
      </w:r>
    </w:p>
    <w:p w14:paraId="637D3C3A" w14:textId="77777777" w:rsidR="008022C8" w:rsidRPr="00E440BE" w:rsidRDefault="008022C8" w:rsidP="008022C8">
      <w:pPr>
        <w:rPr>
          <w:lang w:val="es-PR"/>
        </w:rPr>
      </w:pPr>
    </w:p>
    <w:p w14:paraId="567C7BA0" w14:textId="77777777" w:rsidR="008022C8" w:rsidRDefault="008022C8" w:rsidP="008022C8">
      <w:pPr>
        <w:jc w:val="center"/>
        <w:rPr>
          <w:rFonts w:ascii="Book Antiqua" w:hAnsi="Book Antiqua"/>
          <w:b/>
          <w:sz w:val="36"/>
          <w:lang w:val="es-ES_tradnl"/>
        </w:rPr>
      </w:pPr>
      <w:r>
        <w:rPr>
          <w:rFonts w:ascii="Book Antiqua" w:hAnsi="Book Antiqua"/>
          <w:b/>
          <w:sz w:val="36"/>
          <w:lang w:val="es-ES_tradnl"/>
        </w:rPr>
        <w:t>CÁMARA DE REPRESENTANTES</w:t>
      </w:r>
    </w:p>
    <w:p w14:paraId="009F7AF3" w14:textId="77777777" w:rsidR="008022C8" w:rsidRPr="00914D04" w:rsidRDefault="008022C8" w:rsidP="00914D04">
      <w:pPr>
        <w:jc w:val="center"/>
        <w:rPr>
          <w:rFonts w:ascii="Book Antiqua" w:hAnsi="Book Antiqua"/>
          <w:b/>
          <w:szCs w:val="24"/>
          <w:lang w:val="es-ES_tradnl"/>
        </w:rPr>
      </w:pPr>
    </w:p>
    <w:p w14:paraId="013C7D3F" w14:textId="71C18CCF" w:rsidR="008022C8" w:rsidRDefault="008022C8" w:rsidP="00914D04">
      <w:pPr>
        <w:jc w:val="center"/>
        <w:rPr>
          <w:rFonts w:ascii="Book Antiqua" w:hAnsi="Book Antiqua"/>
          <w:b/>
          <w:sz w:val="52"/>
          <w:lang w:val="es-ES_tradnl"/>
        </w:rPr>
      </w:pPr>
      <w:r>
        <w:rPr>
          <w:rFonts w:ascii="Book Antiqua" w:hAnsi="Book Antiqua"/>
          <w:b/>
          <w:sz w:val="52"/>
          <w:lang w:val="es-ES_tradnl"/>
        </w:rPr>
        <w:t>P. de la C.</w:t>
      </w:r>
      <w:r w:rsidR="006841A0">
        <w:rPr>
          <w:rFonts w:ascii="Book Antiqua" w:hAnsi="Book Antiqua"/>
          <w:b/>
          <w:sz w:val="52"/>
          <w:lang w:val="es-ES_tradnl"/>
        </w:rPr>
        <w:t xml:space="preserve"> 377</w:t>
      </w:r>
    </w:p>
    <w:p w14:paraId="374CEF20" w14:textId="77777777" w:rsidR="00914D04" w:rsidRDefault="00914D04" w:rsidP="00914D04">
      <w:pPr>
        <w:jc w:val="center"/>
        <w:rPr>
          <w:rFonts w:ascii="Book Antiqua" w:hAnsi="Book Antiqua"/>
          <w:lang w:val="es-ES_tradnl"/>
        </w:rPr>
      </w:pPr>
    </w:p>
    <w:p w14:paraId="089D7983" w14:textId="42D31802" w:rsidR="008022C8" w:rsidRDefault="003C4FCD" w:rsidP="00914D04">
      <w:pPr>
        <w:jc w:val="center"/>
        <w:rPr>
          <w:rFonts w:ascii="Book Antiqua" w:hAnsi="Book Antiqua"/>
          <w:lang w:val="es-ES_tradnl"/>
        </w:rPr>
      </w:pPr>
      <w:r>
        <w:rPr>
          <w:rFonts w:ascii="Book Antiqua" w:hAnsi="Book Antiqua"/>
          <w:lang w:val="es-ES_tradnl"/>
        </w:rPr>
        <w:t xml:space="preserve">4 </w:t>
      </w:r>
      <w:r w:rsidR="008022C8">
        <w:rPr>
          <w:rFonts w:ascii="Book Antiqua" w:hAnsi="Book Antiqua"/>
          <w:lang w:val="es-ES_tradnl"/>
        </w:rPr>
        <w:t xml:space="preserve">DE </w:t>
      </w:r>
      <w:r w:rsidR="00CF3C02">
        <w:rPr>
          <w:rFonts w:ascii="Book Antiqua" w:hAnsi="Book Antiqua"/>
          <w:lang w:val="es-ES_tradnl"/>
        </w:rPr>
        <w:t>MARZ</w:t>
      </w:r>
      <w:r w:rsidR="008022C8">
        <w:rPr>
          <w:rFonts w:ascii="Book Antiqua" w:hAnsi="Book Antiqua"/>
          <w:lang w:val="es-ES_tradnl"/>
        </w:rPr>
        <w:t>O DE 2025</w:t>
      </w:r>
    </w:p>
    <w:p w14:paraId="1778C390" w14:textId="77777777" w:rsidR="00914D04" w:rsidRDefault="00914D04" w:rsidP="00914D04">
      <w:pPr>
        <w:jc w:val="center"/>
        <w:rPr>
          <w:rFonts w:ascii="Book Antiqua" w:hAnsi="Book Antiqua"/>
          <w:szCs w:val="24"/>
          <w:lang w:val="es-ES_tradnl"/>
        </w:rPr>
      </w:pPr>
    </w:p>
    <w:p w14:paraId="1C4B483B" w14:textId="1D7E75C5" w:rsidR="008022C8" w:rsidRDefault="00BD5C0E" w:rsidP="00914D04">
      <w:pPr>
        <w:jc w:val="center"/>
        <w:rPr>
          <w:rFonts w:ascii="Book Antiqua" w:hAnsi="Book Antiqua"/>
          <w:lang w:val="es-ES_tradnl"/>
        </w:rPr>
      </w:pPr>
      <w:r w:rsidRPr="008778A5">
        <w:rPr>
          <w:rFonts w:ascii="Book Antiqua" w:hAnsi="Book Antiqua"/>
          <w:szCs w:val="24"/>
          <w:lang w:val="es-ES_tradnl"/>
        </w:rPr>
        <w:t xml:space="preserve">Presentado por </w:t>
      </w:r>
      <w:r>
        <w:rPr>
          <w:rFonts w:ascii="Book Antiqua" w:hAnsi="Book Antiqua"/>
          <w:szCs w:val="24"/>
          <w:lang w:val="es-ES_tradnl"/>
        </w:rPr>
        <w:t xml:space="preserve">las representantes </w:t>
      </w:r>
      <w:r w:rsidRPr="00821AB8">
        <w:rPr>
          <w:rFonts w:ascii="Book Antiqua" w:hAnsi="Book Antiqua"/>
          <w:i/>
          <w:iCs/>
          <w:szCs w:val="24"/>
          <w:lang w:val="es-ES_tradnl"/>
        </w:rPr>
        <w:t>Gutiérrez Colón</w:t>
      </w:r>
      <w:r>
        <w:rPr>
          <w:rFonts w:ascii="Book Antiqua" w:hAnsi="Book Antiqua"/>
          <w:szCs w:val="24"/>
          <w:lang w:val="es-ES_tradnl"/>
        </w:rPr>
        <w:t xml:space="preserve">, </w:t>
      </w:r>
      <w:r w:rsidRPr="00821AB8">
        <w:rPr>
          <w:rFonts w:ascii="Book Antiqua" w:hAnsi="Book Antiqua"/>
          <w:i/>
          <w:iCs/>
          <w:szCs w:val="24"/>
          <w:lang w:val="es-ES_tradnl"/>
        </w:rPr>
        <w:t>Lebrón Robles</w:t>
      </w:r>
      <w:r>
        <w:rPr>
          <w:rFonts w:ascii="Book Antiqua" w:hAnsi="Book Antiqua"/>
          <w:szCs w:val="24"/>
          <w:lang w:val="es-ES_tradnl"/>
        </w:rPr>
        <w:t xml:space="preserve">                                           y el representante </w:t>
      </w:r>
      <w:r w:rsidRPr="00821AB8">
        <w:rPr>
          <w:rFonts w:ascii="Book Antiqua" w:hAnsi="Book Antiqua"/>
          <w:i/>
          <w:iCs/>
          <w:szCs w:val="24"/>
          <w:lang w:val="es-ES_tradnl"/>
        </w:rPr>
        <w:t>Márquez Lebrón</w:t>
      </w:r>
    </w:p>
    <w:p w14:paraId="1F1C46A1" w14:textId="77777777" w:rsidR="00914D04" w:rsidRDefault="00914D04" w:rsidP="00914D04">
      <w:pPr>
        <w:jc w:val="center"/>
        <w:rPr>
          <w:rFonts w:ascii="Book Antiqua" w:hAnsi="Book Antiqua"/>
          <w:lang w:val="es-ES_tradnl"/>
        </w:rPr>
      </w:pPr>
    </w:p>
    <w:p w14:paraId="69C0A423" w14:textId="45D6FE04" w:rsidR="006B3825" w:rsidRDefault="008022C8" w:rsidP="00914D04">
      <w:pPr>
        <w:jc w:val="center"/>
        <w:rPr>
          <w:rFonts w:ascii="Book Antiqua" w:hAnsi="Book Antiqua"/>
          <w:lang w:val="es-ES_tradnl"/>
        </w:rPr>
      </w:pPr>
      <w:r>
        <w:rPr>
          <w:rFonts w:ascii="Book Antiqua" w:hAnsi="Book Antiqua"/>
          <w:lang w:val="es-ES_tradnl"/>
        </w:rPr>
        <w:t xml:space="preserve">Referido a </w:t>
      </w:r>
      <w:r w:rsidR="00E440BE">
        <w:rPr>
          <w:rFonts w:ascii="Book Antiqua" w:hAnsi="Book Antiqua"/>
          <w:lang w:val="es-ES_tradnl"/>
        </w:rPr>
        <w:t>la Comisión de Hacienda</w:t>
      </w:r>
    </w:p>
    <w:p w14:paraId="69C0A424" w14:textId="77777777" w:rsidR="006B3825" w:rsidRDefault="006B3825" w:rsidP="006B3825">
      <w:pPr>
        <w:jc w:val="both"/>
        <w:rPr>
          <w:rFonts w:ascii="Book Antiqua" w:hAnsi="Book Antiqua"/>
          <w:lang w:val="es-ES_tradnl"/>
        </w:rPr>
      </w:pPr>
    </w:p>
    <w:p w14:paraId="69C0A425" w14:textId="77777777" w:rsidR="006B3825" w:rsidRDefault="006B3825" w:rsidP="006B3825">
      <w:pPr>
        <w:jc w:val="center"/>
        <w:rPr>
          <w:rFonts w:ascii="Book Antiqua" w:hAnsi="Book Antiqua"/>
          <w:b/>
          <w:sz w:val="28"/>
          <w:lang w:val="es-ES_tradnl"/>
        </w:rPr>
      </w:pPr>
      <w:r>
        <w:rPr>
          <w:rFonts w:ascii="Book Antiqua" w:hAnsi="Book Antiqua"/>
          <w:b/>
          <w:sz w:val="28"/>
          <w:lang w:val="es-ES_tradnl"/>
        </w:rPr>
        <w:t>LEY</w:t>
      </w:r>
    </w:p>
    <w:p w14:paraId="69C0A426" w14:textId="77777777" w:rsidR="006B3825" w:rsidRDefault="006B3825" w:rsidP="006B3825">
      <w:pPr>
        <w:jc w:val="both"/>
        <w:rPr>
          <w:rFonts w:ascii="Book Antiqua" w:hAnsi="Book Antiqua"/>
          <w:lang w:val="es-ES_tradnl"/>
        </w:rPr>
      </w:pPr>
    </w:p>
    <w:p w14:paraId="69C0A427" w14:textId="4BB9B4F1" w:rsidR="006B3825" w:rsidRPr="00575E68" w:rsidRDefault="006B3825" w:rsidP="00914D04">
      <w:pPr>
        <w:ind w:left="720" w:hanging="720"/>
        <w:jc w:val="both"/>
        <w:rPr>
          <w:rFonts w:ascii="Book Antiqua" w:hAnsi="Book Antiqua"/>
          <w:szCs w:val="24"/>
          <w:lang w:val="es-ES"/>
        </w:rPr>
      </w:pPr>
      <w:r>
        <w:rPr>
          <w:rFonts w:ascii="Book Antiqua" w:hAnsi="Book Antiqua"/>
          <w:lang w:val="es-ES_tradnl"/>
        </w:rPr>
        <w:t xml:space="preserve">Para </w:t>
      </w:r>
      <w:r w:rsidR="00BD5C0E" w:rsidRPr="00B15931">
        <w:rPr>
          <w:rFonts w:ascii="Book Antiqua" w:hAnsi="Book Antiqua"/>
          <w:lang w:val="es-ES_tradnl"/>
        </w:rPr>
        <w:t xml:space="preserve">añadir un nuevo apartado (b) a la Sección 4030.26 de la Ley 1-2011, según enmendada, conocida como “Código de Rentas Internas </w:t>
      </w:r>
      <w:r w:rsidR="00BD5C0E">
        <w:rPr>
          <w:rFonts w:ascii="Book Antiqua" w:hAnsi="Book Antiqua"/>
          <w:lang w:val="es-ES_tradnl"/>
        </w:rPr>
        <w:t xml:space="preserve">de </w:t>
      </w:r>
      <w:r w:rsidR="00BD5C0E" w:rsidRPr="00B15931">
        <w:rPr>
          <w:rFonts w:ascii="Book Antiqua" w:hAnsi="Book Antiqua"/>
          <w:lang w:val="es-ES_tradnl"/>
        </w:rPr>
        <w:t>Puerto Rico</w:t>
      </w:r>
      <w:r w:rsidR="00BD5C0E">
        <w:rPr>
          <w:rFonts w:ascii="Book Antiqua" w:hAnsi="Book Antiqua"/>
          <w:lang w:val="es-ES_tradnl"/>
        </w:rPr>
        <w:t xml:space="preserve"> de 2011</w:t>
      </w:r>
      <w:r w:rsidR="00BD5C0E" w:rsidRPr="00B15931">
        <w:rPr>
          <w:rFonts w:ascii="Book Antiqua" w:hAnsi="Book Antiqua"/>
          <w:lang w:val="es-ES_tradnl"/>
        </w:rPr>
        <w:t>”, con el fin de eximir los productos de extracción y</w:t>
      </w:r>
      <w:r w:rsidR="00BD5C0E">
        <w:rPr>
          <w:rFonts w:ascii="Book Antiqua" w:hAnsi="Book Antiqua"/>
          <w:lang w:val="es-ES_tradnl"/>
        </w:rPr>
        <w:t xml:space="preserve"> los productos para la</w:t>
      </w:r>
      <w:r w:rsidR="00BD5C0E" w:rsidRPr="00B15931">
        <w:rPr>
          <w:rFonts w:ascii="Book Antiqua" w:hAnsi="Book Antiqua"/>
          <w:lang w:val="es-ES_tradnl"/>
        </w:rPr>
        <w:t xml:space="preserve"> preservación de leche materna del pago del Impuesto sobre Ventas y Uso; y para otros fines relacionados.</w:t>
      </w:r>
    </w:p>
    <w:p w14:paraId="2880C837" w14:textId="77777777" w:rsidR="00FA006A" w:rsidRDefault="00FA006A" w:rsidP="006B3825">
      <w:pPr>
        <w:ind w:left="360" w:hanging="360"/>
        <w:jc w:val="both"/>
        <w:rPr>
          <w:rFonts w:ascii="Book Antiqua" w:hAnsi="Book Antiqua"/>
          <w:lang w:val="es-ES_tradnl"/>
        </w:rPr>
      </w:pPr>
    </w:p>
    <w:p w14:paraId="69C0A428" w14:textId="77777777" w:rsidR="006B3825" w:rsidRDefault="006B3825" w:rsidP="00914D04">
      <w:pPr>
        <w:ind w:firstLine="360"/>
        <w:jc w:val="center"/>
        <w:rPr>
          <w:rFonts w:ascii="Book Antiqua" w:hAnsi="Book Antiqua"/>
          <w:lang w:val="es-ES_tradnl"/>
        </w:rPr>
      </w:pPr>
      <w:r>
        <w:rPr>
          <w:rFonts w:ascii="Book Antiqua" w:hAnsi="Book Antiqua"/>
          <w:lang w:val="es-ES_tradnl"/>
        </w:rPr>
        <w:t>EXPOSICIÓN DE MOTIVOS</w:t>
      </w:r>
    </w:p>
    <w:p w14:paraId="196C9C6E" w14:textId="77777777" w:rsidR="00914D04" w:rsidRDefault="00914D04" w:rsidP="00914D04">
      <w:pPr>
        <w:ind w:firstLine="360"/>
        <w:jc w:val="center"/>
        <w:rPr>
          <w:rFonts w:ascii="Book Antiqua" w:hAnsi="Book Antiqua"/>
          <w:lang w:val="es-ES_tradnl"/>
        </w:rPr>
      </w:pPr>
    </w:p>
    <w:p w14:paraId="46438B0A" w14:textId="77777777" w:rsidR="00BD5C0E" w:rsidRDefault="00BD5C0E" w:rsidP="00914D04">
      <w:pPr>
        <w:ind w:firstLine="720"/>
        <w:jc w:val="both"/>
        <w:rPr>
          <w:rFonts w:ascii="Book Antiqua" w:hAnsi="Book Antiqua"/>
          <w:bCs/>
          <w:lang w:val="es-PR"/>
        </w:rPr>
      </w:pPr>
      <w:r w:rsidRPr="00BD5C0E">
        <w:rPr>
          <w:rFonts w:ascii="Book Antiqua" w:hAnsi="Book Antiqua"/>
          <w:bCs/>
          <w:lang w:val="es-ES_tradnl"/>
        </w:rPr>
        <w:t>No cabe duda de que, en Puerto Rico y el mundo, aún hoy en día, la estratificación social por razón de sexo continúa favoreciendo a los hombres sobre las mujeres. Fue en el siglo XX que los modelos sociológicos reconocieron los efectos económicos del modelo patriarcal sobre las mujeres. “Es más probable que las mujeres vivan en la pobreza, que los hombres, en cualquier edad”.</w:t>
      </w:r>
      <w:r w:rsidRPr="00BD5C0E">
        <w:rPr>
          <w:rFonts w:ascii="Book Antiqua" w:hAnsi="Book Antiqua"/>
          <w:bCs/>
          <w:vertAlign w:val="superscript"/>
          <w:lang w:val="es-ES_tradnl"/>
        </w:rPr>
        <w:footnoteReference w:id="1"/>
      </w:r>
      <w:r w:rsidRPr="00BD5C0E">
        <w:rPr>
          <w:rFonts w:ascii="Book Antiqua" w:hAnsi="Book Antiqua"/>
          <w:bCs/>
          <w:lang w:val="es-ES_tradnl"/>
        </w:rPr>
        <w:t xml:space="preserve"> En el siglo XXI, la academia destaca que esa brecha no ha cerrado tanto como se esperaba. </w:t>
      </w:r>
      <w:r w:rsidRPr="00BD5C0E">
        <w:rPr>
          <w:rFonts w:ascii="Book Antiqua" w:hAnsi="Book Antiqua"/>
          <w:bCs/>
          <w:lang w:val="es-PR"/>
        </w:rPr>
        <w:t>“En todas las sociedades occidentales las mujeres tienen, en promedio, salarios menores que los hombres”.</w:t>
      </w:r>
      <w:r w:rsidRPr="00BD5C0E">
        <w:rPr>
          <w:rFonts w:ascii="Book Antiqua" w:hAnsi="Book Antiqua"/>
          <w:bCs/>
          <w:vertAlign w:val="superscript"/>
        </w:rPr>
        <w:footnoteReference w:id="2"/>
      </w:r>
      <w:r w:rsidRPr="00BD5C0E">
        <w:rPr>
          <w:rFonts w:ascii="Book Antiqua" w:hAnsi="Book Antiqua"/>
          <w:bCs/>
          <w:lang w:val="es-PR"/>
        </w:rPr>
        <w:t xml:space="preserve"> De esta discrepancia no escapan las mujeres de ningún estrato social. En el mundo corporativo, por ejemplo, entre los ejecutivos de alto nivel las mujeres ganan 45% menos que los hombres.</w:t>
      </w:r>
      <w:r w:rsidRPr="00BD5C0E">
        <w:rPr>
          <w:rFonts w:ascii="Book Antiqua" w:hAnsi="Book Antiqua"/>
          <w:bCs/>
          <w:vertAlign w:val="superscript"/>
        </w:rPr>
        <w:footnoteReference w:id="3"/>
      </w:r>
      <w:r w:rsidRPr="00BD5C0E">
        <w:rPr>
          <w:rFonts w:ascii="Book Antiqua" w:hAnsi="Book Antiqua"/>
          <w:bCs/>
          <w:lang w:val="es-PR"/>
        </w:rPr>
        <w:t xml:space="preserve"> A su vez, como consecuencia de que las mujeres son quienes asumen mayoritariamente la </w:t>
      </w:r>
      <w:r w:rsidRPr="00BD5C0E">
        <w:rPr>
          <w:rFonts w:ascii="Book Antiqua" w:hAnsi="Book Antiqua"/>
          <w:bCs/>
          <w:lang w:val="es-PR"/>
        </w:rPr>
        <w:lastRenderedPageBreak/>
        <w:t>responsabilidad primaria de los quehaceres domésticos y los cuidados de la niñez, las mujeres que trabajan fuera del hogar suelen tener una ‘doble jornada’.</w:t>
      </w:r>
    </w:p>
    <w:p w14:paraId="092BEB03" w14:textId="77777777" w:rsidR="00914D04" w:rsidRPr="00BD5C0E" w:rsidRDefault="00914D04" w:rsidP="00914D04">
      <w:pPr>
        <w:ind w:firstLine="720"/>
        <w:jc w:val="both"/>
        <w:rPr>
          <w:rFonts w:ascii="Book Antiqua" w:hAnsi="Book Antiqua"/>
          <w:bCs/>
          <w:lang w:val="es-PR"/>
        </w:rPr>
      </w:pPr>
    </w:p>
    <w:p w14:paraId="2839E4B0" w14:textId="77777777" w:rsidR="00BD5C0E" w:rsidRDefault="00BD5C0E" w:rsidP="00914D04">
      <w:pPr>
        <w:ind w:firstLine="720"/>
        <w:jc w:val="both"/>
        <w:rPr>
          <w:rFonts w:ascii="Book Antiqua" w:hAnsi="Book Antiqua"/>
          <w:bCs/>
          <w:lang w:val="es-PR"/>
        </w:rPr>
      </w:pPr>
      <w:r w:rsidRPr="00BD5C0E">
        <w:rPr>
          <w:rFonts w:ascii="Book Antiqua" w:hAnsi="Book Antiqua"/>
          <w:bCs/>
          <w:lang w:val="es-ES_tradnl"/>
        </w:rPr>
        <w:t xml:space="preserve">Esta es una estratificación injustificable repudiada por el ordenamiento constitucional y la comunidad internacional. A esos efectos la Constitución del Estado Libre Asociado de Puerto Rico establece en su Artículo II y Sección 1 que “[l]a dignidad del ser humano es inviolable. Todos los hombres son iguales ante la Ley. No podrá establecerse discrimen alguno por motivo de raza, color, sexo, nacimiento, origen o condición social, ni ideas políticas o religiosas. Tanto las leyes como el sistema de instrucción pública encarnarán estos principios de esencial igualdad humana”. Mientras que la Convención sobre la eliminación de todas las formas de discriminación contra la mujer puntualiza: </w:t>
      </w:r>
      <w:r w:rsidRPr="00BD5C0E">
        <w:rPr>
          <w:rFonts w:ascii="Book Antiqua" w:hAnsi="Book Antiqua"/>
          <w:bCs/>
          <w:lang w:val="es-PR"/>
        </w:rPr>
        <w:t>“que la discriminación contra la mujer viola los principios de la igualdad de derechos y del respeto de la dignidad humana, que dificulta la participación de la mujer, en las mismas condiciones que el hombre, en la vida política, social, económica y cultural de su país, que constituye un obstáculo para el aumento del bienestar de la sociedad y de la familia y que entorpece el pleno desarrollo de las posibilidades de la mujer para prestar servicio a su país y a la humanidad”.</w:t>
      </w:r>
    </w:p>
    <w:p w14:paraId="57C71A80" w14:textId="77777777" w:rsidR="00914D04" w:rsidRPr="00BD5C0E" w:rsidRDefault="00914D04" w:rsidP="00914D04">
      <w:pPr>
        <w:ind w:firstLine="720"/>
        <w:jc w:val="both"/>
        <w:rPr>
          <w:rFonts w:ascii="Book Antiqua" w:hAnsi="Book Antiqua"/>
          <w:bCs/>
          <w:lang w:val="es-ES_tradnl"/>
        </w:rPr>
      </w:pPr>
    </w:p>
    <w:p w14:paraId="5006F68C" w14:textId="77777777" w:rsidR="00BD5C0E" w:rsidRDefault="00BD5C0E" w:rsidP="00914D04">
      <w:pPr>
        <w:ind w:firstLine="720"/>
        <w:jc w:val="both"/>
        <w:rPr>
          <w:rFonts w:ascii="Book Antiqua" w:hAnsi="Book Antiqua"/>
          <w:bCs/>
          <w:lang w:val="es-PR"/>
        </w:rPr>
      </w:pPr>
      <w:r w:rsidRPr="00BD5C0E">
        <w:rPr>
          <w:rFonts w:ascii="Book Antiqua" w:hAnsi="Book Antiqua"/>
          <w:bCs/>
          <w:lang w:val="es-PR"/>
        </w:rPr>
        <w:t xml:space="preserve">El tributo sobre </w:t>
      </w:r>
      <w:r w:rsidRPr="00BD5C0E">
        <w:rPr>
          <w:rFonts w:ascii="Book Antiqua" w:hAnsi="Book Antiqua"/>
          <w:bCs/>
          <w:lang w:val="es-ES_tradnl"/>
        </w:rPr>
        <w:t>Ventas y Uso</w:t>
      </w:r>
      <w:r w:rsidRPr="00BD5C0E">
        <w:rPr>
          <w:rFonts w:ascii="Book Antiqua" w:hAnsi="Book Antiqua"/>
          <w:bCs/>
          <w:lang w:val="es-PR"/>
        </w:rPr>
        <w:t xml:space="preserve"> que el gobierno impone a los </w:t>
      </w:r>
      <w:r w:rsidRPr="00BD5C0E">
        <w:rPr>
          <w:rFonts w:ascii="Book Antiqua" w:hAnsi="Book Antiqua"/>
          <w:bCs/>
          <w:lang w:val="es-ES_tradnl"/>
        </w:rPr>
        <w:t xml:space="preserve">artículos de uso exclusivo por las mujeres (y hombres transgénero) –tales como los productos ginecológicos y </w:t>
      </w:r>
      <w:bookmarkStart w:id="0" w:name="_Hlk191471662"/>
      <w:r w:rsidRPr="00BD5C0E">
        <w:rPr>
          <w:rFonts w:ascii="Book Antiqua" w:hAnsi="Book Antiqua"/>
          <w:bCs/>
          <w:lang w:val="es-ES_tradnl"/>
        </w:rPr>
        <w:t>de extracción y preservación de leche materna</w:t>
      </w:r>
      <w:bookmarkEnd w:id="0"/>
      <w:r w:rsidRPr="00BD5C0E">
        <w:rPr>
          <w:rFonts w:ascii="Book Antiqua" w:hAnsi="Book Antiqua"/>
          <w:bCs/>
          <w:lang w:val="es-ES_tradnl"/>
        </w:rPr>
        <w:t xml:space="preserve">– </w:t>
      </w:r>
      <w:r w:rsidRPr="00BD5C0E">
        <w:rPr>
          <w:rFonts w:ascii="Book Antiqua" w:hAnsi="Book Antiqua"/>
          <w:bCs/>
          <w:lang w:val="es-PR"/>
        </w:rPr>
        <w:t xml:space="preserve">es una contribución que los hombres cisgénero, por definición, no pagan de manera directa. La extensión de un impuesto de aplicación general a artículos de consumo ineludible, y dirigidos a uno de los sexos de manera exclusiva, implica la creación de un sistema tributario disimuladamente discriminatorio, desligado de la realidad social y perpetuador de la estratificación por razón de sexo. </w:t>
      </w:r>
    </w:p>
    <w:p w14:paraId="3C9F6060" w14:textId="77777777" w:rsidR="00914D04" w:rsidRPr="00BD5C0E" w:rsidRDefault="00914D04" w:rsidP="00914D04">
      <w:pPr>
        <w:ind w:firstLine="720"/>
        <w:jc w:val="both"/>
        <w:rPr>
          <w:rFonts w:ascii="Book Antiqua" w:hAnsi="Book Antiqua"/>
          <w:bCs/>
          <w:lang w:val="es-PR"/>
        </w:rPr>
      </w:pPr>
    </w:p>
    <w:p w14:paraId="362D450F" w14:textId="77777777" w:rsidR="00BD5C0E" w:rsidRDefault="00BD5C0E" w:rsidP="00914D04">
      <w:pPr>
        <w:ind w:firstLine="720"/>
        <w:jc w:val="both"/>
        <w:rPr>
          <w:rFonts w:ascii="Book Antiqua" w:hAnsi="Book Antiqua"/>
          <w:bCs/>
          <w:lang w:val="es-PR"/>
        </w:rPr>
      </w:pPr>
      <w:r w:rsidRPr="00BD5C0E">
        <w:rPr>
          <w:rFonts w:ascii="Book Antiqua" w:hAnsi="Book Antiqua"/>
          <w:bCs/>
          <w:lang w:val="es-PR"/>
        </w:rPr>
        <w:t xml:space="preserve">Al presente el “Código de Rentas Internas de Puerto Rico de 2011”, exceptúa del pago del impuesto sobre ventas y uso los productos de higiene femenina utilizados para absorber el flujo menstrual, no obstante, no exime del pago de dichos impuestos los productos de extracción y preservación de leche materna. </w:t>
      </w:r>
    </w:p>
    <w:p w14:paraId="0D19D187" w14:textId="77777777" w:rsidR="00914D04" w:rsidRPr="00BD5C0E" w:rsidRDefault="00914D04" w:rsidP="00914D04">
      <w:pPr>
        <w:ind w:firstLine="720"/>
        <w:jc w:val="both"/>
        <w:rPr>
          <w:rFonts w:ascii="Book Antiqua" w:hAnsi="Book Antiqua"/>
          <w:bCs/>
          <w:lang w:val="es-PR"/>
        </w:rPr>
      </w:pPr>
    </w:p>
    <w:p w14:paraId="01BF0F05" w14:textId="77777777" w:rsidR="00BD5C0E" w:rsidRPr="00BD5C0E" w:rsidRDefault="00BD5C0E" w:rsidP="00914D04">
      <w:pPr>
        <w:ind w:firstLine="720"/>
        <w:jc w:val="both"/>
        <w:rPr>
          <w:rFonts w:ascii="Book Antiqua" w:hAnsi="Book Antiqua"/>
          <w:bCs/>
          <w:lang w:val="es-PR"/>
        </w:rPr>
      </w:pPr>
      <w:r w:rsidRPr="00BD5C0E">
        <w:rPr>
          <w:rFonts w:ascii="Book Antiqua" w:hAnsi="Book Antiqua"/>
          <w:bCs/>
          <w:lang w:val="es-PR"/>
        </w:rPr>
        <w:t xml:space="preserve">Por esa razón es menester que la Asamblea Legislativa </w:t>
      </w:r>
      <w:r w:rsidRPr="00BD5C0E">
        <w:rPr>
          <w:rFonts w:ascii="Book Antiqua" w:hAnsi="Book Antiqua"/>
          <w:bCs/>
          <w:lang w:val="es-ES_tradnl"/>
        </w:rPr>
        <w:t>exima los referidos productos del pago del Impuesto sobre Ventas y Uso.</w:t>
      </w:r>
      <w:r w:rsidRPr="00BD5C0E">
        <w:rPr>
          <w:rFonts w:ascii="Book Antiqua" w:hAnsi="Book Antiqua"/>
          <w:bCs/>
          <w:lang w:val="es-PR"/>
        </w:rPr>
        <w:t xml:space="preserve"> Esta medida es necesaria para asegurar condiciones de igualdad entre hombres y mujeres en la vida económica y social, y evitar la imposición de gravámenes sistémicos sobre las mujeres que inciden sobre sus derechos a la salud y la vida, y que no afectan el bolsillo de los hombres cisgénero en igualdad de condiciones. Es inconcebible que las mujeres (y hombres transgénero), además de que se ven obligadas a pagar por bienes que los hombres cisgénero no necesitan para mantener su salud, higiene y un nivel de vida adecuado, también tengan que pagar impuestos sobre ellos. En adelante no se validará como correcto lo que, en la práctica, equivale a un impuesto biológicamente determinado.</w:t>
      </w:r>
    </w:p>
    <w:p w14:paraId="19AFD9A2" w14:textId="77777777" w:rsidR="00BD5C0E" w:rsidRDefault="00BD5C0E" w:rsidP="00914D04">
      <w:pPr>
        <w:ind w:firstLine="720"/>
        <w:jc w:val="both"/>
        <w:rPr>
          <w:rFonts w:ascii="Book Antiqua" w:hAnsi="Book Antiqua"/>
          <w:bCs/>
          <w:lang w:val="es-PR"/>
        </w:rPr>
      </w:pPr>
      <w:r w:rsidRPr="00BD5C0E">
        <w:rPr>
          <w:rFonts w:ascii="Book Antiqua" w:hAnsi="Book Antiqua"/>
          <w:bCs/>
          <w:lang w:val="es-ES_tradnl"/>
        </w:rPr>
        <w:lastRenderedPageBreak/>
        <w:t xml:space="preserve">El Tribunal Supremo de Puerto Rico ha reconocido que en los contextos en que la Ley busca remediar las iniquidades que sufren las mujeres a causa de consideraciones biológicas, no se lacera la igual protección de las leyes. </w:t>
      </w:r>
      <w:r w:rsidRPr="00BD5C0E">
        <w:rPr>
          <w:rFonts w:ascii="Book Antiqua" w:hAnsi="Book Antiqua"/>
          <w:bCs/>
          <w:lang w:val="es-PR"/>
        </w:rPr>
        <w:t>Incluso, el Tribunal Supremo de los Estados Unidos ha afirmado que la erradicación del discrimen en contra de las mujeres, así como garantizar su acceso a bienes y espacios sociales, constituye un interés gubernamental apremiante, capaz de superar otras garantías constitucionales.</w:t>
      </w:r>
    </w:p>
    <w:p w14:paraId="6F77B010" w14:textId="77777777" w:rsidR="00914D04" w:rsidRPr="00BD5C0E" w:rsidRDefault="00914D04" w:rsidP="00914D04">
      <w:pPr>
        <w:ind w:firstLine="720"/>
        <w:jc w:val="both"/>
        <w:rPr>
          <w:rFonts w:ascii="Book Antiqua" w:hAnsi="Book Antiqua"/>
          <w:bCs/>
          <w:lang w:val="es-PR"/>
        </w:rPr>
      </w:pPr>
    </w:p>
    <w:p w14:paraId="0A3CD2C8" w14:textId="77777777" w:rsidR="00BD5C0E" w:rsidRDefault="00BD5C0E" w:rsidP="00914D04">
      <w:pPr>
        <w:ind w:firstLine="720"/>
        <w:jc w:val="both"/>
        <w:rPr>
          <w:rFonts w:ascii="Book Antiqua" w:hAnsi="Book Antiqua"/>
          <w:bCs/>
          <w:lang w:val="es-PR"/>
        </w:rPr>
      </w:pPr>
      <w:r w:rsidRPr="00BD5C0E">
        <w:rPr>
          <w:rFonts w:ascii="Book Antiqua" w:hAnsi="Book Antiqua"/>
          <w:bCs/>
          <w:lang w:val="es-PR"/>
        </w:rPr>
        <w:t xml:space="preserve">A todo lo anterior se suma la realidad demográfica por la que atraviesa el país, donde el índice de natalidad continúa un ritmo descendente, con cifras que indican un descenso del 70% desde el año 2000 al presente. A todas las realidades y retos que enfrentan quienes deciden ser madres no se le puede sumar un impuesto a la maternidad, como lo es el pago del Impuesto sobre Ventas y Uso sobre los productos de extracción y preservación de leche materna. </w:t>
      </w:r>
    </w:p>
    <w:p w14:paraId="41C5E208" w14:textId="77777777" w:rsidR="00914D04" w:rsidRPr="00BD5C0E" w:rsidRDefault="00914D04" w:rsidP="00914D04">
      <w:pPr>
        <w:ind w:firstLine="720"/>
        <w:jc w:val="both"/>
        <w:rPr>
          <w:rFonts w:ascii="Book Antiqua" w:hAnsi="Book Antiqua"/>
          <w:bCs/>
          <w:lang w:val="es-PR"/>
        </w:rPr>
      </w:pPr>
    </w:p>
    <w:p w14:paraId="69C0A431" w14:textId="5A6EEC3D" w:rsidR="006B3825" w:rsidRDefault="00BD5C0E" w:rsidP="00914D04">
      <w:pPr>
        <w:ind w:firstLine="720"/>
        <w:jc w:val="both"/>
        <w:rPr>
          <w:rFonts w:ascii="Book Antiqua" w:hAnsi="Book Antiqua"/>
          <w:lang w:val="es-ES_tradnl"/>
        </w:rPr>
      </w:pPr>
      <w:r w:rsidRPr="00BD5C0E">
        <w:rPr>
          <w:rFonts w:ascii="Book Antiqua" w:hAnsi="Book Antiqua"/>
          <w:bCs/>
          <w:lang w:val="es-PR"/>
        </w:rPr>
        <w:t xml:space="preserve">Esta Asamblea Legislativa tiene como objetivo cardinal eliminar las barreras y desventajas que sufren las mujeres en su búsqueda por la equidad, y que les condenan a vivir en la pobreza en una mayor proporción que los hombres. Por esta razón, ordena al Secretario de Hacienda que, mediante reglamento, </w:t>
      </w:r>
      <w:r w:rsidRPr="00BD5C0E">
        <w:rPr>
          <w:rFonts w:ascii="Book Antiqua" w:hAnsi="Book Antiqua"/>
          <w:bCs/>
          <w:lang w:val="es-ES_tradnl"/>
        </w:rPr>
        <w:t>exima los productos de uso exclusivo por las mujeres (y hombres transgénero), específicamente los productos ginecológicos y de extracción y preservación de leche materna, del pago del Impuesto sobre Ventas y Uso.</w:t>
      </w:r>
    </w:p>
    <w:p w14:paraId="69C0A432" w14:textId="77777777" w:rsidR="006B3825" w:rsidRDefault="006B3825" w:rsidP="006B3825">
      <w:pPr>
        <w:spacing w:before="240" w:line="480" w:lineRule="auto"/>
        <w:rPr>
          <w:rFonts w:ascii="Book Antiqua" w:hAnsi="Book Antiqua"/>
          <w:i/>
          <w:lang w:val="es-ES_tradnl"/>
        </w:rPr>
      </w:pPr>
      <w:r>
        <w:rPr>
          <w:rFonts w:ascii="Book Antiqua" w:hAnsi="Book Antiqua"/>
          <w:i/>
          <w:lang w:val="es-ES_tradnl"/>
        </w:rPr>
        <w:t>DECRÉTASE POR LA ASAMBLEA LEGISLATIVA DE PUERTO RICO:</w:t>
      </w:r>
    </w:p>
    <w:p w14:paraId="69C0A433" w14:textId="77777777" w:rsidR="006B3825" w:rsidRDefault="006B3825" w:rsidP="006B3825">
      <w:pPr>
        <w:spacing w:line="480" w:lineRule="auto"/>
        <w:jc w:val="both"/>
        <w:rPr>
          <w:rFonts w:ascii="Book Antiqua" w:hAnsi="Book Antiqua"/>
          <w:lang w:val="es-ES_tradnl"/>
        </w:rPr>
        <w:sectPr w:rsidR="006B3825">
          <w:headerReference w:type="default" r:id="rId8"/>
          <w:type w:val="continuous"/>
          <w:pgSz w:w="12240" w:h="15840" w:code="1"/>
          <w:pgMar w:top="1440" w:right="1440" w:bottom="1440" w:left="1440" w:header="720" w:footer="720" w:gutter="0"/>
          <w:cols w:space="720"/>
          <w:titlePg/>
        </w:sectPr>
      </w:pPr>
    </w:p>
    <w:p w14:paraId="6CA0957E" w14:textId="2D63179A" w:rsidR="00BD5C0E" w:rsidRPr="00B15931" w:rsidRDefault="00BD5C0E" w:rsidP="00BD5C0E">
      <w:pPr>
        <w:spacing w:line="480" w:lineRule="auto"/>
        <w:ind w:firstLine="360"/>
        <w:jc w:val="both"/>
        <w:rPr>
          <w:rFonts w:ascii="Book Antiqua" w:hAnsi="Book Antiqua"/>
          <w:lang w:val="es-ES_tradnl"/>
        </w:rPr>
      </w:pPr>
      <w:r w:rsidRPr="00B15931">
        <w:rPr>
          <w:rFonts w:ascii="Book Antiqua" w:hAnsi="Book Antiqua"/>
          <w:lang w:val="es-ES_tradnl"/>
        </w:rPr>
        <w:t>Artículo 1.</w:t>
      </w:r>
      <w:r w:rsidR="00A32227">
        <w:rPr>
          <w:rFonts w:ascii="Book Antiqua" w:hAnsi="Book Antiqua"/>
          <w:lang w:val="es-ES_tradnl"/>
        </w:rPr>
        <w:t xml:space="preserve"> </w:t>
      </w:r>
      <w:r w:rsidRPr="00B15931">
        <w:rPr>
          <w:rFonts w:ascii="Book Antiqua" w:hAnsi="Book Antiqua"/>
          <w:lang w:val="es-ES_tradnl"/>
        </w:rPr>
        <w:t>-</w:t>
      </w:r>
      <w:r w:rsidR="00A32227">
        <w:rPr>
          <w:rFonts w:ascii="Book Antiqua" w:hAnsi="Book Antiqua"/>
          <w:lang w:val="es-ES_tradnl"/>
        </w:rPr>
        <w:t xml:space="preserve"> </w:t>
      </w:r>
      <w:r w:rsidRPr="00B15931">
        <w:rPr>
          <w:rFonts w:ascii="Book Antiqua" w:hAnsi="Book Antiqua"/>
          <w:lang w:val="es-ES_tradnl"/>
        </w:rPr>
        <w:t xml:space="preserve">Se </w:t>
      </w:r>
      <w:r w:rsidR="00A32227">
        <w:rPr>
          <w:rFonts w:ascii="Book Antiqua" w:hAnsi="Book Antiqua"/>
          <w:lang w:val="es-ES_tradnl"/>
        </w:rPr>
        <w:t xml:space="preserve">enmienda </w:t>
      </w:r>
      <w:r w:rsidRPr="00B15931">
        <w:rPr>
          <w:rFonts w:ascii="Book Antiqua" w:hAnsi="Book Antiqua"/>
          <w:lang w:val="es-ES_tradnl"/>
        </w:rPr>
        <w:t xml:space="preserve">la Sección 4030.26 de la Ley Núm. 1-2011, según enmendada, conocida como “Código de Rentas Internas </w:t>
      </w:r>
      <w:r>
        <w:rPr>
          <w:rFonts w:ascii="Book Antiqua" w:hAnsi="Book Antiqua"/>
          <w:lang w:val="es-ES_tradnl"/>
        </w:rPr>
        <w:t xml:space="preserve">de </w:t>
      </w:r>
      <w:r w:rsidRPr="00B15931">
        <w:rPr>
          <w:rFonts w:ascii="Book Antiqua" w:hAnsi="Book Antiqua"/>
          <w:lang w:val="es-ES_tradnl"/>
        </w:rPr>
        <w:t>Puerto Rico</w:t>
      </w:r>
      <w:r>
        <w:rPr>
          <w:rFonts w:ascii="Book Antiqua" w:hAnsi="Book Antiqua"/>
          <w:lang w:val="es-ES_tradnl"/>
        </w:rPr>
        <w:t xml:space="preserve"> de 2011</w:t>
      </w:r>
      <w:r w:rsidRPr="00B15931">
        <w:rPr>
          <w:rFonts w:ascii="Book Antiqua" w:hAnsi="Book Antiqua"/>
          <w:lang w:val="es-ES_tradnl"/>
        </w:rPr>
        <w:t xml:space="preserve">”, para que lea como sigue: </w:t>
      </w:r>
    </w:p>
    <w:p w14:paraId="6793F14A" w14:textId="11DD5D35" w:rsidR="00BD5C0E" w:rsidRPr="00B15931" w:rsidRDefault="00BD5C0E" w:rsidP="00A32227">
      <w:pPr>
        <w:spacing w:line="480" w:lineRule="auto"/>
        <w:ind w:left="720"/>
        <w:jc w:val="both"/>
        <w:rPr>
          <w:rFonts w:ascii="Book Antiqua" w:hAnsi="Book Antiqua"/>
          <w:lang w:val="es-PR"/>
        </w:rPr>
      </w:pPr>
      <w:r w:rsidRPr="00B15931">
        <w:rPr>
          <w:rFonts w:ascii="Book Antiqua" w:hAnsi="Book Antiqua"/>
          <w:lang w:val="es-PR"/>
        </w:rPr>
        <w:t xml:space="preserve">“Sección 4030.26 – Exención para productos de higiene personal femenina para absorber el flujo menstrual </w:t>
      </w:r>
      <w:r w:rsidRPr="00A32227">
        <w:rPr>
          <w:rFonts w:ascii="Book Antiqua" w:hAnsi="Book Antiqua"/>
          <w:i/>
          <w:iCs/>
          <w:lang w:val="es-PR"/>
        </w:rPr>
        <w:t xml:space="preserve">y </w:t>
      </w:r>
      <w:r w:rsidR="00A32227">
        <w:rPr>
          <w:rFonts w:ascii="Book Antiqua" w:hAnsi="Book Antiqua"/>
          <w:i/>
          <w:iCs/>
          <w:lang w:val="es-PR"/>
        </w:rPr>
        <w:t xml:space="preserve">para </w:t>
      </w:r>
      <w:r w:rsidRPr="00A32227">
        <w:rPr>
          <w:rFonts w:ascii="Book Antiqua" w:hAnsi="Book Antiqua"/>
          <w:i/>
          <w:iCs/>
          <w:lang w:val="es-PR"/>
        </w:rPr>
        <w:t xml:space="preserve">productos de extracción </w:t>
      </w:r>
      <w:r w:rsidR="00A32227">
        <w:rPr>
          <w:rFonts w:ascii="Book Antiqua" w:hAnsi="Book Antiqua"/>
          <w:i/>
          <w:iCs/>
          <w:lang w:val="es-PR"/>
        </w:rPr>
        <w:t>y</w:t>
      </w:r>
      <w:r w:rsidRPr="00A32227">
        <w:rPr>
          <w:rFonts w:ascii="Book Antiqua" w:hAnsi="Book Antiqua"/>
          <w:i/>
          <w:iCs/>
          <w:lang w:val="es-PR"/>
        </w:rPr>
        <w:t xml:space="preserve"> preservación de leche materna.</w:t>
      </w:r>
      <w:r w:rsidRPr="00B15931">
        <w:rPr>
          <w:rFonts w:ascii="Book Antiqua" w:hAnsi="Book Antiqua"/>
          <w:lang w:val="es-PR"/>
        </w:rPr>
        <w:t xml:space="preserve"> </w:t>
      </w:r>
    </w:p>
    <w:p w14:paraId="01ACF4A8" w14:textId="18EC9D3C" w:rsidR="00A32227" w:rsidRPr="00A32227" w:rsidRDefault="00A32227" w:rsidP="00CC5978">
      <w:pPr>
        <w:pStyle w:val="Prrafodelista"/>
        <w:numPr>
          <w:ilvl w:val="0"/>
          <w:numId w:val="11"/>
        </w:numPr>
        <w:tabs>
          <w:tab w:val="left" w:pos="1530"/>
        </w:tabs>
        <w:spacing w:line="480" w:lineRule="auto"/>
        <w:jc w:val="both"/>
        <w:rPr>
          <w:rFonts w:ascii="Book Antiqua" w:hAnsi="Book Antiqua"/>
          <w:lang w:val="es-PR"/>
        </w:rPr>
      </w:pPr>
      <w:r w:rsidRPr="00A32227">
        <w:rPr>
          <w:rFonts w:ascii="Book Antiqua" w:hAnsi="Book Antiqua"/>
          <w:lang w:val="es-PR"/>
        </w:rPr>
        <w:t xml:space="preserve">Estarán exentos del pago del impuesto sobre ventas y uso fijado en este subtítulo </w:t>
      </w:r>
      <w:r w:rsidR="00CC5978" w:rsidRPr="00CC5978">
        <w:rPr>
          <w:rFonts w:ascii="Book Antiqua" w:hAnsi="Book Antiqua"/>
          <w:b/>
          <w:bCs/>
          <w:lang w:val="es-PR"/>
        </w:rPr>
        <w:t>[</w:t>
      </w:r>
      <w:r w:rsidRPr="00CC5978">
        <w:rPr>
          <w:rFonts w:ascii="Book Antiqua" w:hAnsi="Book Antiqua"/>
          <w:b/>
          <w:bCs/>
          <w:lang w:val="es-PR"/>
        </w:rPr>
        <w:t>dispuestos por este Subtítulo</w:t>
      </w:r>
      <w:r w:rsidR="00CC5978" w:rsidRPr="00CC5978">
        <w:rPr>
          <w:rFonts w:ascii="Book Antiqua" w:hAnsi="Book Antiqua"/>
          <w:b/>
          <w:bCs/>
          <w:lang w:val="es-PR"/>
        </w:rPr>
        <w:t>]</w:t>
      </w:r>
      <w:r w:rsidRPr="00A32227">
        <w:rPr>
          <w:rFonts w:ascii="Book Antiqua" w:hAnsi="Book Antiqua"/>
          <w:lang w:val="es-PR"/>
        </w:rPr>
        <w:t xml:space="preserve">, los productos de higiene femenina utilizados para absorber el flujo menstrual. </w:t>
      </w:r>
    </w:p>
    <w:p w14:paraId="60DCB6D6" w14:textId="3661647B" w:rsidR="00BD5C0E" w:rsidRPr="00B15931" w:rsidRDefault="00A32227" w:rsidP="00CC5978">
      <w:pPr>
        <w:tabs>
          <w:tab w:val="left" w:pos="1530"/>
        </w:tabs>
        <w:spacing w:line="480" w:lineRule="auto"/>
        <w:ind w:left="1440" w:hanging="360"/>
        <w:jc w:val="both"/>
        <w:rPr>
          <w:rFonts w:ascii="Book Antiqua" w:hAnsi="Book Antiqua"/>
          <w:lang w:val="es-PR"/>
        </w:rPr>
      </w:pPr>
      <w:r>
        <w:rPr>
          <w:rFonts w:ascii="Book Antiqua" w:hAnsi="Book Antiqua"/>
          <w:i/>
          <w:iCs/>
          <w:lang w:val="es-PR"/>
        </w:rPr>
        <w:lastRenderedPageBreak/>
        <w:t>(b) E</w:t>
      </w:r>
      <w:r w:rsidR="00BD5C0E" w:rsidRPr="00A32227">
        <w:rPr>
          <w:rFonts w:ascii="Book Antiqua" w:hAnsi="Book Antiqua"/>
          <w:i/>
          <w:iCs/>
          <w:lang w:val="es-PR"/>
        </w:rPr>
        <w:t xml:space="preserve">starán exentos del pago del </w:t>
      </w:r>
      <w:r w:rsidR="00CC5978">
        <w:rPr>
          <w:rFonts w:ascii="Book Antiqua" w:hAnsi="Book Antiqua"/>
          <w:i/>
          <w:iCs/>
          <w:lang w:val="es-PR"/>
        </w:rPr>
        <w:t>i</w:t>
      </w:r>
      <w:r w:rsidR="00BD5C0E" w:rsidRPr="00A32227">
        <w:rPr>
          <w:rFonts w:ascii="Book Antiqua" w:hAnsi="Book Antiqua"/>
          <w:i/>
          <w:iCs/>
          <w:lang w:val="es-PR"/>
        </w:rPr>
        <w:t xml:space="preserve">mpuesto sobre </w:t>
      </w:r>
      <w:r w:rsidR="00CC5978">
        <w:rPr>
          <w:rFonts w:ascii="Book Antiqua" w:hAnsi="Book Antiqua"/>
          <w:i/>
          <w:iCs/>
          <w:lang w:val="es-PR"/>
        </w:rPr>
        <w:t>v</w:t>
      </w:r>
      <w:r w:rsidR="00BD5C0E" w:rsidRPr="00A32227">
        <w:rPr>
          <w:rFonts w:ascii="Book Antiqua" w:hAnsi="Book Antiqua"/>
          <w:i/>
          <w:iCs/>
          <w:lang w:val="es-PR"/>
        </w:rPr>
        <w:t xml:space="preserve">entas y </w:t>
      </w:r>
      <w:r w:rsidR="00CC5978">
        <w:rPr>
          <w:rFonts w:ascii="Book Antiqua" w:hAnsi="Book Antiqua"/>
          <w:i/>
          <w:iCs/>
          <w:lang w:val="es-PR"/>
        </w:rPr>
        <w:t>u</w:t>
      </w:r>
      <w:r w:rsidR="00BD5C0E" w:rsidRPr="00A32227">
        <w:rPr>
          <w:rFonts w:ascii="Book Antiqua" w:hAnsi="Book Antiqua"/>
          <w:i/>
          <w:iCs/>
          <w:lang w:val="es-PR"/>
        </w:rPr>
        <w:t xml:space="preserve">so fijado en este </w:t>
      </w:r>
      <w:r w:rsidR="00CC5978">
        <w:rPr>
          <w:rFonts w:ascii="Book Antiqua" w:hAnsi="Book Antiqua"/>
          <w:i/>
          <w:iCs/>
          <w:lang w:val="es-PR"/>
        </w:rPr>
        <w:t>s</w:t>
      </w:r>
      <w:r w:rsidR="00BD5C0E" w:rsidRPr="00A32227">
        <w:rPr>
          <w:rFonts w:ascii="Book Antiqua" w:hAnsi="Book Antiqua"/>
          <w:i/>
          <w:iCs/>
          <w:lang w:val="es-PR"/>
        </w:rPr>
        <w:t>ubtítulo, los productos de extracción y preservación de leche materna.</w:t>
      </w:r>
      <w:r w:rsidR="00BD5C0E" w:rsidRPr="00B15931">
        <w:rPr>
          <w:rFonts w:ascii="Book Antiqua" w:hAnsi="Book Antiqua"/>
          <w:lang w:val="es-PR"/>
        </w:rPr>
        <w:t>”</w:t>
      </w:r>
    </w:p>
    <w:p w14:paraId="0E5F1486" w14:textId="6DE7F748" w:rsidR="00BD5C0E" w:rsidRPr="00B15931" w:rsidRDefault="00BD5C0E" w:rsidP="00BD5C0E">
      <w:pPr>
        <w:spacing w:line="480" w:lineRule="auto"/>
        <w:ind w:firstLine="360"/>
        <w:jc w:val="both"/>
        <w:rPr>
          <w:rFonts w:ascii="Book Antiqua" w:hAnsi="Book Antiqua"/>
          <w:lang w:val="es-ES_tradnl"/>
        </w:rPr>
      </w:pPr>
      <w:r w:rsidRPr="00B15931">
        <w:rPr>
          <w:rFonts w:ascii="Book Antiqua" w:hAnsi="Book Antiqua"/>
          <w:lang w:val="es-ES_tradnl"/>
        </w:rPr>
        <w:t>Artículo 2.</w:t>
      </w:r>
      <w:r w:rsidR="00CC5978">
        <w:rPr>
          <w:rFonts w:ascii="Book Antiqua" w:hAnsi="Book Antiqua"/>
          <w:lang w:val="es-ES_tradnl"/>
        </w:rPr>
        <w:t xml:space="preserve"> </w:t>
      </w:r>
      <w:r w:rsidRPr="00B15931">
        <w:rPr>
          <w:rFonts w:ascii="Book Antiqua" w:hAnsi="Book Antiqua"/>
          <w:lang w:val="es-ES_tradnl"/>
        </w:rPr>
        <w:t>- Supremacía</w:t>
      </w:r>
    </w:p>
    <w:p w14:paraId="70A317EB" w14:textId="77777777" w:rsidR="00BD5C0E" w:rsidRPr="00B15931" w:rsidRDefault="00BD5C0E" w:rsidP="00BD5C0E">
      <w:pPr>
        <w:pStyle w:val="sectext"/>
        <w:spacing w:line="480" w:lineRule="auto"/>
        <w:ind w:firstLine="360"/>
        <w:jc w:val="both"/>
        <w:rPr>
          <w:rFonts w:ascii="Book Antiqua" w:hAnsi="Book Antiqua"/>
          <w:lang w:val="es-PR"/>
        </w:rPr>
      </w:pPr>
      <w:r w:rsidRPr="00B15931">
        <w:rPr>
          <w:rFonts w:ascii="Book Antiqua" w:hAnsi="Book Antiqua"/>
          <w:szCs w:val="20"/>
          <w:lang w:val="es-ES_tradnl"/>
        </w:rPr>
        <w:t>Las</w:t>
      </w:r>
      <w:r w:rsidRPr="00B15931">
        <w:rPr>
          <w:rFonts w:ascii="Book Antiqua" w:hAnsi="Book Antiqua"/>
          <w:lang w:val="es-ES_tradnl"/>
        </w:rPr>
        <w:t xml:space="preserve"> disposiciones de esta Ley </w:t>
      </w:r>
      <w:r w:rsidRPr="00B15931">
        <w:rPr>
          <w:rFonts w:ascii="Book Antiqua" w:hAnsi="Book Antiqua"/>
          <w:szCs w:val="20"/>
          <w:lang w:val="es-ES_tradnl"/>
        </w:rPr>
        <w:t xml:space="preserve">prevalecerán sobre cualquier otra disposición de ley, reglamento o norma que no estuviere en armonía con </w:t>
      </w:r>
      <w:r w:rsidRPr="00B15931">
        <w:rPr>
          <w:rFonts w:ascii="Book Antiqua" w:hAnsi="Book Antiqua"/>
          <w:lang w:val="es-ES_tradnl"/>
        </w:rPr>
        <w:t>ellas</w:t>
      </w:r>
      <w:r w:rsidRPr="00B15931">
        <w:rPr>
          <w:rFonts w:ascii="Book Antiqua" w:hAnsi="Book Antiqua"/>
          <w:szCs w:val="20"/>
          <w:lang w:val="es-ES_tradnl"/>
        </w:rPr>
        <w:t>.</w:t>
      </w:r>
    </w:p>
    <w:p w14:paraId="3BD977E6" w14:textId="1FA52A0C" w:rsidR="00BD5C0E" w:rsidRPr="00B15931" w:rsidRDefault="00BD5C0E" w:rsidP="00BD5C0E">
      <w:pPr>
        <w:pStyle w:val="sectext"/>
        <w:spacing w:line="480" w:lineRule="auto"/>
        <w:ind w:firstLine="360"/>
        <w:jc w:val="both"/>
        <w:rPr>
          <w:rFonts w:ascii="Book Antiqua" w:hAnsi="Book Antiqua"/>
          <w:lang w:val="es-PR"/>
        </w:rPr>
      </w:pPr>
      <w:r w:rsidRPr="00B15931">
        <w:rPr>
          <w:rFonts w:ascii="Book Antiqua" w:hAnsi="Book Antiqua"/>
          <w:lang w:val="es-PR"/>
        </w:rPr>
        <w:t>Artículo 3.</w:t>
      </w:r>
      <w:r w:rsidR="00CC5978">
        <w:rPr>
          <w:rFonts w:ascii="Book Antiqua" w:hAnsi="Book Antiqua"/>
          <w:lang w:val="es-PR"/>
        </w:rPr>
        <w:t xml:space="preserve"> </w:t>
      </w:r>
      <w:r w:rsidRPr="00B15931">
        <w:rPr>
          <w:rFonts w:ascii="Book Antiqua" w:hAnsi="Book Antiqua"/>
          <w:lang w:val="es-PR"/>
        </w:rPr>
        <w:t>- Cláusula de separabilidad</w:t>
      </w:r>
    </w:p>
    <w:p w14:paraId="20D99131" w14:textId="77777777" w:rsidR="00BD5C0E" w:rsidRPr="00B15931" w:rsidRDefault="00BD5C0E" w:rsidP="00BD5C0E">
      <w:pPr>
        <w:pStyle w:val="sectext"/>
        <w:spacing w:line="480" w:lineRule="auto"/>
        <w:ind w:firstLine="360"/>
        <w:jc w:val="both"/>
        <w:rPr>
          <w:rFonts w:ascii="Book Antiqua" w:hAnsi="Book Antiqua"/>
          <w:lang w:val="es-PR"/>
        </w:rPr>
      </w:pPr>
      <w:r w:rsidRPr="00B15931">
        <w:rPr>
          <w:rFonts w:ascii="Book Antiqua" w:hAnsi="Book Antiqua"/>
          <w:lang w:val="es-PR"/>
        </w:rPr>
        <w:t xml:space="preserve">Si alguna de las disposiciones de esta Ley o su aplicación fuere declarada inconstitucional o nula, tal dictamen de invalidez o nulidad no afectará la </w:t>
      </w:r>
      <w:proofErr w:type="spellStart"/>
      <w:r w:rsidRPr="00B15931">
        <w:rPr>
          <w:rFonts w:ascii="Book Antiqua" w:hAnsi="Book Antiqua"/>
          <w:lang w:val="es-PR"/>
        </w:rPr>
        <w:t>ejecutabilidad</w:t>
      </w:r>
      <w:proofErr w:type="spellEnd"/>
      <w:r w:rsidRPr="00B15931">
        <w:rPr>
          <w:rFonts w:ascii="Book Antiqua" w:hAnsi="Book Antiqua"/>
          <w:lang w:val="es-PR"/>
        </w:rPr>
        <w:t xml:space="preserve"> y vigor de las restantes disposiciones que no hayan sido objeto de dictamen adverso.</w:t>
      </w:r>
    </w:p>
    <w:p w14:paraId="55A3C816" w14:textId="6AE3C0F6" w:rsidR="00BD5C0E" w:rsidRPr="00B15931" w:rsidRDefault="00BD5C0E" w:rsidP="00BD5C0E">
      <w:pPr>
        <w:spacing w:line="480" w:lineRule="auto"/>
        <w:ind w:firstLine="360"/>
        <w:jc w:val="both"/>
        <w:rPr>
          <w:rFonts w:ascii="Book Antiqua" w:hAnsi="Book Antiqua"/>
          <w:lang w:val="es-PR"/>
        </w:rPr>
      </w:pPr>
      <w:r w:rsidRPr="00B15931">
        <w:rPr>
          <w:rFonts w:ascii="Book Antiqua" w:hAnsi="Book Antiqua"/>
          <w:lang w:val="es-PR"/>
        </w:rPr>
        <w:t>Artículo 4.</w:t>
      </w:r>
      <w:r w:rsidR="00CC5978">
        <w:rPr>
          <w:rFonts w:ascii="Book Antiqua" w:hAnsi="Book Antiqua"/>
          <w:lang w:val="es-PR"/>
        </w:rPr>
        <w:t xml:space="preserve"> </w:t>
      </w:r>
      <w:r w:rsidRPr="00B15931">
        <w:rPr>
          <w:rFonts w:ascii="Book Antiqua" w:hAnsi="Book Antiqua"/>
          <w:lang w:val="es-PR"/>
        </w:rPr>
        <w:t>- Vigencia</w:t>
      </w:r>
    </w:p>
    <w:p w14:paraId="69C0A456" w14:textId="073FD22E" w:rsidR="006B3825" w:rsidRPr="00575E68" w:rsidRDefault="00BD5C0E" w:rsidP="00BD5C0E">
      <w:pPr>
        <w:spacing w:line="480" w:lineRule="auto"/>
        <w:ind w:firstLine="360"/>
        <w:jc w:val="both"/>
        <w:rPr>
          <w:rFonts w:ascii="Book Antiqua" w:hAnsi="Book Antiqua"/>
          <w:lang w:val="es-ES"/>
        </w:rPr>
      </w:pPr>
      <w:r w:rsidRPr="00B15931">
        <w:rPr>
          <w:rFonts w:ascii="Book Antiqua" w:hAnsi="Book Antiqua"/>
          <w:lang w:val="es-PR"/>
        </w:rPr>
        <w:t>Esta Ley comenzará a regir inmediatamente después de su aprobación.</w:t>
      </w:r>
    </w:p>
    <w:sectPr w:rsidR="006B3825" w:rsidRPr="00575E68" w:rsidSect="006B3825">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C0A459" w14:textId="77777777" w:rsidR="006B3825" w:rsidRDefault="006B3825">
      <w:r>
        <w:separator/>
      </w:r>
    </w:p>
  </w:endnote>
  <w:endnote w:type="continuationSeparator" w:id="0">
    <w:p w14:paraId="69C0A45A" w14:textId="77777777" w:rsidR="006B3825" w:rsidRDefault="006B38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C0A457" w14:textId="77777777" w:rsidR="006B3825" w:rsidRDefault="006B3825">
      <w:r>
        <w:separator/>
      </w:r>
    </w:p>
  </w:footnote>
  <w:footnote w:type="continuationSeparator" w:id="0">
    <w:p w14:paraId="69C0A458" w14:textId="77777777" w:rsidR="006B3825" w:rsidRDefault="006B3825">
      <w:r>
        <w:continuationSeparator/>
      </w:r>
    </w:p>
  </w:footnote>
  <w:footnote w:id="1">
    <w:p w14:paraId="6C69D918" w14:textId="77777777" w:rsidR="00BD5C0E" w:rsidRPr="000A0BB8" w:rsidRDefault="00BD5C0E" w:rsidP="00BD5C0E">
      <w:pPr>
        <w:pStyle w:val="Textonotapie"/>
        <w:rPr>
          <w:rFonts w:ascii="Book Antiqua" w:hAnsi="Book Antiqua"/>
          <w:sz w:val="18"/>
          <w:szCs w:val="18"/>
        </w:rPr>
      </w:pPr>
      <w:r w:rsidRPr="000A0BB8">
        <w:rPr>
          <w:rStyle w:val="Refdenotaalpie"/>
          <w:rFonts w:ascii="Book Antiqua" w:hAnsi="Book Antiqua"/>
          <w:sz w:val="18"/>
          <w:szCs w:val="18"/>
        </w:rPr>
        <w:footnoteRef/>
      </w:r>
      <w:r w:rsidRPr="000A0BB8">
        <w:rPr>
          <w:rFonts w:ascii="Book Antiqua" w:hAnsi="Book Antiqua"/>
          <w:sz w:val="18"/>
          <w:szCs w:val="18"/>
        </w:rPr>
        <w:t xml:space="preserve"> Bianchi, S. y D. Spain, </w:t>
      </w:r>
      <w:r w:rsidRPr="000A0BB8">
        <w:rPr>
          <w:rFonts w:ascii="Book Antiqua" w:hAnsi="Book Antiqua"/>
          <w:i/>
          <w:sz w:val="18"/>
          <w:szCs w:val="18"/>
        </w:rPr>
        <w:t xml:space="preserve">U.S. Women Make Workplace Progress </w:t>
      </w:r>
      <w:r w:rsidRPr="000A0BB8">
        <w:rPr>
          <w:rFonts w:ascii="Book Antiqua" w:hAnsi="Book Antiqua"/>
          <w:sz w:val="18"/>
          <w:szCs w:val="18"/>
        </w:rPr>
        <w:t>(Population Today, num. 25: 1997).</w:t>
      </w:r>
    </w:p>
  </w:footnote>
  <w:footnote w:id="2">
    <w:p w14:paraId="33BA4E01" w14:textId="77777777" w:rsidR="00BD5C0E" w:rsidRPr="000A0BB8" w:rsidRDefault="00BD5C0E" w:rsidP="00BD5C0E">
      <w:pPr>
        <w:pStyle w:val="Textonotapie"/>
        <w:rPr>
          <w:rFonts w:ascii="Book Antiqua" w:hAnsi="Book Antiqua"/>
          <w:sz w:val="18"/>
          <w:szCs w:val="18"/>
        </w:rPr>
      </w:pPr>
      <w:r w:rsidRPr="000A0BB8">
        <w:rPr>
          <w:rStyle w:val="Refdenotaalpie"/>
          <w:rFonts w:ascii="Book Antiqua" w:hAnsi="Book Antiqua"/>
          <w:sz w:val="18"/>
          <w:szCs w:val="18"/>
        </w:rPr>
        <w:footnoteRef/>
      </w:r>
      <w:r w:rsidRPr="000A0BB8">
        <w:rPr>
          <w:rFonts w:ascii="Book Antiqua" w:hAnsi="Book Antiqua"/>
          <w:sz w:val="18"/>
          <w:szCs w:val="18"/>
        </w:rPr>
        <w:t xml:space="preserve"> Blau, Francine D., </w:t>
      </w:r>
      <w:r w:rsidRPr="000A0BB8">
        <w:rPr>
          <w:rFonts w:ascii="Book Antiqua" w:hAnsi="Book Antiqua"/>
          <w:i/>
          <w:sz w:val="18"/>
          <w:szCs w:val="18"/>
        </w:rPr>
        <w:t>Gender, Inequality, and Wages</w:t>
      </w:r>
      <w:r w:rsidRPr="000A0BB8">
        <w:rPr>
          <w:rFonts w:ascii="Book Antiqua" w:hAnsi="Book Antiqua"/>
          <w:sz w:val="18"/>
          <w:szCs w:val="18"/>
        </w:rPr>
        <w:t xml:space="preserve"> (OUP Catalogue, Oxford University Press, number 9780198779971, Gielen, Anne C. &amp; Zimmermann, Klaus F., eds. 2016).</w:t>
      </w:r>
    </w:p>
  </w:footnote>
  <w:footnote w:id="3">
    <w:p w14:paraId="0D4F3F94" w14:textId="77777777" w:rsidR="00BD5C0E" w:rsidRPr="000A0BB8" w:rsidRDefault="00BD5C0E" w:rsidP="00BD5C0E">
      <w:pPr>
        <w:pStyle w:val="Textonotapie"/>
        <w:rPr>
          <w:rFonts w:ascii="Book Antiqua" w:hAnsi="Book Antiqua"/>
          <w:sz w:val="18"/>
          <w:szCs w:val="18"/>
        </w:rPr>
      </w:pPr>
      <w:r w:rsidRPr="000A0BB8">
        <w:rPr>
          <w:rStyle w:val="Refdenotaalpie"/>
          <w:rFonts w:ascii="Book Antiqua" w:hAnsi="Book Antiqua"/>
          <w:sz w:val="18"/>
          <w:szCs w:val="18"/>
        </w:rPr>
        <w:footnoteRef/>
      </w:r>
      <w:r w:rsidRPr="000A0BB8">
        <w:rPr>
          <w:rFonts w:ascii="Book Antiqua" w:hAnsi="Book Antiqua"/>
          <w:sz w:val="18"/>
          <w:szCs w:val="18"/>
        </w:rPr>
        <w:t xml:space="preserve"> Marianne Bertrand y Kevin F. Hallock, </w:t>
      </w:r>
      <w:r w:rsidRPr="000A0BB8">
        <w:rPr>
          <w:rFonts w:ascii="Book Antiqua" w:hAnsi="Book Antiqua"/>
          <w:i/>
          <w:sz w:val="18"/>
          <w:szCs w:val="18"/>
        </w:rPr>
        <w:t xml:space="preserve">The Gender Gap in Top Corporate Jobs </w:t>
      </w:r>
      <w:r w:rsidRPr="000A0BB8">
        <w:rPr>
          <w:rFonts w:ascii="Book Antiqua" w:hAnsi="Book Antiqua"/>
          <w:sz w:val="18"/>
          <w:szCs w:val="18"/>
        </w:rPr>
        <w:t>(Cornell University: ILR Review Vol. 55, Issue 1, 2001).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0A45B" w14:textId="77777777" w:rsidR="00F042CB" w:rsidRDefault="00F042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8A531C">
      <w:rPr>
        <w:rStyle w:val="Nmerodepgina"/>
        <w:noProof/>
      </w:rPr>
      <w:t>8</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B84BA2"/>
    <w:multiLevelType w:val="hybridMultilevel"/>
    <w:tmpl w:val="B212D600"/>
    <w:lvl w:ilvl="0" w:tplc="FFFFFFFF">
      <w:start w:val="1"/>
      <w:numFmt w:val="lowerLetter"/>
      <w:lvlText w:val="(%1)"/>
      <w:lvlJc w:val="left"/>
      <w:pPr>
        <w:ind w:left="1080" w:hanging="360"/>
      </w:pPr>
      <w:rPr>
        <w:rFonts w:hint="default"/>
      </w:r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22C23117"/>
    <w:multiLevelType w:val="hybridMultilevel"/>
    <w:tmpl w:val="1E947526"/>
    <w:lvl w:ilvl="0" w:tplc="A3207542">
      <w:start w:val="1"/>
      <w:numFmt w:val="lowerLetter"/>
      <w:lvlText w:val="%1."/>
      <w:lvlJc w:val="left"/>
      <w:pPr>
        <w:ind w:left="1080" w:hanging="360"/>
      </w:pPr>
      <w:rPr>
        <w:rFonts w:hint="default"/>
        <w:strike w:val="0"/>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 w15:restartNumberingAfterBreak="0">
    <w:nsid w:val="28CB39C2"/>
    <w:multiLevelType w:val="hybridMultilevel"/>
    <w:tmpl w:val="B6CC4294"/>
    <w:lvl w:ilvl="0" w:tplc="9DA0AE1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AB105DA"/>
    <w:multiLevelType w:val="hybridMultilevel"/>
    <w:tmpl w:val="68501E32"/>
    <w:lvl w:ilvl="0" w:tplc="B00C4716">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42C122C2"/>
    <w:multiLevelType w:val="hybridMultilevel"/>
    <w:tmpl w:val="49CC9E50"/>
    <w:lvl w:ilvl="0" w:tplc="7EF4BE4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8774590"/>
    <w:multiLevelType w:val="hybridMultilevel"/>
    <w:tmpl w:val="B212D600"/>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 w15:restartNumberingAfterBreak="0">
    <w:nsid w:val="50DB2DC2"/>
    <w:multiLevelType w:val="hybridMultilevel"/>
    <w:tmpl w:val="B212D600"/>
    <w:lvl w:ilvl="0" w:tplc="DF6A8F9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D3C698B"/>
    <w:multiLevelType w:val="hybridMultilevel"/>
    <w:tmpl w:val="39C257CC"/>
    <w:lvl w:ilvl="0" w:tplc="B67E6F90">
      <w:start w:val="1"/>
      <w:numFmt w:val="decimal"/>
      <w:lvlText w:val="%1."/>
      <w:lvlJc w:val="left"/>
      <w:pPr>
        <w:ind w:left="1080" w:hanging="360"/>
      </w:pPr>
      <w:rPr>
        <w:rFonts w:ascii="Book Antiqua" w:eastAsia="Times New Roman" w:hAnsi="Book Antiqua" w:cs="Times New Roman"/>
        <w:i w:val="0"/>
      </w:rPr>
    </w:lvl>
    <w:lvl w:ilvl="1" w:tplc="500A0019">
      <w:start w:val="1"/>
      <w:numFmt w:val="lowerLetter"/>
      <w:lvlText w:val="%2."/>
      <w:lvlJc w:val="left"/>
      <w:pPr>
        <w:ind w:left="1800" w:hanging="360"/>
      </w:pPr>
    </w:lvl>
    <w:lvl w:ilvl="2" w:tplc="A50A2090">
      <w:start w:val="1"/>
      <w:numFmt w:val="lowerLetter"/>
      <w:lvlText w:val="%3."/>
      <w:lvlJc w:val="right"/>
      <w:pPr>
        <w:ind w:left="2520" w:hanging="180"/>
      </w:pPr>
      <w:rPr>
        <w:rFonts w:ascii="Book Antiqua" w:eastAsia="Times New Roman" w:hAnsi="Book Antiqua" w:cs="Times New Roman"/>
      </w:r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8" w15:restartNumberingAfterBreak="0">
    <w:nsid w:val="6FAE3ADC"/>
    <w:multiLevelType w:val="hybridMultilevel"/>
    <w:tmpl w:val="14A2D020"/>
    <w:lvl w:ilvl="0" w:tplc="42F4FE3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6FC80B01"/>
    <w:multiLevelType w:val="hybridMultilevel"/>
    <w:tmpl w:val="91A29906"/>
    <w:lvl w:ilvl="0" w:tplc="6A34B66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772818E1"/>
    <w:multiLevelType w:val="hybridMultilevel"/>
    <w:tmpl w:val="370AED98"/>
    <w:lvl w:ilvl="0" w:tplc="8DF6A610">
      <w:start w:val="1"/>
      <w:numFmt w:val="lowerLetter"/>
      <w:lvlText w:val="(%1) "/>
      <w:lvlJc w:val="left"/>
      <w:pPr>
        <w:ind w:left="1440" w:hanging="360"/>
      </w:pPr>
      <w:rPr>
        <w:rFonts w:hint="default"/>
        <w:b/>
        <w:bCs/>
        <w:i/>
        <w:iCs/>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087188994">
    <w:abstractNumId w:val="1"/>
  </w:num>
  <w:num w:numId="2" w16cid:durableId="2101755977">
    <w:abstractNumId w:val="7"/>
  </w:num>
  <w:num w:numId="3" w16cid:durableId="1703433007">
    <w:abstractNumId w:val="6"/>
  </w:num>
  <w:num w:numId="4" w16cid:durableId="73939810">
    <w:abstractNumId w:val="5"/>
  </w:num>
  <w:num w:numId="5" w16cid:durableId="1329214146">
    <w:abstractNumId w:val="0"/>
  </w:num>
  <w:num w:numId="6" w16cid:durableId="232811624">
    <w:abstractNumId w:val="8"/>
  </w:num>
  <w:num w:numId="7" w16cid:durableId="616330007">
    <w:abstractNumId w:val="9"/>
  </w:num>
  <w:num w:numId="8" w16cid:durableId="2001536055">
    <w:abstractNumId w:val="4"/>
  </w:num>
  <w:num w:numId="9" w16cid:durableId="199319568">
    <w:abstractNumId w:val="2"/>
  </w:num>
  <w:num w:numId="10" w16cid:durableId="246963960">
    <w:abstractNumId w:val="10"/>
  </w:num>
  <w:num w:numId="11" w16cid:durableId="964349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6B3825"/>
    <w:rsid w:val="00011506"/>
    <w:rsid w:val="00020BBB"/>
    <w:rsid w:val="00056024"/>
    <w:rsid w:val="00095AE1"/>
    <w:rsid w:val="000A65F5"/>
    <w:rsid w:val="000A6B6C"/>
    <w:rsid w:val="000B0DBB"/>
    <w:rsid w:val="00111E71"/>
    <w:rsid w:val="00127C6A"/>
    <w:rsid w:val="001363FE"/>
    <w:rsid w:val="0017132B"/>
    <w:rsid w:val="001F4CA3"/>
    <w:rsid w:val="001F612A"/>
    <w:rsid w:val="00211396"/>
    <w:rsid w:val="00226AE6"/>
    <w:rsid w:val="00245B34"/>
    <w:rsid w:val="00263355"/>
    <w:rsid w:val="00272CE6"/>
    <w:rsid w:val="00273792"/>
    <w:rsid w:val="002D4AC8"/>
    <w:rsid w:val="00320D78"/>
    <w:rsid w:val="00380FE5"/>
    <w:rsid w:val="003924DD"/>
    <w:rsid w:val="00394FCB"/>
    <w:rsid w:val="003963F4"/>
    <w:rsid w:val="003B5254"/>
    <w:rsid w:val="003B75A6"/>
    <w:rsid w:val="003C4FCD"/>
    <w:rsid w:val="004061CA"/>
    <w:rsid w:val="00415689"/>
    <w:rsid w:val="004440CB"/>
    <w:rsid w:val="004713D2"/>
    <w:rsid w:val="004B2C70"/>
    <w:rsid w:val="00521639"/>
    <w:rsid w:val="00532BB7"/>
    <w:rsid w:val="005332E4"/>
    <w:rsid w:val="0053550C"/>
    <w:rsid w:val="00555018"/>
    <w:rsid w:val="00556389"/>
    <w:rsid w:val="00562CE5"/>
    <w:rsid w:val="005723DC"/>
    <w:rsid w:val="00575E68"/>
    <w:rsid w:val="005B1B7C"/>
    <w:rsid w:val="006210DC"/>
    <w:rsid w:val="0064349D"/>
    <w:rsid w:val="006664E5"/>
    <w:rsid w:val="006841A0"/>
    <w:rsid w:val="00685549"/>
    <w:rsid w:val="006B3825"/>
    <w:rsid w:val="006B7365"/>
    <w:rsid w:val="006C2D81"/>
    <w:rsid w:val="006C7DF8"/>
    <w:rsid w:val="00750FC8"/>
    <w:rsid w:val="007533D0"/>
    <w:rsid w:val="00755069"/>
    <w:rsid w:val="007727CE"/>
    <w:rsid w:val="007B0660"/>
    <w:rsid w:val="007E3868"/>
    <w:rsid w:val="008022C8"/>
    <w:rsid w:val="00820C41"/>
    <w:rsid w:val="00850256"/>
    <w:rsid w:val="0085596A"/>
    <w:rsid w:val="008A531C"/>
    <w:rsid w:val="00914D04"/>
    <w:rsid w:val="0093686F"/>
    <w:rsid w:val="00942FD4"/>
    <w:rsid w:val="00951997"/>
    <w:rsid w:val="00951F27"/>
    <w:rsid w:val="00990352"/>
    <w:rsid w:val="00A03405"/>
    <w:rsid w:val="00A1528A"/>
    <w:rsid w:val="00A32227"/>
    <w:rsid w:val="00A33918"/>
    <w:rsid w:val="00A7629F"/>
    <w:rsid w:val="00AF0CEE"/>
    <w:rsid w:val="00B65B2E"/>
    <w:rsid w:val="00B667AD"/>
    <w:rsid w:val="00B84C38"/>
    <w:rsid w:val="00B86C00"/>
    <w:rsid w:val="00B947F6"/>
    <w:rsid w:val="00BC6300"/>
    <w:rsid w:val="00BD5C0E"/>
    <w:rsid w:val="00BF16AA"/>
    <w:rsid w:val="00C354B8"/>
    <w:rsid w:val="00C52517"/>
    <w:rsid w:val="00C60921"/>
    <w:rsid w:val="00C62936"/>
    <w:rsid w:val="00C653F2"/>
    <w:rsid w:val="00C679E6"/>
    <w:rsid w:val="00C908F9"/>
    <w:rsid w:val="00CA0917"/>
    <w:rsid w:val="00CA1099"/>
    <w:rsid w:val="00CC5978"/>
    <w:rsid w:val="00CF3C02"/>
    <w:rsid w:val="00D417C2"/>
    <w:rsid w:val="00D60936"/>
    <w:rsid w:val="00D709EB"/>
    <w:rsid w:val="00D74714"/>
    <w:rsid w:val="00D82F3F"/>
    <w:rsid w:val="00D921C6"/>
    <w:rsid w:val="00D958C2"/>
    <w:rsid w:val="00E04AB5"/>
    <w:rsid w:val="00E440BE"/>
    <w:rsid w:val="00E50EEA"/>
    <w:rsid w:val="00E52F58"/>
    <w:rsid w:val="00EC26AA"/>
    <w:rsid w:val="00EC5D3B"/>
    <w:rsid w:val="00ED7A53"/>
    <w:rsid w:val="00EE4273"/>
    <w:rsid w:val="00F02004"/>
    <w:rsid w:val="00F042CB"/>
    <w:rsid w:val="00F60A20"/>
    <w:rsid w:val="00FA006A"/>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C0A419"/>
  <w15:chartTrackingRefBased/>
  <w15:docId w15:val="{EE1DED59-798F-4874-9EAA-884F172C0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customStyle="1" w:styleId="Firmas">
    <w:name w:val="Firmas"/>
    <w:basedOn w:val="Normal"/>
    <w:pPr>
      <w:tabs>
        <w:tab w:val="center" w:pos="1440"/>
        <w:tab w:val="center" w:pos="7200"/>
      </w:tabs>
    </w:pPr>
    <w:rPr>
      <w:lang w:val="es-ES_tradnl"/>
    </w:rPr>
  </w:style>
  <w:style w:type="paragraph" w:styleId="Prrafodelista">
    <w:name w:val="List Paragraph"/>
    <w:basedOn w:val="Normal"/>
    <w:uiPriority w:val="34"/>
    <w:qFormat/>
    <w:rsid w:val="00FA006A"/>
    <w:pPr>
      <w:ind w:left="720"/>
      <w:contextualSpacing/>
    </w:pPr>
  </w:style>
  <w:style w:type="paragraph" w:customStyle="1" w:styleId="sectext">
    <w:name w:val="sectext"/>
    <w:rsid w:val="00FA006A"/>
    <w:pPr>
      <w:widowControl w:val="0"/>
      <w:autoSpaceDE w:val="0"/>
      <w:autoSpaceDN w:val="0"/>
      <w:adjustRightInd w:val="0"/>
    </w:pPr>
    <w:rPr>
      <w:sz w:val="24"/>
      <w:szCs w:val="24"/>
      <w:lang w:val="en-US" w:eastAsia="en-US"/>
    </w:rPr>
  </w:style>
  <w:style w:type="paragraph" w:styleId="Textonotapie">
    <w:name w:val="footnote text"/>
    <w:basedOn w:val="Normal"/>
    <w:link w:val="TextonotapieCar"/>
    <w:uiPriority w:val="99"/>
    <w:semiHidden/>
    <w:unhideWhenUsed/>
    <w:rsid w:val="00BD5C0E"/>
    <w:rPr>
      <w:sz w:val="20"/>
    </w:rPr>
  </w:style>
  <w:style w:type="character" w:customStyle="1" w:styleId="TextonotapieCar">
    <w:name w:val="Texto nota pie Car"/>
    <w:basedOn w:val="Fuentedeprrafopredeter"/>
    <w:link w:val="Textonotapie"/>
    <w:uiPriority w:val="99"/>
    <w:semiHidden/>
    <w:rsid w:val="00BD5C0E"/>
    <w:rPr>
      <w:lang w:val="en-US" w:eastAsia="en-US"/>
    </w:rPr>
  </w:style>
  <w:style w:type="character" w:styleId="Refdenotaalpie">
    <w:name w:val="footnote reference"/>
    <w:uiPriority w:val="99"/>
    <w:semiHidden/>
    <w:unhideWhenUsed/>
    <w:rsid w:val="00BD5C0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1182</Words>
  <Characters>6232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7400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cp:lastModifiedBy>Rocío Alayón Morell</cp:lastModifiedBy>
  <cp:revision>4</cp:revision>
  <cp:lastPrinted>2025-03-05T13:12:00Z</cp:lastPrinted>
  <dcterms:created xsi:type="dcterms:W3CDTF">2025-03-04T19:47:00Z</dcterms:created>
  <dcterms:modified xsi:type="dcterms:W3CDTF">2025-03-06T13:54:00Z</dcterms:modified>
</cp:coreProperties>
</file>