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EA11F6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6B26C2">
        <w:rPr>
          <w:rFonts w:ascii="Book Antiqua" w:hAnsi="Book Antiqua"/>
          <w:b/>
          <w:sz w:val="52"/>
          <w:lang w:val="es-ES_tradnl"/>
        </w:rPr>
        <w:t>184</w:t>
      </w:r>
    </w:p>
    <w:p w14:paraId="4FB5DD3D" w14:textId="77777777" w:rsidR="001E0D88" w:rsidRPr="001E0D88" w:rsidRDefault="001E0D88" w:rsidP="001E0D88">
      <w:pPr>
        <w:jc w:val="center"/>
        <w:rPr>
          <w:rFonts w:ascii="Book Antiqua" w:hAnsi="Book Antiqua"/>
          <w:b/>
          <w:szCs w:val="24"/>
          <w:lang w:val="es-ES_tradnl"/>
        </w:rPr>
      </w:pPr>
    </w:p>
    <w:p w14:paraId="12915E35" w14:textId="181A6CB5" w:rsidR="007223FC" w:rsidRDefault="00645B2E" w:rsidP="001E0D88">
      <w:pPr>
        <w:jc w:val="center"/>
        <w:rPr>
          <w:rFonts w:ascii="Book Antiqua" w:hAnsi="Book Antiqua"/>
          <w:lang w:val="es-ES_tradnl"/>
        </w:rPr>
      </w:pPr>
      <w:r>
        <w:rPr>
          <w:rFonts w:ascii="Book Antiqua" w:hAnsi="Book Antiqua"/>
          <w:lang w:val="es-ES_tradnl"/>
        </w:rPr>
        <w:t>5</w:t>
      </w:r>
      <w:r w:rsidR="002B7EDC">
        <w:rPr>
          <w:rFonts w:ascii="Book Antiqua" w:hAnsi="Book Antiqua"/>
          <w:lang w:val="es-ES_tradnl"/>
        </w:rPr>
        <w:t xml:space="preserve"> </w:t>
      </w:r>
      <w:r w:rsidR="00E03207">
        <w:rPr>
          <w:rFonts w:ascii="Book Antiqua" w:hAnsi="Book Antiqua"/>
          <w:lang w:val="es-ES_tradnl"/>
        </w:rPr>
        <w:t xml:space="preserve">DE </w:t>
      </w:r>
      <w:r w:rsidR="008F0224">
        <w:rPr>
          <w:rFonts w:ascii="Book Antiqua" w:hAnsi="Book Antiqua"/>
          <w:lang w:val="es-ES_tradnl"/>
        </w:rPr>
        <w:t>MARZ</w:t>
      </w:r>
      <w:r w:rsidR="008629FB">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285B086A" w14:textId="77777777" w:rsidR="00144563" w:rsidRDefault="007223FC" w:rsidP="001E0D88">
      <w:pPr>
        <w:jc w:val="center"/>
        <w:rPr>
          <w:rFonts w:ascii="Book Antiqua" w:hAnsi="Book Antiqua"/>
          <w:i/>
          <w:iCs/>
          <w:lang w:val="es-ES_tradnl"/>
        </w:rPr>
      </w:pPr>
      <w:r>
        <w:rPr>
          <w:rFonts w:ascii="Book Antiqua" w:hAnsi="Book Antiqua"/>
          <w:lang w:val="es-ES_tradnl"/>
        </w:rPr>
        <w:t xml:space="preserve">Presentada por </w:t>
      </w:r>
      <w:r w:rsidR="00144563">
        <w:rPr>
          <w:rFonts w:ascii="Book Antiqua" w:hAnsi="Book Antiqua"/>
          <w:lang w:val="es-ES_tradnl"/>
        </w:rPr>
        <w:t>e</w:t>
      </w:r>
      <w:r w:rsidR="008629FB">
        <w:rPr>
          <w:rFonts w:ascii="Book Antiqua" w:hAnsi="Book Antiqua"/>
          <w:lang w:val="es-ES_tradnl"/>
        </w:rPr>
        <w:t>l</w:t>
      </w:r>
      <w:r>
        <w:rPr>
          <w:rFonts w:ascii="Book Antiqua" w:hAnsi="Book Antiqua"/>
          <w:lang w:val="es-ES_tradnl"/>
        </w:rPr>
        <w:t xml:space="preserve"> representante </w:t>
      </w:r>
      <w:r w:rsidR="00144563" w:rsidRPr="0044682A">
        <w:rPr>
          <w:rFonts w:ascii="Book Antiqua" w:hAnsi="Book Antiqua"/>
          <w:i/>
          <w:iCs/>
          <w:lang w:val="es-ES_tradnl"/>
        </w:rPr>
        <w:t>Márquez</w:t>
      </w:r>
      <w:r w:rsidR="0044682A" w:rsidRPr="0044682A">
        <w:rPr>
          <w:rFonts w:ascii="Book Antiqua" w:hAnsi="Book Antiqua"/>
          <w:i/>
          <w:iCs/>
          <w:lang w:val="es-ES_tradnl"/>
        </w:rPr>
        <w:t xml:space="preserve"> Lebrón</w:t>
      </w:r>
      <w:r w:rsidR="00144563">
        <w:rPr>
          <w:rFonts w:ascii="Book Antiqua" w:hAnsi="Book Antiqua"/>
          <w:i/>
          <w:iCs/>
          <w:lang w:val="es-ES_tradnl"/>
        </w:rPr>
        <w:t xml:space="preserve"> </w:t>
      </w:r>
    </w:p>
    <w:p w14:paraId="6DD7E46D" w14:textId="1A2F6C50" w:rsidR="007223FC" w:rsidRDefault="00144563" w:rsidP="001E0D88">
      <w:pPr>
        <w:jc w:val="center"/>
        <w:rPr>
          <w:rFonts w:ascii="Book Antiqua" w:hAnsi="Book Antiqua"/>
          <w:i/>
          <w:lang w:val="es-ES_tradnl"/>
        </w:rPr>
      </w:pPr>
      <w:r>
        <w:rPr>
          <w:rFonts w:ascii="Book Antiqua" w:hAnsi="Book Antiqua"/>
          <w:lang w:val="es-ES_tradnl"/>
        </w:rPr>
        <w:t>y las representantes</w:t>
      </w:r>
      <w:r w:rsidR="0044682A" w:rsidRPr="0044682A">
        <w:rPr>
          <w:rFonts w:ascii="Book Antiqua" w:hAnsi="Book Antiqua"/>
          <w:i/>
          <w:iCs/>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y Lebrón Robles</w:t>
      </w:r>
    </w:p>
    <w:p w14:paraId="6B41298E" w14:textId="77777777" w:rsidR="001E0D88" w:rsidRDefault="001E0D88" w:rsidP="001E0D88">
      <w:pPr>
        <w:jc w:val="center"/>
        <w:rPr>
          <w:rFonts w:ascii="Book Antiqua" w:hAnsi="Book Antiqua"/>
          <w:lang w:val="es-ES_tradnl"/>
        </w:rPr>
      </w:pPr>
    </w:p>
    <w:p w14:paraId="0E632D40" w14:textId="653FBA6C" w:rsidR="007223FC" w:rsidRPr="00144563" w:rsidRDefault="007223FC" w:rsidP="001E0D88">
      <w:pPr>
        <w:jc w:val="center"/>
        <w:rPr>
          <w:rFonts w:ascii="Book Antiqua" w:hAnsi="Book Antiqua"/>
          <w:i/>
          <w:iCs/>
          <w:lang w:val="es-ES"/>
        </w:rPr>
      </w:pPr>
      <w:r>
        <w:rPr>
          <w:rFonts w:ascii="Book Antiqua" w:hAnsi="Book Antiqua"/>
          <w:lang w:val="es-ES_tradnl"/>
        </w:rPr>
        <w:t xml:space="preserve">Referida a </w:t>
      </w:r>
      <w:r w:rsidR="00144563">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FD1769D"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463089" w:rsidRPr="00896890">
        <w:rPr>
          <w:rFonts w:ascii="Book Antiqua" w:hAnsi="Book Antiqua"/>
          <w:lang w:val="es-PR"/>
        </w:rPr>
        <w:t>crear la Comisión Especial par</w:t>
      </w:r>
      <w:r w:rsidR="00463089">
        <w:rPr>
          <w:rFonts w:ascii="Book Antiqua" w:hAnsi="Book Antiqua"/>
          <w:lang w:val="es-PR"/>
        </w:rPr>
        <w:t xml:space="preserve">a la Revisión de Nuestro Ordenamiento </w:t>
      </w:r>
      <w:r w:rsidR="00463089" w:rsidRPr="00896890">
        <w:rPr>
          <w:rFonts w:ascii="Book Antiqua" w:hAnsi="Book Antiqua"/>
          <w:lang w:val="es-PR"/>
        </w:rPr>
        <w:t>Electoral; disponer su composición, funciones y poderes; establecer su vigencia; y para otros fines.</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44563">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4D020EF0" w14:textId="77777777" w:rsidR="00B06287" w:rsidRDefault="00B06287" w:rsidP="00B06287">
      <w:pPr>
        <w:ind w:firstLine="360"/>
        <w:jc w:val="both"/>
        <w:rPr>
          <w:rFonts w:ascii="Book Antiqua" w:hAnsi="Book Antiqua"/>
          <w:lang w:val="es-PR"/>
        </w:rPr>
      </w:pPr>
      <w:r w:rsidRPr="00B06287">
        <w:rPr>
          <w:rFonts w:ascii="Book Antiqua" w:hAnsi="Book Antiqua"/>
          <w:lang w:val="es-PR"/>
        </w:rPr>
        <w:t>El ordenamiento electoral puertorriqueño se destacó por casi cuatro décadas por ser uno de avanzada y abarcador. Las ligeras transformaciones que sufría a través del tiempo, logrados gracias a los amplios consensos políticos, le permitía al electorado participar en el proceso electoral con cada vez más facilidad. Esto llevó a la Comisión Estatal de Elecciones a contar con la confianza de amplios sectores. Desde su creación en 1983 fue emulada en distintas jurisdicciones por su funcionamiento y garantías de participación y respeto al universal derecho al sufragio.</w:t>
      </w:r>
    </w:p>
    <w:p w14:paraId="2097B915" w14:textId="77777777" w:rsidR="00B06287" w:rsidRPr="00B06287" w:rsidRDefault="00B06287" w:rsidP="00B06287">
      <w:pPr>
        <w:ind w:firstLine="360"/>
        <w:jc w:val="both"/>
        <w:rPr>
          <w:rFonts w:ascii="Book Antiqua" w:hAnsi="Book Antiqua"/>
          <w:lang w:val="es-PR"/>
        </w:rPr>
      </w:pPr>
    </w:p>
    <w:p w14:paraId="6303F064" w14:textId="77777777" w:rsidR="00B06287" w:rsidRPr="00B06287" w:rsidRDefault="00B06287" w:rsidP="00B06287">
      <w:pPr>
        <w:ind w:firstLine="360"/>
        <w:jc w:val="both"/>
        <w:rPr>
          <w:rFonts w:ascii="Book Antiqua" w:hAnsi="Book Antiqua"/>
          <w:lang w:val="es-PR"/>
        </w:rPr>
      </w:pPr>
      <w:r w:rsidRPr="00B06287">
        <w:rPr>
          <w:rFonts w:ascii="Book Antiqua" w:hAnsi="Book Antiqua"/>
          <w:lang w:val="es-PR"/>
        </w:rPr>
        <w:t xml:space="preserve">En 2020, luego de una tradición política de representatividad y búsqueda de consensos en temas electorales, el ordenamiento electoral sufrió un giro drástico que afectó desde el propio funcionamiento de la Comisión Estatal de Elecciones como ente administrativo hasta el acceso del electorado a obtener servicios de dicha agencia. El Código Electoral de Puerto Rico de 2020 buscaba de forma general: modernizar los procesos, reducir los costos de operación y ampliar las categorías del electorado con derecho a votar adelantado y ausente, entre otros. Durante su ejecución para los comicios del 2020 hubo una serie de señalamientos sobre los procesos que comenzaron, por primera vez en cuatro décadas, a lacerar la confianza del electorado en su organismo </w:t>
      </w:r>
      <w:r w:rsidRPr="00B06287">
        <w:rPr>
          <w:rFonts w:ascii="Book Antiqua" w:hAnsi="Book Antiqua"/>
          <w:lang w:val="es-PR"/>
        </w:rPr>
        <w:lastRenderedPageBreak/>
        <w:t xml:space="preserve">electoral. A modo de ejemplo, por primera vez se tuvo que suspender una elección primaria y el escrutinio general duró más tiempo que lo acostumbrado, extendiéndose hasta el último día del año, generando incertidumbre sobre los resultados finales y abonando a la ya lacerada confianza del país en los procesos. </w:t>
      </w:r>
    </w:p>
    <w:p w14:paraId="7080BCA5" w14:textId="77777777" w:rsidR="00B06287" w:rsidRDefault="00B06287" w:rsidP="00B06287">
      <w:pPr>
        <w:ind w:firstLine="360"/>
        <w:jc w:val="both"/>
        <w:rPr>
          <w:rFonts w:ascii="Book Antiqua" w:hAnsi="Book Antiqua"/>
          <w:lang w:val="es-PR"/>
        </w:rPr>
      </w:pPr>
    </w:p>
    <w:p w14:paraId="292A190D" w14:textId="77A42DDF" w:rsidR="00B06287" w:rsidRPr="00B06287" w:rsidRDefault="00B06287" w:rsidP="00B06287">
      <w:pPr>
        <w:ind w:firstLine="360"/>
        <w:jc w:val="both"/>
        <w:rPr>
          <w:rFonts w:ascii="Book Antiqua" w:hAnsi="Book Antiqua"/>
          <w:lang w:val="es-PR"/>
        </w:rPr>
      </w:pPr>
      <w:r w:rsidRPr="00B06287">
        <w:rPr>
          <w:rFonts w:ascii="Book Antiqua" w:hAnsi="Book Antiqua"/>
          <w:lang w:val="es-PR"/>
        </w:rPr>
        <w:t xml:space="preserve">Finalizado el ciclo electoral que se rigió por la aplicación de dos leyes diferentes, puesto que el Código Electoral de 2020 se aprobó a pocos meses de las elecciones de dicho año, comienza el período no electoral. A partir de 2021, es cuando realmente se ejecuta plenamente la letra de la nueva ley. Las Juntas de Inscripción Permanente se redujeron a doce por mandato de ley; las áreas administrativas sufrieron una dramática reducción de personal; surge una vacante en la silla de la presidencia y el Tribunal Supremo tuvo que intervenir declarando inconstitucional una disposición de la ley que ordenaba al máximo foro judicial realizar nombramientos a la rama ejecutiva. </w:t>
      </w:r>
      <w:r w:rsidRPr="00B06287">
        <w:rPr>
          <w:rFonts w:ascii="Book Antiqua" w:hAnsi="Book Antiqua"/>
          <w:i/>
          <w:iCs/>
          <w:lang w:val="es-PR"/>
        </w:rPr>
        <w:t>Véase</w:t>
      </w:r>
      <w:r w:rsidRPr="00B06287">
        <w:rPr>
          <w:rFonts w:ascii="Book Antiqua" w:hAnsi="Book Antiqua"/>
          <w:lang w:val="es-PR"/>
        </w:rPr>
        <w:t xml:space="preserve"> 208 DPR 727 (2021). Finalmente llegado el 2024, el calendario electoral no pudo cumplirse debido a diferentes fallas en el proceso y según los representantes de todos los partidos en la Comisión Estatal de Elecciones, adjudicables a insuficiencia de personal. Estos atrasos consistieron en dilaciones inesperadas en cuanto a la impresión de las papeletas; dificultad con el acceso del electorado para realizar nuevas inscripciones, cambios de dirección en el asiento electoral, y tramitar las propias solicitudes de voto adelantado; la programación y calibración de las máquinas de escrutinio; el envío de los sobres con papeletas a quienes solicitaron votar de forma adelantada a través del servicio de correo; entre muchos otros ejemplos. Es forzoso mencionar que, culminado el proceso previo al evento electoral, fue inmanejable para la Comisión Estatal de Elecciones contabilizar de forma clara el recibo del voto adelantado y se incumplió con su escrutinio y adjudicación, puesto que debió culminar antes de la hora del cierre de los colegios y no fue hasta muy avanzado el escrutinio general que se finalizó el conteo y adjudicación de estos votos.</w:t>
      </w:r>
    </w:p>
    <w:p w14:paraId="1BFED449" w14:textId="77777777" w:rsidR="00B06287" w:rsidRDefault="00B06287" w:rsidP="00B06287">
      <w:pPr>
        <w:ind w:firstLine="360"/>
        <w:jc w:val="both"/>
        <w:rPr>
          <w:rFonts w:ascii="Book Antiqua" w:hAnsi="Book Antiqua"/>
          <w:lang w:val="es-PR"/>
        </w:rPr>
      </w:pPr>
    </w:p>
    <w:p w14:paraId="4F0FD0B4" w14:textId="6B32EEC4" w:rsidR="00B06287" w:rsidRPr="00B06287" w:rsidRDefault="00B06287" w:rsidP="00B06287">
      <w:pPr>
        <w:ind w:firstLine="360"/>
        <w:jc w:val="both"/>
        <w:rPr>
          <w:rFonts w:ascii="Book Antiqua" w:hAnsi="Book Antiqua"/>
          <w:lang w:val="es-PR"/>
        </w:rPr>
      </w:pPr>
      <w:r w:rsidRPr="00B06287">
        <w:rPr>
          <w:rFonts w:ascii="Book Antiqua" w:hAnsi="Book Antiqua"/>
          <w:lang w:val="es-PR"/>
        </w:rPr>
        <w:t>Celebrada la elección, se repitió un escrutinio general extenso que tuvo su final el último día del año entrada la noche con la publicación de las últimas resoluciones que dilucidaron contiendas y la elección de varios escaños legislativos.</w:t>
      </w:r>
    </w:p>
    <w:p w14:paraId="3EEFAF2C" w14:textId="77777777" w:rsidR="00B06287" w:rsidRDefault="00B06287" w:rsidP="00B06287">
      <w:pPr>
        <w:ind w:firstLine="360"/>
        <w:jc w:val="both"/>
        <w:rPr>
          <w:rFonts w:ascii="Book Antiqua" w:hAnsi="Book Antiqua"/>
          <w:lang w:val="es-PR"/>
        </w:rPr>
      </w:pPr>
    </w:p>
    <w:p w14:paraId="2CC66016" w14:textId="1A22AA65" w:rsidR="00B06287" w:rsidRPr="00B06287" w:rsidRDefault="00B06287" w:rsidP="00B06287">
      <w:pPr>
        <w:ind w:firstLine="360"/>
        <w:jc w:val="both"/>
        <w:rPr>
          <w:rFonts w:ascii="Book Antiqua" w:hAnsi="Book Antiqua"/>
          <w:lang w:val="es-PR"/>
        </w:rPr>
      </w:pPr>
      <w:r w:rsidRPr="00B06287">
        <w:rPr>
          <w:rFonts w:ascii="Book Antiqua" w:hAnsi="Book Antiqua"/>
          <w:lang w:val="es-PR"/>
        </w:rPr>
        <w:t>Es una preocupación general el futuro de la Comisión Estatal de Elecciones y la forma en la que realiza sus trabajos. Ha sido la propia gobernadora, al poco tiempo de resultar electa quien anunció su compromiso de hacer una evaluación completa del ciclo electoral para luego encaminar una revisión del Código Electoral con especial énfasis en las modalidades de voto adelantado y el escrutinio electrónico.</w:t>
      </w:r>
    </w:p>
    <w:p w14:paraId="6B2F23B5" w14:textId="77777777" w:rsidR="00B06287" w:rsidRDefault="00B06287" w:rsidP="00B06287">
      <w:pPr>
        <w:ind w:firstLine="360"/>
        <w:jc w:val="both"/>
        <w:rPr>
          <w:rFonts w:ascii="Book Antiqua" w:hAnsi="Book Antiqua"/>
          <w:lang w:val="es-PR"/>
        </w:rPr>
      </w:pPr>
    </w:p>
    <w:p w14:paraId="5160E589" w14:textId="3A18F9AD" w:rsidR="00B06287" w:rsidRPr="00B06287" w:rsidRDefault="00B06287" w:rsidP="00B06287">
      <w:pPr>
        <w:ind w:firstLine="360"/>
        <w:jc w:val="both"/>
        <w:rPr>
          <w:rFonts w:ascii="Book Antiqua" w:hAnsi="Book Antiqua"/>
          <w:lang w:val="es-PR"/>
        </w:rPr>
      </w:pPr>
      <w:r w:rsidRPr="00B06287">
        <w:rPr>
          <w:rFonts w:ascii="Book Antiqua" w:hAnsi="Book Antiqua"/>
          <w:lang w:val="es-PR"/>
        </w:rPr>
        <w:t xml:space="preserve">Es meritorio hacer una evaluación completa del ciclo electoral y poder identificar aquellas áreas de la ley que le sirvieron al proceso, así como aquellas que necesitan mejorar. Le corresponde a la Asamblea Legislativa realizar esa evaluación e identificar aquellos aspectos que requieran intervención legislativa para optimizar las áreas de la ley que tienen el potencial de mejorar el sistema electoral, como aquellas encaminadas a la modernización de los procesos. Por otra parte, luego de un análisis sosegado poder </w:t>
      </w:r>
      <w:r w:rsidRPr="00B06287">
        <w:rPr>
          <w:rFonts w:ascii="Book Antiqua" w:hAnsi="Book Antiqua"/>
          <w:lang w:val="es-PR"/>
        </w:rPr>
        <w:lastRenderedPageBreak/>
        <w:t xml:space="preserve">identificar fallas o aspectos de la ley vigente que de alguna forma u otra pudieran ser enmendados a los efectos de brindarle las herramientas a quienes dirigen los procesos administrativos y electorales en el ente electoral para garantizarle al país un proceso transparente, oportuno y más confiable.          </w:t>
      </w:r>
    </w:p>
    <w:p w14:paraId="1FBB4A1E" w14:textId="77777777" w:rsidR="00B06287" w:rsidRDefault="00B06287" w:rsidP="00B06287">
      <w:pPr>
        <w:ind w:firstLine="360"/>
        <w:jc w:val="both"/>
        <w:rPr>
          <w:rFonts w:ascii="Book Antiqua" w:hAnsi="Book Antiqua"/>
          <w:lang w:val="es-PR"/>
        </w:rPr>
      </w:pPr>
    </w:p>
    <w:p w14:paraId="0D6C7C2D" w14:textId="6E391A85" w:rsidR="007F03E4" w:rsidRPr="008629FB" w:rsidRDefault="00B06287" w:rsidP="00B06287">
      <w:pPr>
        <w:ind w:firstLine="360"/>
        <w:jc w:val="both"/>
        <w:rPr>
          <w:rFonts w:ascii="Book Antiqua" w:hAnsi="Book Antiqua"/>
          <w:lang w:val="es-PR"/>
        </w:rPr>
      </w:pPr>
      <w:r w:rsidRPr="00B06287">
        <w:rPr>
          <w:rFonts w:ascii="Book Antiqua" w:hAnsi="Book Antiqua"/>
          <w:lang w:val="es-PR"/>
        </w:rPr>
        <w:t>En aras de abrir paso a esa evaluación y la posibilidad de lograr una concertación de voluntades hacia el mejoramiento, modernización y promoción de la accesibilidad de los electores a los servicios electorales proponemos una Comisión Especial, cuyo estudio, investigación y deliberaciones constituyan el fundamento para una ampliación de la ley vigente que rija los procesos electorales y las funciones del organismo que las administra.</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294284AB" w14:textId="0C36AC98" w:rsidR="00B06287" w:rsidRPr="00896890" w:rsidRDefault="00B06287" w:rsidP="00B06287">
      <w:pPr>
        <w:spacing w:line="480" w:lineRule="auto"/>
        <w:jc w:val="both"/>
        <w:rPr>
          <w:rFonts w:ascii="Book Antiqua" w:hAnsi="Book Antiqua"/>
          <w:lang w:val="es-PR"/>
        </w:rPr>
      </w:pPr>
      <w:r w:rsidRPr="00896890">
        <w:rPr>
          <w:rFonts w:ascii="Book Antiqua" w:hAnsi="Book Antiqua"/>
          <w:lang w:val="es-PR"/>
        </w:rPr>
        <w:t>Sección 1.</w:t>
      </w:r>
      <w:r>
        <w:rPr>
          <w:rFonts w:ascii="Book Antiqua" w:hAnsi="Book Antiqua"/>
          <w:lang w:val="es-PR"/>
        </w:rPr>
        <w:t xml:space="preserve"> </w:t>
      </w:r>
      <w:r w:rsidRPr="00896890">
        <w:rPr>
          <w:rFonts w:ascii="Book Antiqua" w:hAnsi="Book Antiqua"/>
          <w:lang w:val="es-PR"/>
        </w:rPr>
        <w:t>- Creación</w:t>
      </w:r>
    </w:p>
    <w:p w14:paraId="77E86112" w14:textId="77777777"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 crea la Comisión Especial para</w:t>
      </w:r>
      <w:r>
        <w:rPr>
          <w:rFonts w:ascii="Book Antiqua" w:hAnsi="Book Antiqua"/>
          <w:lang w:val="es-PR"/>
        </w:rPr>
        <w:t xml:space="preserve"> la Revisión de Nuestro Ordenamiento</w:t>
      </w:r>
      <w:r w:rsidRPr="00896890">
        <w:rPr>
          <w:rFonts w:ascii="Book Antiqua" w:hAnsi="Book Antiqua"/>
          <w:lang w:val="es-PR"/>
        </w:rPr>
        <w:t xml:space="preserve"> Electoral, en lo sucesivo “la Comisión Especial”.</w:t>
      </w:r>
    </w:p>
    <w:p w14:paraId="28E0DE49" w14:textId="09023451"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Sección 2.</w:t>
      </w:r>
      <w:r>
        <w:rPr>
          <w:rFonts w:ascii="Book Antiqua" w:hAnsi="Book Antiqua"/>
          <w:lang w:val="es-PR"/>
        </w:rPr>
        <w:t xml:space="preserve"> </w:t>
      </w:r>
      <w:r w:rsidRPr="00896890">
        <w:rPr>
          <w:rFonts w:ascii="Book Antiqua" w:hAnsi="Book Antiqua"/>
          <w:lang w:val="es-PR"/>
        </w:rPr>
        <w:t>- Composición</w:t>
      </w:r>
    </w:p>
    <w:p w14:paraId="55BC5BFA" w14:textId="736D4F20" w:rsidR="00B06287" w:rsidRPr="00896890" w:rsidRDefault="00B06287" w:rsidP="00B06287">
      <w:pPr>
        <w:spacing w:line="480" w:lineRule="auto"/>
        <w:ind w:firstLine="360"/>
        <w:jc w:val="both"/>
        <w:rPr>
          <w:rFonts w:ascii="Book Antiqua" w:hAnsi="Book Antiqua"/>
          <w:szCs w:val="24"/>
          <w:lang w:val="es-ES_tradnl"/>
        </w:rPr>
      </w:pPr>
      <w:r w:rsidRPr="00896890">
        <w:rPr>
          <w:rFonts w:ascii="Book Antiqua" w:hAnsi="Book Antiqua"/>
          <w:szCs w:val="24"/>
          <w:lang w:val="es-ES_tradnl"/>
        </w:rPr>
        <w:t xml:space="preserve">La </w:t>
      </w:r>
      <w:r w:rsidRPr="00896890">
        <w:rPr>
          <w:rFonts w:ascii="Book Antiqua" w:hAnsi="Book Antiqua"/>
          <w:lang w:val="es-PR"/>
        </w:rPr>
        <w:t xml:space="preserve">Comisión Especial </w:t>
      </w:r>
      <w:r>
        <w:rPr>
          <w:rFonts w:ascii="Book Antiqua" w:hAnsi="Book Antiqua"/>
          <w:lang w:val="es-PR"/>
        </w:rPr>
        <w:t>contará con cinco</w:t>
      </w:r>
      <w:r w:rsidRPr="00896890">
        <w:rPr>
          <w:rFonts w:ascii="Book Antiqua" w:hAnsi="Book Antiqua"/>
          <w:lang w:val="es-PR"/>
        </w:rPr>
        <w:t xml:space="preserve"> (</w:t>
      </w:r>
      <w:r>
        <w:rPr>
          <w:rFonts w:ascii="Book Antiqua" w:hAnsi="Book Antiqua"/>
          <w:lang w:val="es-PR"/>
        </w:rPr>
        <w:t>5</w:t>
      </w:r>
      <w:r w:rsidRPr="00896890">
        <w:rPr>
          <w:rFonts w:ascii="Book Antiqua" w:hAnsi="Book Antiqua"/>
          <w:lang w:val="es-PR"/>
        </w:rPr>
        <w:t>)</w:t>
      </w:r>
      <w:r>
        <w:rPr>
          <w:rFonts w:ascii="Book Antiqua" w:hAnsi="Book Antiqua"/>
          <w:lang w:val="es-PR"/>
        </w:rPr>
        <w:t xml:space="preserve"> integrantes</w:t>
      </w:r>
      <w:r w:rsidRPr="00896890">
        <w:rPr>
          <w:rFonts w:ascii="Book Antiqua" w:hAnsi="Book Antiqua"/>
          <w:lang w:val="es-PR"/>
        </w:rPr>
        <w:t xml:space="preserve"> designados por el </w:t>
      </w:r>
      <w:proofErr w:type="gramStart"/>
      <w:r w:rsidRPr="00896890">
        <w:rPr>
          <w:rFonts w:ascii="Book Antiqua" w:hAnsi="Book Antiqua"/>
          <w:lang w:val="es-PR"/>
        </w:rPr>
        <w:t>Presidente</w:t>
      </w:r>
      <w:proofErr w:type="gramEnd"/>
      <w:r w:rsidRPr="00896890">
        <w:rPr>
          <w:rFonts w:ascii="Book Antiqua" w:hAnsi="Book Antiqua"/>
          <w:lang w:val="es-PR"/>
        </w:rPr>
        <w:t xml:space="preserve"> de</w:t>
      </w:r>
      <w:r>
        <w:rPr>
          <w:rFonts w:ascii="Book Antiqua" w:hAnsi="Book Antiqua"/>
          <w:lang w:val="es-PR"/>
        </w:rPr>
        <w:t xml:space="preserve"> </w:t>
      </w:r>
      <w:r w:rsidRPr="00896890">
        <w:rPr>
          <w:rFonts w:ascii="Book Antiqua" w:hAnsi="Book Antiqua"/>
          <w:lang w:val="es-PR"/>
        </w:rPr>
        <w:t>l</w:t>
      </w:r>
      <w:r>
        <w:rPr>
          <w:rFonts w:ascii="Book Antiqua" w:hAnsi="Book Antiqua"/>
          <w:lang w:val="es-PR"/>
        </w:rPr>
        <w:t>a Cámara de Representantes</w:t>
      </w:r>
      <w:r w:rsidRPr="00896890">
        <w:rPr>
          <w:rFonts w:ascii="Book Antiqua" w:hAnsi="Book Antiqua"/>
          <w:lang w:val="es-PR"/>
        </w:rPr>
        <w:t xml:space="preserve"> de Puerto Rico, entre los que deberá haber representación de todas las Delegaciones Parlamentarias.  Además, designará de entre los integrantes de la Comisión Especial al </w:t>
      </w:r>
      <w:proofErr w:type="gramStart"/>
      <w:r w:rsidRPr="00896890">
        <w:rPr>
          <w:rFonts w:ascii="Book Antiqua" w:hAnsi="Book Antiqua"/>
          <w:lang w:val="es-PR"/>
        </w:rPr>
        <w:t>Presidente</w:t>
      </w:r>
      <w:proofErr w:type="gramEnd"/>
      <w:r w:rsidRPr="00896890">
        <w:rPr>
          <w:rFonts w:ascii="Book Antiqua" w:hAnsi="Book Antiqua"/>
          <w:lang w:val="es-PR"/>
        </w:rPr>
        <w:t xml:space="preserve"> o Presidenta de ésta.  Cualquier vacante que surja será cubierta de la misma forma en que se designó al </w:t>
      </w:r>
      <w:r>
        <w:rPr>
          <w:rFonts w:ascii="Book Antiqua" w:hAnsi="Book Antiqua"/>
          <w:lang w:val="es-PR"/>
        </w:rPr>
        <w:t>representante cuyo espacio quedó</w:t>
      </w:r>
      <w:r w:rsidRPr="00896890">
        <w:rPr>
          <w:rFonts w:ascii="Book Antiqua" w:hAnsi="Book Antiqua"/>
          <w:lang w:val="es-PR"/>
        </w:rPr>
        <w:t xml:space="preserve"> vacante.  El </w:t>
      </w:r>
      <w:proofErr w:type="gramStart"/>
      <w:r w:rsidRPr="00896890">
        <w:rPr>
          <w:rFonts w:ascii="Book Antiqua" w:hAnsi="Book Antiqua"/>
          <w:lang w:val="es-PR"/>
        </w:rPr>
        <w:t>Presidente</w:t>
      </w:r>
      <w:proofErr w:type="gramEnd"/>
      <w:r w:rsidRPr="00896890">
        <w:rPr>
          <w:rFonts w:ascii="Book Antiqua" w:hAnsi="Book Antiqua"/>
          <w:lang w:val="es-PR"/>
        </w:rPr>
        <w:t xml:space="preserve"> de</w:t>
      </w:r>
      <w:r>
        <w:rPr>
          <w:rFonts w:ascii="Book Antiqua" w:hAnsi="Book Antiqua"/>
          <w:lang w:val="es-PR"/>
        </w:rPr>
        <w:t xml:space="preserve"> </w:t>
      </w:r>
      <w:r w:rsidRPr="00896890">
        <w:rPr>
          <w:rFonts w:ascii="Book Antiqua" w:hAnsi="Book Antiqua"/>
          <w:lang w:val="es-PR"/>
        </w:rPr>
        <w:t>l</w:t>
      </w:r>
      <w:r>
        <w:rPr>
          <w:rFonts w:ascii="Book Antiqua" w:hAnsi="Book Antiqua"/>
          <w:lang w:val="es-PR"/>
        </w:rPr>
        <w:t>a</w:t>
      </w:r>
      <w:r w:rsidRPr="00896890">
        <w:rPr>
          <w:rFonts w:ascii="Book Antiqua" w:hAnsi="Book Antiqua"/>
          <w:lang w:val="es-PR"/>
        </w:rPr>
        <w:t xml:space="preserve"> </w:t>
      </w:r>
      <w:r>
        <w:rPr>
          <w:rFonts w:ascii="Book Antiqua" w:hAnsi="Book Antiqua"/>
          <w:lang w:val="es-PR"/>
        </w:rPr>
        <w:t>Cámara</w:t>
      </w:r>
      <w:r w:rsidRPr="00896890">
        <w:rPr>
          <w:rFonts w:ascii="Book Antiqua" w:hAnsi="Book Antiqua"/>
          <w:lang w:val="es-PR"/>
        </w:rPr>
        <w:t xml:space="preserve"> será miembro E</w:t>
      </w:r>
      <w:r w:rsidRPr="00896890">
        <w:rPr>
          <w:rFonts w:ascii="Book Antiqua" w:hAnsi="Book Antiqua"/>
          <w:i/>
          <w:lang w:val="es-PR"/>
        </w:rPr>
        <w:t xml:space="preserve">x </w:t>
      </w:r>
      <w:proofErr w:type="spellStart"/>
      <w:r w:rsidRPr="00896890">
        <w:rPr>
          <w:rFonts w:ascii="Book Antiqua" w:hAnsi="Book Antiqua"/>
          <w:i/>
          <w:lang w:val="es-PR"/>
        </w:rPr>
        <w:t>Officio</w:t>
      </w:r>
      <w:proofErr w:type="spellEnd"/>
      <w:r w:rsidRPr="00896890">
        <w:rPr>
          <w:rFonts w:ascii="Book Antiqua" w:hAnsi="Book Antiqua"/>
          <w:i/>
          <w:lang w:val="es-PR"/>
        </w:rPr>
        <w:t xml:space="preserve"> </w:t>
      </w:r>
      <w:r w:rsidRPr="00896890">
        <w:rPr>
          <w:rFonts w:ascii="Book Antiqua" w:hAnsi="Book Antiqua"/>
          <w:lang w:val="es-PR"/>
        </w:rPr>
        <w:t xml:space="preserve">de </w:t>
      </w:r>
      <w:r>
        <w:rPr>
          <w:rFonts w:ascii="Book Antiqua" w:hAnsi="Book Antiqua"/>
          <w:lang w:val="es-PR"/>
        </w:rPr>
        <w:t>e</w:t>
      </w:r>
      <w:r w:rsidRPr="00896890">
        <w:rPr>
          <w:rFonts w:ascii="Book Antiqua" w:hAnsi="Book Antiqua"/>
          <w:lang w:val="es-PR"/>
        </w:rPr>
        <w:t>sta Comisión Especial.</w:t>
      </w:r>
    </w:p>
    <w:p w14:paraId="36216E45" w14:textId="29C972E8"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Sección 3.</w:t>
      </w:r>
      <w:r>
        <w:rPr>
          <w:rFonts w:ascii="Book Antiqua" w:hAnsi="Book Antiqua"/>
          <w:lang w:val="es-PR"/>
        </w:rPr>
        <w:t xml:space="preserve"> </w:t>
      </w:r>
      <w:r w:rsidRPr="00896890">
        <w:rPr>
          <w:rFonts w:ascii="Book Antiqua" w:hAnsi="Book Antiqua"/>
          <w:lang w:val="es-PR"/>
        </w:rPr>
        <w:t>- Funciones y Poderes</w:t>
      </w:r>
    </w:p>
    <w:p w14:paraId="3B902ED9" w14:textId="77777777"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La Comisión Especial tendrá la responsabilidad de examinar en detalle el funcionamiento de nuestro proceso electoral y la Comisión Estatal de Elecciones (CEE).  A tales fines, la Comisión Especial deberá, entre otros factores:</w:t>
      </w:r>
    </w:p>
    <w:p w14:paraId="2562163F" w14:textId="77777777" w:rsidR="00B06287" w:rsidRPr="00896890" w:rsidRDefault="00B06287" w:rsidP="00B06287">
      <w:pPr>
        <w:numPr>
          <w:ilvl w:val="0"/>
          <w:numId w:val="3"/>
        </w:numPr>
        <w:spacing w:line="480" w:lineRule="auto"/>
        <w:jc w:val="both"/>
        <w:rPr>
          <w:rFonts w:ascii="Book Antiqua" w:hAnsi="Book Antiqua"/>
          <w:lang w:val="es-PR"/>
        </w:rPr>
      </w:pPr>
      <w:r w:rsidRPr="00896890">
        <w:rPr>
          <w:rFonts w:ascii="Book Antiqua" w:hAnsi="Book Antiqua"/>
          <w:lang w:val="es-PR"/>
        </w:rPr>
        <w:lastRenderedPageBreak/>
        <w:t xml:space="preserve">evaluar la composición y funcionamiento de la CEE en todas las áreas, incluyendo, pero sin que sea una limitación: </w:t>
      </w:r>
    </w:p>
    <w:p w14:paraId="3EFC3971" w14:textId="77777777" w:rsidR="00B06287" w:rsidRPr="00896890" w:rsidRDefault="00B06287" w:rsidP="00B06287">
      <w:pPr>
        <w:numPr>
          <w:ilvl w:val="1"/>
          <w:numId w:val="3"/>
        </w:numPr>
        <w:spacing w:line="480" w:lineRule="auto"/>
        <w:jc w:val="both"/>
        <w:rPr>
          <w:rFonts w:ascii="Book Antiqua" w:hAnsi="Book Antiqua"/>
          <w:lang w:val="es-PR"/>
        </w:rPr>
      </w:pPr>
      <w:r w:rsidRPr="00896890">
        <w:rPr>
          <w:rFonts w:ascii="Book Antiqua" w:hAnsi="Book Antiqua"/>
          <w:lang w:val="es-PR"/>
        </w:rPr>
        <w:t>Administración</w:t>
      </w:r>
    </w:p>
    <w:p w14:paraId="6D34739F" w14:textId="77777777" w:rsidR="00B06287" w:rsidRPr="00896890" w:rsidRDefault="00B06287" w:rsidP="00B06287">
      <w:pPr>
        <w:numPr>
          <w:ilvl w:val="1"/>
          <w:numId w:val="3"/>
        </w:numPr>
        <w:spacing w:line="480" w:lineRule="auto"/>
        <w:jc w:val="both"/>
        <w:rPr>
          <w:rFonts w:ascii="Book Antiqua" w:hAnsi="Book Antiqua"/>
          <w:lang w:val="es-PR"/>
        </w:rPr>
      </w:pPr>
      <w:r w:rsidRPr="00896890">
        <w:rPr>
          <w:rFonts w:ascii="Book Antiqua" w:hAnsi="Book Antiqua"/>
          <w:lang w:val="es-PR"/>
        </w:rPr>
        <w:t>Planificación de eventos electorales</w:t>
      </w:r>
    </w:p>
    <w:p w14:paraId="10449739" w14:textId="77777777" w:rsidR="00B06287" w:rsidRPr="00896890" w:rsidRDefault="00B06287" w:rsidP="00B06287">
      <w:pPr>
        <w:numPr>
          <w:ilvl w:val="1"/>
          <w:numId w:val="3"/>
        </w:numPr>
        <w:spacing w:line="480" w:lineRule="auto"/>
        <w:jc w:val="both"/>
        <w:rPr>
          <w:rFonts w:ascii="Book Antiqua" w:hAnsi="Book Antiqua"/>
          <w:lang w:val="es-PR"/>
        </w:rPr>
      </w:pPr>
      <w:r>
        <w:rPr>
          <w:rFonts w:ascii="Book Antiqua" w:hAnsi="Book Antiqua"/>
          <w:lang w:val="es-PR"/>
        </w:rPr>
        <w:t>Inscripción de electoras</w:t>
      </w:r>
    </w:p>
    <w:p w14:paraId="326A0DF2" w14:textId="77777777" w:rsidR="00B06287" w:rsidRDefault="00B06287" w:rsidP="00B06287">
      <w:pPr>
        <w:numPr>
          <w:ilvl w:val="1"/>
          <w:numId w:val="3"/>
        </w:numPr>
        <w:spacing w:line="480" w:lineRule="auto"/>
        <w:jc w:val="both"/>
        <w:rPr>
          <w:rFonts w:ascii="Book Antiqua" w:hAnsi="Book Antiqua"/>
          <w:lang w:val="es-PR"/>
        </w:rPr>
      </w:pPr>
      <w:r w:rsidRPr="00896890">
        <w:rPr>
          <w:rFonts w:ascii="Book Antiqua" w:hAnsi="Book Antiqua"/>
          <w:lang w:val="es-PR"/>
        </w:rPr>
        <w:t>Participación de los partidos en los distintos procesos</w:t>
      </w:r>
    </w:p>
    <w:p w14:paraId="29A5C526" w14:textId="77777777" w:rsidR="00B06287" w:rsidRPr="00896890" w:rsidRDefault="00B06287" w:rsidP="00B06287">
      <w:pPr>
        <w:numPr>
          <w:ilvl w:val="1"/>
          <w:numId w:val="3"/>
        </w:numPr>
        <w:spacing w:line="480" w:lineRule="auto"/>
        <w:jc w:val="both"/>
        <w:rPr>
          <w:rFonts w:ascii="Book Antiqua" w:hAnsi="Book Antiqua"/>
          <w:lang w:val="es-PR"/>
        </w:rPr>
      </w:pPr>
      <w:r>
        <w:rPr>
          <w:rFonts w:ascii="Book Antiqua" w:hAnsi="Book Antiqua"/>
          <w:lang w:val="es-PR"/>
        </w:rPr>
        <w:t>Confiabilidad de los sistemas electrónicos</w:t>
      </w:r>
    </w:p>
    <w:p w14:paraId="5788FA2D" w14:textId="77777777" w:rsidR="00B06287" w:rsidRPr="00896890" w:rsidRDefault="00B06287" w:rsidP="00B06287">
      <w:pPr>
        <w:numPr>
          <w:ilvl w:val="0"/>
          <w:numId w:val="3"/>
        </w:numPr>
        <w:spacing w:line="480" w:lineRule="auto"/>
        <w:jc w:val="both"/>
        <w:rPr>
          <w:rFonts w:ascii="Book Antiqua" w:hAnsi="Book Antiqua"/>
          <w:lang w:val="es-PR"/>
        </w:rPr>
      </w:pPr>
      <w:r w:rsidRPr="00896890">
        <w:rPr>
          <w:rFonts w:ascii="Book Antiqua" w:hAnsi="Book Antiqua"/>
          <w:lang w:val="es-PR"/>
        </w:rPr>
        <w:t>estudiar formas de modernizar e integrar la tecnología al proceso de inscripción de electores garantizando la mutua fiscalización y mecanismos de transparencia confiables;</w:t>
      </w:r>
    </w:p>
    <w:p w14:paraId="3CF2731B" w14:textId="77777777" w:rsidR="00B06287" w:rsidRPr="00896890" w:rsidRDefault="00B06287" w:rsidP="00B06287">
      <w:pPr>
        <w:numPr>
          <w:ilvl w:val="0"/>
          <w:numId w:val="3"/>
        </w:numPr>
        <w:spacing w:line="480" w:lineRule="auto"/>
        <w:jc w:val="both"/>
        <w:rPr>
          <w:rFonts w:ascii="Book Antiqua" w:hAnsi="Book Antiqua"/>
          <w:lang w:val="es-PR"/>
        </w:rPr>
      </w:pPr>
      <w:r w:rsidRPr="00896890">
        <w:rPr>
          <w:rFonts w:ascii="Book Antiqua" w:hAnsi="Book Antiqua"/>
          <w:lang w:val="es-PR"/>
        </w:rPr>
        <w:t xml:space="preserve">evaluar las distintas opciones de garantizar el derecho al voto, tales como el voto adelantado y el voto ausente, así como los mecanismos para llevarlos a cabo con el fin de garantizar un proceso </w:t>
      </w:r>
      <w:r>
        <w:rPr>
          <w:rFonts w:ascii="Book Antiqua" w:hAnsi="Book Antiqua"/>
          <w:lang w:val="es-PR"/>
        </w:rPr>
        <w:t xml:space="preserve">ágil, </w:t>
      </w:r>
      <w:r w:rsidRPr="00896890">
        <w:rPr>
          <w:rFonts w:ascii="Book Antiqua" w:hAnsi="Book Antiqua"/>
          <w:lang w:val="es-PR"/>
        </w:rPr>
        <w:t>transparente y confiable;</w:t>
      </w:r>
    </w:p>
    <w:p w14:paraId="3C3695B8" w14:textId="77777777" w:rsidR="00B06287" w:rsidRPr="00896890" w:rsidRDefault="00B06287" w:rsidP="00B06287">
      <w:pPr>
        <w:numPr>
          <w:ilvl w:val="0"/>
          <w:numId w:val="3"/>
        </w:numPr>
        <w:spacing w:line="480" w:lineRule="auto"/>
        <w:jc w:val="both"/>
        <w:rPr>
          <w:rFonts w:ascii="Book Antiqua" w:hAnsi="Book Antiqua"/>
          <w:lang w:val="es-PR"/>
        </w:rPr>
      </w:pPr>
      <w:r w:rsidRPr="00896890">
        <w:rPr>
          <w:rFonts w:ascii="Book Antiqua" w:hAnsi="Book Antiqua"/>
          <w:lang w:val="es-PR"/>
        </w:rPr>
        <w:t>realizar una evaluación real del impacto en el proceso electoral (desde la inscripción de electores hasta la celebración de eventos electorales) el que no se cuente con representación de la CEE en los distintos municipios o regiones;</w:t>
      </w:r>
    </w:p>
    <w:p w14:paraId="151A958E" w14:textId="77777777" w:rsidR="00B06287" w:rsidRPr="00896890" w:rsidRDefault="00B06287" w:rsidP="00B06287">
      <w:pPr>
        <w:numPr>
          <w:ilvl w:val="0"/>
          <w:numId w:val="3"/>
        </w:numPr>
        <w:spacing w:line="480" w:lineRule="auto"/>
        <w:jc w:val="both"/>
        <w:rPr>
          <w:rFonts w:ascii="Book Antiqua" w:hAnsi="Book Antiqua"/>
          <w:lang w:val="es-PR"/>
        </w:rPr>
      </w:pPr>
      <w:r w:rsidRPr="00896890">
        <w:rPr>
          <w:rFonts w:ascii="Book Antiqua" w:hAnsi="Book Antiqua"/>
          <w:lang w:val="es-PR"/>
        </w:rPr>
        <w:t>presentar legislación conducente a mejorar el sistema electoral y devolverle al país la confia</w:t>
      </w:r>
      <w:r>
        <w:rPr>
          <w:rFonts w:ascii="Book Antiqua" w:hAnsi="Book Antiqua"/>
          <w:lang w:val="es-PR"/>
        </w:rPr>
        <w:t>nza</w:t>
      </w:r>
      <w:r w:rsidRPr="00896890">
        <w:rPr>
          <w:rFonts w:ascii="Book Antiqua" w:hAnsi="Book Antiqua"/>
          <w:lang w:val="es-PR"/>
        </w:rPr>
        <w:t xml:space="preserve"> en nuestro proceso electoral.</w:t>
      </w:r>
    </w:p>
    <w:p w14:paraId="37E816AB" w14:textId="264F21C6"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 xml:space="preserve">La Comisión Especial tendrá todos aquellos poderes dispuestos en las leyes del </w:t>
      </w:r>
      <w:r>
        <w:rPr>
          <w:rFonts w:ascii="Book Antiqua" w:hAnsi="Book Antiqua"/>
          <w:lang w:val="es-PR"/>
        </w:rPr>
        <w:t xml:space="preserve">Gobierno </w:t>
      </w:r>
      <w:r w:rsidRPr="00896890">
        <w:rPr>
          <w:rFonts w:ascii="Book Antiqua" w:hAnsi="Book Antiqua"/>
          <w:lang w:val="es-PR"/>
        </w:rPr>
        <w:t>de Puerto Rico y en la Resolución de</w:t>
      </w:r>
      <w:r>
        <w:rPr>
          <w:rFonts w:ascii="Book Antiqua" w:hAnsi="Book Antiqua"/>
          <w:lang w:val="es-PR"/>
        </w:rPr>
        <w:t xml:space="preserve"> </w:t>
      </w:r>
      <w:r w:rsidRPr="00896890">
        <w:rPr>
          <w:rFonts w:ascii="Book Antiqua" w:hAnsi="Book Antiqua"/>
          <w:lang w:val="es-PR"/>
        </w:rPr>
        <w:t>l</w:t>
      </w:r>
      <w:r>
        <w:rPr>
          <w:rFonts w:ascii="Book Antiqua" w:hAnsi="Book Antiqua"/>
          <w:lang w:val="es-PR"/>
        </w:rPr>
        <w:t>a</w:t>
      </w:r>
      <w:r w:rsidRPr="00896890">
        <w:rPr>
          <w:rFonts w:ascii="Book Antiqua" w:hAnsi="Book Antiqua"/>
          <w:lang w:val="es-PR"/>
        </w:rPr>
        <w:t xml:space="preserve"> </w:t>
      </w:r>
      <w:r>
        <w:rPr>
          <w:rFonts w:ascii="Book Antiqua" w:hAnsi="Book Antiqua"/>
          <w:lang w:val="es-PR"/>
        </w:rPr>
        <w:t>Cámara</w:t>
      </w:r>
      <w:r w:rsidRPr="00896890">
        <w:rPr>
          <w:rFonts w:ascii="Book Antiqua" w:hAnsi="Book Antiqua"/>
          <w:lang w:val="es-PR"/>
        </w:rPr>
        <w:t xml:space="preserve"> Núm. </w:t>
      </w:r>
      <w:r>
        <w:rPr>
          <w:rFonts w:ascii="Book Antiqua" w:hAnsi="Book Antiqua"/>
          <w:lang w:val="es-PR"/>
        </w:rPr>
        <w:t>1</w:t>
      </w:r>
      <w:r w:rsidRPr="00896890">
        <w:rPr>
          <w:rFonts w:ascii="Book Antiqua" w:hAnsi="Book Antiqua"/>
          <w:lang w:val="es-PR"/>
        </w:rPr>
        <w:t>, conocida como el “Reglamento de</w:t>
      </w:r>
      <w:r>
        <w:rPr>
          <w:rFonts w:ascii="Book Antiqua" w:hAnsi="Book Antiqua"/>
          <w:lang w:val="es-PR"/>
        </w:rPr>
        <w:t xml:space="preserve"> </w:t>
      </w:r>
      <w:r w:rsidRPr="00896890">
        <w:rPr>
          <w:rFonts w:ascii="Book Antiqua" w:hAnsi="Book Antiqua"/>
          <w:lang w:val="es-PR"/>
        </w:rPr>
        <w:t>l</w:t>
      </w:r>
      <w:r>
        <w:rPr>
          <w:rFonts w:ascii="Book Antiqua" w:hAnsi="Book Antiqua"/>
          <w:lang w:val="es-PR"/>
        </w:rPr>
        <w:t>a</w:t>
      </w:r>
      <w:r w:rsidRPr="00896890">
        <w:rPr>
          <w:rFonts w:ascii="Book Antiqua" w:hAnsi="Book Antiqua"/>
          <w:lang w:val="es-PR"/>
        </w:rPr>
        <w:t xml:space="preserve"> </w:t>
      </w:r>
      <w:r>
        <w:rPr>
          <w:rFonts w:ascii="Book Antiqua" w:hAnsi="Book Antiqua"/>
          <w:lang w:val="es-PR"/>
        </w:rPr>
        <w:t>Cámara de Representantes</w:t>
      </w:r>
      <w:r w:rsidRPr="00896890">
        <w:rPr>
          <w:rFonts w:ascii="Book Antiqua" w:hAnsi="Book Antiqua"/>
          <w:lang w:val="es-PR"/>
        </w:rPr>
        <w:t xml:space="preserve"> de Puerto Rico</w:t>
      </w:r>
      <w:r w:rsidR="003D7373">
        <w:rPr>
          <w:rFonts w:ascii="Book Antiqua" w:hAnsi="Book Antiqua"/>
          <w:lang w:val="es-PR"/>
        </w:rPr>
        <w:t>”</w:t>
      </w:r>
      <w:r w:rsidRPr="00896890">
        <w:rPr>
          <w:rFonts w:ascii="Book Antiqua" w:hAnsi="Book Antiqua"/>
          <w:lang w:val="es-PR"/>
        </w:rPr>
        <w:t>.</w:t>
      </w:r>
    </w:p>
    <w:p w14:paraId="5DBA6CCB" w14:textId="3BCA7C8A"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lastRenderedPageBreak/>
        <w:t>La Comisión Especial podrá designar un</w:t>
      </w:r>
      <w:r>
        <w:rPr>
          <w:rFonts w:ascii="Book Antiqua" w:hAnsi="Book Antiqua"/>
          <w:lang w:val="es-PR"/>
        </w:rPr>
        <w:t>(a)</w:t>
      </w:r>
      <w:r w:rsidRPr="00896890">
        <w:rPr>
          <w:rFonts w:ascii="Book Antiqua" w:hAnsi="Book Antiqua"/>
          <w:lang w:val="es-PR"/>
        </w:rPr>
        <w:t xml:space="preserve"> investigador</w:t>
      </w:r>
      <w:r>
        <w:rPr>
          <w:rFonts w:ascii="Book Antiqua" w:hAnsi="Book Antiqua"/>
          <w:lang w:val="es-PR"/>
        </w:rPr>
        <w:t>(a)</w:t>
      </w:r>
      <w:r w:rsidRPr="00896890">
        <w:rPr>
          <w:rFonts w:ascii="Book Antiqua" w:hAnsi="Book Antiqua"/>
          <w:lang w:val="es-PR"/>
        </w:rPr>
        <w:t xml:space="preserve"> y solicitar al </w:t>
      </w:r>
      <w:proofErr w:type="gramStart"/>
      <w:r w:rsidRPr="00896890">
        <w:rPr>
          <w:rFonts w:ascii="Book Antiqua" w:hAnsi="Book Antiqua"/>
          <w:lang w:val="es-PR"/>
        </w:rPr>
        <w:t>Presid</w:t>
      </w:r>
      <w:r>
        <w:rPr>
          <w:rFonts w:ascii="Book Antiqua" w:hAnsi="Book Antiqua"/>
          <w:lang w:val="es-PR"/>
        </w:rPr>
        <w:t>ente</w:t>
      </w:r>
      <w:proofErr w:type="gramEnd"/>
      <w:r>
        <w:rPr>
          <w:rFonts w:ascii="Book Antiqua" w:hAnsi="Book Antiqua"/>
          <w:lang w:val="es-PR"/>
        </w:rPr>
        <w:t xml:space="preserve"> de</w:t>
      </w:r>
      <w:r w:rsidR="003D7373">
        <w:rPr>
          <w:rFonts w:ascii="Book Antiqua" w:hAnsi="Book Antiqua"/>
          <w:lang w:val="es-PR"/>
        </w:rPr>
        <w:t xml:space="preserve"> </w:t>
      </w:r>
      <w:r>
        <w:rPr>
          <w:rFonts w:ascii="Book Antiqua" w:hAnsi="Book Antiqua"/>
          <w:lang w:val="es-PR"/>
        </w:rPr>
        <w:t>l</w:t>
      </w:r>
      <w:r w:rsidR="003D7373">
        <w:rPr>
          <w:rFonts w:ascii="Book Antiqua" w:hAnsi="Book Antiqua"/>
          <w:lang w:val="es-PR"/>
        </w:rPr>
        <w:t>a</w:t>
      </w:r>
      <w:r>
        <w:rPr>
          <w:rFonts w:ascii="Book Antiqua" w:hAnsi="Book Antiqua"/>
          <w:lang w:val="es-PR"/>
        </w:rPr>
        <w:t xml:space="preserve"> </w:t>
      </w:r>
      <w:r w:rsidR="003D7373">
        <w:rPr>
          <w:rFonts w:ascii="Book Antiqua" w:hAnsi="Book Antiqua"/>
          <w:lang w:val="es-PR"/>
        </w:rPr>
        <w:t>C</w:t>
      </w:r>
      <w:r w:rsidR="003D7373">
        <w:rPr>
          <w:lang w:val="es-PR"/>
        </w:rPr>
        <w:t>ámara</w:t>
      </w:r>
      <w:r>
        <w:rPr>
          <w:rFonts w:ascii="Book Antiqua" w:hAnsi="Book Antiqua"/>
          <w:lang w:val="es-PR"/>
        </w:rPr>
        <w:t xml:space="preserve"> que designe todos(as) aquellos(as) funcionarios(as) o empleados (as)</w:t>
      </w:r>
      <w:r w:rsidRPr="00896890">
        <w:rPr>
          <w:rFonts w:ascii="Book Antiqua" w:hAnsi="Book Antiqua"/>
          <w:lang w:val="es-PR"/>
        </w:rPr>
        <w:t xml:space="preserve"> de</w:t>
      </w:r>
      <w:r w:rsidR="003D7373">
        <w:rPr>
          <w:rFonts w:ascii="Book Antiqua" w:hAnsi="Book Antiqua"/>
          <w:lang w:val="es-PR"/>
        </w:rPr>
        <w:t xml:space="preserve"> </w:t>
      </w:r>
      <w:r w:rsidRPr="00896890">
        <w:rPr>
          <w:rFonts w:ascii="Book Antiqua" w:hAnsi="Book Antiqua"/>
          <w:lang w:val="es-PR"/>
        </w:rPr>
        <w:t>l</w:t>
      </w:r>
      <w:r w:rsidR="003D7373">
        <w:rPr>
          <w:rFonts w:ascii="Book Antiqua" w:hAnsi="Book Antiqua"/>
          <w:lang w:val="es-PR"/>
        </w:rPr>
        <w:t>a</w:t>
      </w:r>
      <w:r w:rsidRPr="00896890">
        <w:rPr>
          <w:rFonts w:ascii="Book Antiqua" w:hAnsi="Book Antiqua"/>
          <w:lang w:val="es-PR"/>
        </w:rPr>
        <w:t xml:space="preserve"> </w:t>
      </w:r>
      <w:r w:rsidR="003D7373">
        <w:rPr>
          <w:rFonts w:ascii="Book Antiqua" w:hAnsi="Book Antiqua"/>
          <w:lang w:val="es-PR"/>
        </w:rPr>
        <w:t>Cámara de Representantes</w:t>
      </w:r>
      <w:r w:rsidRPr="00896890">
        <w:rPr>
          <w:rFonts w:ascii="Book Antiqua" w:hAnsi="Book Antiqua"/>
          <w:lang w:val="es-PR"/>
        </w:rPr>
        <w:t xml:space="preserve"> de Puerto Rico que estime necesarios para cumplir con las responsabilidades establecidas a tenor con esta Resolución, sin que </w:t>
      </w:r>
      <w:r>
        <w:rPr>
          <w:rFonts w:ascii="Book Antiqua" w:hAnsi="Book Antiqua"/>
          <w:lang w:val="es-PR"/>
        </w:rPr>
        <w:t>esta</w:t>
      </w:r>
      <w:r w:rsidRPr="00896890">
        <w:rPr>
          <w:rFonts w:ascii="Book Antiqua" w:hAnsi="Book Antiqua"/>
          <w:lang w:val="es-PR"/>
        </w:rPr>
        <w:t>s devenguen por ello compensación adicion</w:t>
      </w:r>
      <w:r>
        <w:rPr>
          <w:rFonts w:ascii="Book Antiqua" w:hAnsi="Book Antiqua"/>
          <w:lang w:val="es-PR"/>
        </w:rPr>
        <w:t>al alguna.  La designación de las funcionarias y empleada</w:t>
      </w:r>
      <w:r w:rsidRPr="00896890">
        <w:rPr>
          <w:rFonts w:ascii="Book Antiqua" w:hAnsi="Book Antiqua"/>
          <w:lang w:val="es-PR"/>
        </w:rPr>
        <w:t xml:space="preserve">s cuyos servicios se requieran por la Comisión Especial, así como la contratación de los servicios profesionales que puedan ser necesarios, se hará en consulta y con la aprobación del </w:t>
      </w:r>
      <w:proofErr w:type="gramStart"/>
      <w:r w:rsidRPr="00896890">
        <w:rPr>
          <w:rFonts w:ascii="Book Antiqua" w:hAnsi="Book Antiqua"/>
          <w:lang w:val="es-PR"/>
        </w:rPr>
        <w:t>Presidente</w:t>
      </w:r>
      <w:proofErr w:type="gramEnd"/>
      <w:r w:rsidRPr="00896890">
        <w:rPr>
          <w:rFonts w:ascii="Book Antiqua" w:hAnsi="Book Antiqua"/>
          <w:lang w:val="es-PR"/>
        </w:rPr>
        <w:t xml:space="preserve"> </w:t>
      </w:r>
      <w:r w:rsidR="004776AE">
        <w:rPr>
          <w:rFonts w:ascii="Book Antiqua" w:hAnsi="Book Antiqua"/>
          <w:lang w:val="es-PR"/>
        </w:rPr>
        <w:t>de la C</w:t>
      </w:r>
      <w:r w:rsidR="004776AE">
        <w:rPr>
          <w:lang w:val="es-PR"/>
        </w:rPr>
        <w:t>ámara</w:t>
      </w:r>
      <w:r w:rsidRPr="00896890">
        <w:rPr>
          <w:rFonts w:ascii="Book Antiqua" w:hAnsi="Book Antiqua"/>
          <w:lang w:val="es-PR"/>
        </w:rPr>
        <w:t>.</w:t>
      </w:r>
    </w:p>
    <w:p w14:paraId="53EC9D4F" w14:textId="68513148"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 xml:space="preserve">De conformidad con el Art. 31 del Código Político de 1902, se autoriza al </w:t>
      </w:r>
      <w:proofErr w:type="gramStart"/>
      <w:r w:rsidRPr="00896890">
        <w:rPr>
          <w:rFonts w:ascii="Book Antiqua" w:hAnsi="Book Antiqua"/>
          <w:lang w:val="es-PR"/>
        </w:rPr>
        <w:t>Presidente</w:t>
      </w:r>
      <w:proofErr w:type="gramEnd"/>
      <w:r w:rsidRPr="00896890">
        <w:rPr>
          <w:rFonts w:ascii="Book Antiqua" w:hAnsi="Book Antiqua"/>
          <w:lang w:val="es-PR"/>
        </w:rPr>
        <w:t xml:space="preserve"> de la Comisión Especial a emitir citaciones para que un</w:t>
      </w:r>
      <w:r>
        <w:rPr>
          <w:rFonts w:ascii="Book Antiqua" w:hAnsi="Book Antiqua"/>
          <w:lang w:val="es-PR"/>
        </w:rPr>
        <w:t>a</w:t>
      </w:r>
      <w:r w:rsidRPr="00896890">
        <w:rPr>
          <w:rFonts w:ascii="Book Antiqua" w:hAnsi="Book Antiqua"/>
          <w:lang w:val="es-PR"/>
        </w:rPr>
        <w:t xml:space="preserve"> testigo comparezca a declarar o a presentar documentos y objetos, o ambas cosas, ante un</w:t>
      </w:r>
      <w:r>
        <w:rPr>
          <w:rFonts w:ascii="Book Antiqua" w:hAnsi="Book Antiqua"/>
          <w:lang w:val="es-PR"/>
        </w:rPr>
        <w:t>a</w:t>
      </w:r>
      <w:r w:rsidRPr="00896890">
        <w:rPr>
          <w:rFonts w:ascii="Book Antiqua" w:hAnsi="Book Antiqua"/>
          <w:lang w:val="es-PR"/>
        </w:rPr>
        <w:t xml:space="preserve"> oficial investigador</w:t>
      </w:r>
      <w:r>
        <w:rPr>
          <w:rFonts w:ascii="Book Antiqua" w:hAnsi="Book Antiqua"/>
          <w:lang w:val="es-PR"/>
        </w:rPr>
        <w:t>a</w:t>
      </w:r>
      <w:r w:rsidRPr="00896890">
        <w:rPr>
          <w:rFonts w:ascii="Book Antiqua" w:hAnsi="Book Antiqua"/>
          <w:lang w:val="es-PR"/>
        </w:rPr>
        <w:t xml:space="preserve">, ante la Comisión, o ambas. Una vez endosadas las citaciones por parte del </w:t>
      </w:r>
      <w:proofErr w:type="gramStart"/>
      <w:r w:rsidRPr="00896890">
        <w:rPr>
          <w:rFonts w:ascii="Book Antiqua" w:hAnsi="Book Antiqua"/>
          <w:lang w:val="es-PR"/>
        </w:rPr>
        <w:t>Presidente</w:t>
      </w:r>
      <w:proofErr w:type="gramEnd"/>
      <w:r w:rsidRPr="00896890">
        <w:rPr>
          <w:rFonts w:ascii="Book Antiqua" w:hAnsi="Book Antiqua"/>
          <w:lang w:val="es-PR"/>
        </w:rPr>
        <w:t xml:space="preserve"> de la Comisión, éste gestionará la autorización, oral o escrita del Presidente </w:t>
      </w:r>
      <w:r w:rsidR="004776AE">
        <w:rPr>
          <w:rFonts w:ascii="Book Antiqua" w:hAnsi="Book Antiqua"/>
          <w:lang w:val="es-PR"/>
        </w:rPr>
        <w:t>de la C</w:t>
      </w:r>
      <w:r w:rsidR="004776AE">
        <w:rPr>
          <w:lang w:val="es-PR"/>
        </w:rPr>
        <w:t>ámara</w:t>
      </w:r>
      <w:r w:rsidR="004776AE" w:rsidRPr="00896890">
        <w:rPr>
          <w:rFonts w:ascii="Book Antiqua" w:hAnsi="Book Antiqua"/>
          <w:lang w:val="es-PR"/>
        </w:rPr>
        <w:t xml:space="preserve"> </w:t>
      </w:r>
      <w:r w:rsidRPr="00896890">
        <w:rPr>
          <w:rFonts w:ascii="Book Antiqua" w:hAnsi="Book Antiqua"/>
          <w:lang w:val="es-PR"/>
        </w:rPr>
        <w:t xml:space="preserve">para diligenciar las mismas.   </w:t>
      </w:r>
    </w:p>
    <w:p w14:paraId="375BB950" w14:textId="3EA8AA33"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Sección 4.</w:t>
      </w:r>
      <w:r>
        <w:rPr>
          <w:rFonts w:ascii="Book Antiqua" w:hAnsi="Book Antiqua"/>
          <w:lang w:val="es-PR"/>
        </w:rPr>
        <w:t xml:space="preserve"> </w:t>
      </w:r>
      <w:r w:rsidRPr="00896890">
        <w:rPr>
          <w:rFonts w:ascii="Book Antiqua" w:hAnsi="Book Antiqua"/>
          <w:lang w:val="es-PR"/>
        </w:rPr>
        <w:t>- Reglamento Interno</w:t>
      </w:r>
    </w:p>
    <w:p w14:paraId="54E11531" w14:textId="77777777"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 xml:space="preserve">La Comisión Especial deberá aprobar un reglamento que rija su funcionamiento interno, no más tarde de quince (15) días contados a partir de la designación de sus miembros.  Dicho reglamento deberá incluir aquellas disposiciones adicionales que sean necesarias para que entre los amplios poderes de investigación reconocidos a la Asamblea Legislativa, la Comisión Especial ejercite, entre otras, su facultad para celebrar audiencias públicas y reuniones ejecutivas, exigir la comparecencia de testigos, recibir testimonios orales o escritos, inclusive bajo juramento, y requerir la entrega de cualquier documento </w:t>
      </w:r>
      <w:r w:rsidRPr="00896890">
        <w:rPr>
          <w:rFonts w:ascii="Book Antiqua" w:hAnsi="Book Antiqua"/>
          <w:lang w:val="es-PR"/>
        </w:rPr>
        <w:lastRenderedPageBreak/>
        <w:t>o información relacionada con los objetivos de esta Resolución, todo ello según las disposiciones aplicables de ley y de los reglamentos aplicables.</w:t>
      </w:r>
    </w:p>
    <w:p w14:paraId="59F6DE8D" w14:textId="623FF157"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Sección 5.</w:t>
      </w:r>
      <w:r>
        <w:rPr>
          <w:rFonts w:ascii="Book Antiqua" w:hAnsi="Book Antiqua"/>
          <w:lang w:val="es-PR"/>
        </w:rPr>
        <w:t xml:space="preserve"> </w:t>
      </w:r>
      <w:r w:rsidRPr="00896890">
        <w:rPr>
          <w:rFonts w:ascii="Book Antiqua" w:hAnsi="Book Antiqua"/>
          <w:lang w:val="es-PR"/>
        </w:rPr>
        <w:t>- Informe</w:t>
      </w:r>
    </w:p>
    <w:p w14:paraId="6EC4BAAF" w14:textId="542F6658"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 xml:space="preserve">La Comisión Especial deberá rendir aquellos informes parciales o preliminares que estime necesarios, así como un informe final que incluya sus hallazgos, conclusiones y recomendaciones antes de que concluya la </w:t>
      </w:r>
      <w:r>
        <w:rPr>
          <w:rFonts w:ascii="Book Antiqua" w:hAnsi="Book Antiqua"/>
          <w:lang w:val="es-PR"/>
        </w:rPr>
        <w:t>Segunda</w:t>
      </w:r>
      <w:r w:rsidRPr="00896890">
        <w:rPr>
          <w:rFonts w:ascii="Book Antiqua" w:hAnsi="Book Antiqua"/>
          <w:lang w:val="es-PR"/>
        </w:rPr>
        <w:t xml:space="preserve"> Sesión Ordinaria de la </w:t>
      </w:r>
      <w:r>
        <w:rPr>
          <w:rFonts w:ascii="Book Antiqua" w:hAnsi="Book Antiqua"/>
          <w:lang w:val="es-PR"/>
        </w:rPr>
        <w:t>Vigésima</w:t>
      </w:r>
      <w:r w:rsidRPr="00896890">
        <w:rPr>
          <w:rFonts w:ascii="Book Antiqua" w:hAnsi="Book Antiqua"/>
          <w:lang w:val="es-PR"/>
        </w:rPr>
        <w:t xml:space="preserve"> Asamblea Legislativa.</w:t>
      </w:r>
    </w:p>
    <w:p w14:paraId="0C3AC842" w14:textId="78F5AED6" w:rsidR="00B06287" w:rsidRPr="00896890" w:rsidRDefault="00B06287" w:rsidP="00B06287">
      <w:pPr>
        <w:spacing w:line="480" w:lineRule="auto"/>
        <w:ind w:firstLine="360"/>
        <w:jc w:val="both"/>
        <w:rPr>
          <w:rFonts w:ascii="Book Antiqua" w:hAnsi="Book Antiqua"/>
          <w:lang w:val="es-PR"/>
        </w:rPr>
      </w:pPr>
      <w:r w:rsidRPr="00896890">
        <w:rPr>
          <w:rFonts w:ascii="Book Antiqua" w:hAnsi="Book Antiqua"/>
          <w:lang w:val="es-PR"/>
        </w:rPr>
        <w:t>Sección 6.</w:t>
      </w:r>
      <w:r w:rsidR="003D7373">
        <w:rPr>
          <w:rFonts w:ascii="Book Antiqua" w:hAnsi="Book Antiqua"/>
          <w:lang w:val="es-PR"/>
        </w:rPr>
        <w:t xml:space="preserve"> </w:t>
      </w:r>
      <w:r w:rsidRPr="00896890">
        <w:rPr>
          <w:rFonts w:ascii="Book Antiqua" w:hAnsi="Book Antiqua"/>
          <w:lang w:val="es-PR"/>
        </w:rPr>
        <w:t>- Vigencia</w:t>
      </w:r>
    </w:p>
    <w:p w14:paraId="6A8E3044" w14:textId="4621490B" w:rsidR="00890C1A" w:rsidRPr="00ED1E2F" w:rsidRDefault="00B06287" w:rsidP="003D7373">
      <w:pPr>
        <w:spacing w:line="480" w:lineRule="auto"/>
        <w:ind w:firstLine="360"/>
        <w:jc w:val="both"/>
        <w:rPr>
          <w:rFonts w:ascii="Book Antiqua" w:hAnsi="Book Antiqua"/>
          <w:lang w:val="es-ES_tradnl"/>
        </w:rPr>
      </w:pPr>
      <w:r w:rsidRPr="00896890">
        <w:rPr>
          <w:rFonts w:ascii="Book Antiqua" w:hAnsi="Book Antiqua"/>
          <w:lang w:val="es-PR"/>
        </w:rPr>
        <w:t>Esta Resolución entrará en vigor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3FB5"/>
    <w:multiLevelType w:val="hybridMultilevel"/>
    <w:tmpl w:val="536CB22C"/>
    <w:lvl w:ilvl="0" w:tplc="04090019">
      <w:start w:val="1"/>
      <w:numFmt w:val="lowerLetter"/>
      <w:lvlText w:val="%1."/>
      <w:lvlJc w:val="left"/>
      <w:pPr>
        <w:ind w:left="1080" w:hanging="360"/>
      </w:p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75785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44563"/>
    <w:rsid w:val="00160CBC"/>
    <w:rsid w:val="0017132B"/>
    <w:rsid w:val="001A2FA2"/>
    <w:rsid w:val="001A4F41"/>
    <w:rsid w:val="001E0D88"/>
    <w:rsid w:val="001F4CA3"/>
    <w:rsid w:val="001F612A"/>
    <w:rsid w:val="00203EFC"/>
    <w:rsid w:val="00211396"/>
    <w:rsid w:val="00226AE6"/>
    <w:rsid w:val="00245B34"/>
    <w:rsid w:val="00246130"/>
    <w:rsid w:val="002502B0"/>
    <w:rsid w:val="00263355"/>
    <w:rsid w:val="00273792"/>
    <w:rsid w:val="002B3DC5"/>
    <w:rsid w:val="002B7EDC"/>
    <w:rsid w:val="002C3354"/>
    <w:rsid w:val="002D4AC8"/>
    <w:rsid w:val="002E43CA"/>
    <w:rsid w:val="00305B2A"/>
    <w:rsid w:val="00320D78"/>
    <w:rsid w:val="003372CE"/>
    <w:rsid w:val="00380FE5"/>
    <w:rsid w:val="003924DD"/>
    <w:rsid w:val="00394FCB"/>
    <w:rsid w:val="003963F4"/>
    <w:rsid w:val="003B5254"/>
    <w:rsid w:val="003B580C"/>
    <w:rsid w:val="003B75A6"/>
    <w:rsid w:val="003D7373"/>
    <w:rsid w:val="004061CA"/>
    <w:rsid w:val="00415689"/>
    <w:rsid w:val="004220A9"/>
    <w:rsid w:val="004440CB"/>
    <w:rsid w:val="0044682A"/>
    <w:rsid w:val="00461578"/>
    <w:rsid w:val="00463089"/>
    <w:rsid w:val="004713D2"/>
    <w:rsid w:val="00473A4B"/>
    <w:rsid w:val="004776AE"/>
    <w:rsid w:val="00487E1F"/>
    <w:rsid w:val="00495FE7"/>
    <w:rsid w:val="004B615E"/>
    <w:rsid w:val="004B660B"/>
    <w:rsid w:val="004E1B57"/>
    <w:rsid w:val="00521639"/>
    <w:rsid w:val="0052618B"/>
    <w:rsid w:val="00532BB7"/>
    <w:rsid w:val="005332E4"/>
    <w:rsid w:val="0053550C"/>
    <w:rsid w:val="00555018"/>
    <w:rsid w:val="005723DC"/>
    <w:rsid w:val="005924B5"/>
    <w:rsid w:val="005B69F5"/>
    <w:rsid w:val="005F25DA"/>
    <w:rsid w:val="006210DC"/>
    <w:rsid w:val="00622CED"/>
    <w:rsid w:val="0064349D"/>
    <w:rsid w:val="00645B2E"/>
    <w:rsid w:val="00653EED"/>
    <w:rsid w:val="00656763"/>
    <w:rsid w:val="00685549"/>
    <w:rsid w:val="006874C9"/>
    <w:rsid w:val="006B26C2"/>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A7BE5"/>
    <w:rsid w:val="007B0660"/>
    <w:rsid w:val="007C3F4E"/>
    <w:rsid w:val="007D449C"/>
    <w:rsid w:val="007E3868"/>
    <w:rsid w:val="007F03E4"/>
    <w:rsid w:val="00811111"/>
    <w:rsid w:val="00820C41"/>
    <w:rsid w:val="00850256"/>
    <w:rsid w:val="008629FB"/>
    <w:rsid w:val="00890C1A"/>
    <w:rsid w:val="008B578C"/>
    <w:rsid w:val="008E656A"/>
    <w:rsid w:val="008F0224"/>
    <w:rsid w:val="008F6077"/>
    <w:rsid w:val="0093686F"/>
    <w:rsid w:val="00942FD4"/>
    <w:rsid w:val="00951997"/>
    <w:rsid w:val="00990352"/>
    <w:rsid w:val="0099602F"/>
    <w:rsid w:val="009A4161"/>
    <w:rsid w:val="009C13F0"/>
    <w:rsid w:val="009F211B"/>
    <w:rsid w:val="00A03405"/>
    <w:rsid w:val="00A1528A"/>
    <w:rsid w:val="00A33918"/>
    <w:rsid w:val="00A60C09"/>
    <w:rsid w:val="00A7629F"/>
    <w:rsid w:val="00AB78E2"/>
    <w:rsid w:val="00AC1D44"/>
    <w:rsid w:val="00AC2EC5"/>
    <w:rsid w:val="00AD086A"/>
    <w:rsid w:val="00AF0CEE"/>
    <w:rsid w:val="00B06287"/>
    <w:rsid w:val="00B14053"/>
    <w:rsid w:val="00B45DFB"/>
    <w:rsid w:val="00B51752"/>
    <w:rsid w:val="00B6439A"/>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29A"/>
    <w:rsid w:val="00C908F9"/>
    <w:rsid w:val="00CA0917"/>
    <w:rsid w:val="00CA1099"/>
    <w:rsid w:val="00D417C2"/>
    <w:rsid w:val="00D60936"/>
    <w:rsid w:val="00D63B14"/>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7A53"/>
    <w:rsid w:val="00EE1241"/>
    <w:rsid w:val="00EE4273"/>
    <w:rsid w:val="00EE69A1"/>
    <w:rsid w:val="00F02004"/>
    <w:rsid w:val="00F042CB"/>
    <w:rsid w:val="00F14DC1"/>
    <w:rsid w:val="00F17F4E"/>
    <w:rsid w:val="00F60A20"/>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1608</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2022-05-19T14:06:00Z</cp:lastPrinted>
  <dcterms:created xsi:type="dcterms:W3CDTF">2025-03-05T17:41:00Z</dcterms:created>
  <dcterms:modified xsi:type="dcterms:W3CDTF">2025-03-06T13:56:00Z</dcterms:modified>
</cp:coreProperties>
</file>