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A419" w14:textId="77777777" w:rsidR="00FF6BD2" w:rsidRDefault="006B3825" w:rsidP="00593E8D">
      <w:pPr>
        <w:jc w:val="center"/>
        <w:rPr>
          <w:rFonts w:ascii="Book Antiqua" w:hAnsi="Book Antiqua"/>
          <w:sz w:val="28"/>
          <w:lang w:val="es-ES_tradnl"/>
        </w:rPr>
      </w:pPr>
      <w:r>
        <w:rPr>
          <w:rFonts w:ascii="Book Antiqua" w:hAnsi="Book Antiqua"/>
          <w:sz w:val="28"/>
          <w:lang w:val="es-ES_tradnl"/>
        </w:rPr>
        <w:t>GOBIERNO DE PUERTO RICO</w:t>
      </w:r>
    </w:p>
    <w:p w14:paraId="69C0A41A" w14:textId="77777777" w:rsidR="006B3825" w:rsidRPr="00593E8D" w:rsidRDefault="006B3825" w:rsidP="00593E8D">
      <w:pPr>
        <w:jc w:val="center"/>
        <w:rPr>
          <w:rFonts w:ascii="Book Antiqua" w:hAnsi="Book Antiqua"/>
          <w:szCs w:val="24"/>
          <w:lang w:val="es-ES_tradnl"/>
        </w:rPr>
      </w:pPr>
    </w:p>
    <w:p w14:paraId="2E594471" w14:textId="77777777" w:rsidR="008022C8" w:rsidRDefault="008022C8" w:rsidP="00593E8D">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lang w:val="es-ES_tradnl"/>
        </w:rPr>
        <w:tab/>
        <w:t>Sesión</w:t>
      </w:r>
    </w:p>
    <w:p w14:paraId="31A35EEB" w14:textId="77777777" w:rsidR="008022C8" w:rsidRDefault="008022C8" w:rsidP="00593E8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37D3C3A" w14:textId="77777777" w:rsidR="008022C8" w:rsidRDefault="008022C8" w:rsidP="00593E8D">
      <w:pPr>
        <w:rPr>
          <w:lang w:val="es-ES_tradnl"/>
        </w:rPr>
      </w:pPr>
    </w:p>
    <w:p w14:paraId="567C7BA0" w14:textId="77777777" w:rsidR="008022C8" w:rsidRDefault="008022C8" w:rsidP="00593E8D">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593E8D" w:rsidRDefault="008022C8" w:rsidP="00593E8D">
      <w:pPr>
        <w:jc w:val="center"/>
        <w:rPr>
          <w:rFonts w:ascii="Book Antiqua" w:hAnsi="Book Antiqua"/>
          <w:b/>
          <w:szCs w:val="24"/>
          <w:lang w:val="es-ES_tradnl"/>
        </w:rPr>
      </w:pPr>
    </w:p>
    <w:p w14:paraId="013C7D3F" w14:textId="38439758" w:rsidR="008022C8" w:rsidRDefault="008022C8" w:rsidP="00593E8D">
      <w:pPr>
        <w:jc w:val="center"/>
        <w:rPr>
          <w:rFonts w:ascii="Book Antiqua" w:hAnsi="Book Antiqua"/>
          <w:b/>
          <w:sz w:val="52"/>
          <w:lang w:val="es-ES_tradnl"/>
        </w:rPr>
      </w:pPr>
      <w:r>
        <w:rPr>
          <w:rFonts w:ascii="Book Antiqua" w:hAnsi="Book Antiqua"/>
          <w:b/>
          <w:sz w:val="52"/>
          <w:lang w:val="es-ES_tradnl"/>
        </w:rPr>
        <w:t>P. de la C.</w:t>
      </w:r>
      <w:r w:rsidR="00593E8D">
        <w:rPr>
          <w:rFonts w:ascii="Book Antiqua" w:hAnsi="Book Antiqua"/>
          <w:b/>
          <w:sz w:val="52"/>
          <w:lang w:val="es-ES_tradnl"/>
        </w:rPr>
        <w:t xml:space="preserve"> </w:t>
      </w:r>
      <w:r w:rsidR="005B5F6A">
        <w:rPr>
          <w:rFonts w:ascii="Book Antiqua" w:hAnsi="Book Antiqua"/>
          <w:b/>
          <w:sz w:val="52"/>
          <w:lang w:val="es-ES_tradnl"/>
        </w:rPr>
        <w:t>382</w:t>
      </w:r>
    </w:p>
    <w:p w14:paraId="5BC9C7CE" w14:textId="77777777" w:rsidR="00593E8D" w:rsidRPr="00593E8D" w:rsidRDefault="00593E8D" w:rsidP="00593E8D">
      <w:pPr>
        <w:jc w:val="center"/>
        <w:rPr>
          <w:rFonts w:ascii="Book Antiqua" w:hAnsi="Book Antiqua"/>
          <w:b/>
          <w:szCs w:val="24"/>
          <w:lang w:val="es-ES_tradnl"/>
        </w:rPr>
      </w:pPr>
    </w:p>
    <w:p w14:paraId="089D7983" w14:textId="09E2AB5F" w:rsidR="008022C8" w:rsidRDefault="007F5EB6" w:rsidP="00593E8D">
      <w:pPr>
        <w:jc w:val="center"/>
        <w:rPr>
          <w:rFonts w:ascii="Book Antiqua" w:hAnsi="Book Antiqua"/>
          <w:lang w:val="es-ES_tradnl"/>
        </w:rPr>
      </w:pPr>
      <w:r>
        <w:rPr>
          <w:rFonts w:ascii="Book Antiqua" w:hAnsi="Book Antiqua"/>
          <w:lang w:val="es-ES_tradnl"/>
        </w:rPr>
        <w:t xml:space="preserve">5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795A9965" w14:textId="77777777" w:rsidR="00593E8D" w:rsidRDefault="00593E8D" w:rsidP="00593E8D">
      <w:pPr>
        <w:jc w:val="center"/>
        <w:rPr>
          <w:rFonts w:ascii="Book Antiqua" w:hAnsi="Book Antiqua"/>
          <w:lang w:val="es-ES_tradnl"/>
        </w:rPr>
      </w:pPr>
    </w:p>
    <w:p w14:paraId="453DDEBA" w14:textId="77777777" w:rsidR="00593E8D" w:rsidRDefault="00593E8D" w:rsidP="00593E8D">
      <w:pPr>
        <w:jc w:val="center"/>
        <w:rPr>
          <w:rFonts w:ascii="Book Antiqua" w:hAnsi="Book Antiqua"/>
          <w:i/>
          <w:lang w:val="es-ES"/>
        </w:rPr>
      </w:pPr>
      <w:r w:rsidRPr="00262BA2">
        <w:rPr>
          <w:rFonts w:ascii="Book Antiqua" w:hAnsi="Book Antiqua"/>
          <w:lang w:val="es-ES"/>
        </w:rPr>
        <w:t>Presentad</w:t>
      </w:r>
      <w:r>
        <w:rPr>
          <w:rFonts w:ascii="Book Antiqua" w:hAnsi="Book Antiqua"/>
          <w:lang w:val="es-ES"/>
        </w:rPr>
        <w:t>o</w:t>
      </w:r>
      <w:r w:rsidRPr="00262BA2">
        <w:rPr>
          <w:rFonts w:ascii="Book Antiqua" w:hAnsi="Book Antiqua"/>
          <w:lang w:val="es-ES"/>
        </w:rPr>
        <w:t xml:space="preserve"> por </w:t>
      </w:r>
      <w:r>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Márquez Lebrón</w:t>
      </w:r>
      <w:r>
        <w:rPr>
          <w:rFonts w:ascii="Book Antiqua" w:hAnsi="Book Antiqua"/>
          <w:i/>
          <w:lang w:val="es-ES"/>
        </w:rPr>
        <w:t xml:space="preserve">; </w:t>
      </w:r>
    </w:p>
    <w:p w14:paraId="71966C38" w14:textId="41AEB5CF" w:rsidR="00593E8D" w:rsidRDefault="00593E8D" w:rsidP="00593E8D">
      <w:pPr>
        <w:jc w:val="center"/>
        <w:rPr>
          <w:rFonts w:ascii="Book Antiqua" w:hAnsi="Book Antiqua"/>
          <w:i/>
          <w:lang w:val="es-ES"/>
        </w:rPr>
      </w:pPr>
      <w:r w:rsidRPr="00E91774">
        <w:rPr>
          <w:rFonts w:ascii="Book Antiqua" w:hAnsi="Book Antiqua"/>
          <w:iCs/>
          <w:lang w:val="es-ES"/>
        </w:rPr>
        <w:t>y las representantes</w:t>
      </w:r>
      <w:r w:rsidRPr="00262BA2">
        <w:rPr>
          <w:rFonts w:ascii="Book Antiqua" w:hAnsi="Book Antiqua"/>
          <w:i/>
          <w:lang w:val="es-ES"/>
        </w:rPr>
        <w:t xml:space="preserve"> Gutiérrez Col</w:t>
      </w:r>
      <w:r w:rsidR="0048455F">
        <w:rPr>
          <w:rFonts w:ascii="Book Antiqua" w:hAnsi="Book Antiqua"/>
          <w:i/>
          <w:lang w:val="es-ES"/>
        </w:rPr>
        <w:t>ó</w:t>
      </w:r>
      <w:r w:rsidRPr="00262BA2">
        <w:rPr>
          <w:rFonts w:ascii="Book Antiqua" w:hAnsi="Book Antiqua"/>
          <w:i/>
          <w:lang w:val="es-ES"/>
        </w:rPr>
        <w:t>n</w:t>
      </w:r>
      <w:r w:rsidRPr="00727B94">
        <w:rPr>
          <w:rFonts w:ascii="Book Antiqua" w:hAnsi="Book Antiqua"/>
          <w:iCs/>
          <w:lang w:val="es-ES"/>
        </w:rPr>
        <w:t xml:space="preserve"> y</w:t>
      </w:r>
      <w:r w:rsidRPr="00262BA2">
        <w:rPr>
          <w:rFonts w:ascii="Book Antiqua" w:hAnsi="Book Antiqua"/>
          <w:i/>
          <w:lang w:val="es-ES"/>
        </w:rPr>
        <w:t xml:space="preserve"> Lebrón Robles</w:t>
      </w:r>
    </w:p>
    <w:p w14:paraId="74C10FF8" w14:textId="77777777" w:rsidR="00593E8D" w:rsidRDefault="00593E8D" w:rsidP="00593E8D">
      <w:pPr>
        <w:jc w:val="center"/>
        <w:rPr>
          <w:rFonts w:ascii="Book Antiqua" w:hAnsi="Book Antiqua"/>
          <w:i/>
          <w:lang w:val="es-ES"/>
        </w:rPr>
      </w:pPr>
    </w:p>
    <w:p w14:paraId="69C0A423" w14:textId="186827B2" w:rsidR="006B3825" w:rsidRDefault="008022C8" w:rsidP="00593E8D">
      <w:pPr>
        <w:jc w:val="center"/>
        <w:rPr>
          <w:rFonts w:ascii="Book Antiqua" w:hAnsi="Book Antiqua"/>
          <w:lang w:val="es-ES_tradnl"/>
        </w:rPr>
      </w:pPr>
      <w:r>
        <w:rPr>
          <w:rFonts w:ascii="Book Antiqua" w:hAnsi="Book Antiqua"/>
          <w:lang w:val="es-ES_tradnl"/>
        </w:rPr>
        <w:t xml:space="preserve">Referido a </w:t>
      </w:r>
      <w:r w:rsidR="00593E8D">
        <w:rPr>
          <w:rFonts w:ascii="Book Antiqua" w:hAnsi="Book Antiqua"/>
          <w:lang w:val="es-ES_tradnl"/>
        </w:rPr>
        <w:t>la Comisión de Gobierno</w:t>
      </w:r>
    </w:p>
    <w:p w14:paraId="69C0A424" w14:textId="77777777" w:rsidR="006B3825" w:rsidRDefault="006B3825" w:rsidP="00593E8D">
      <w:pPr>
        <w:jc w:val="both"/>
        <w:rPr>
          <w:rFonts w:ascii="Book Antiqua" w:hAnsi="Book Antiqua"/>
          <w:lang w:val="es-ES_tradnl"/>
        </w:rPr>
      </w:pPr>
    </w:p>
    <w:p w14:paraId="69C0A425" w14:textId="77777777" w:rsidR="006B3825" w:rsidRDefault="006B3825" w:rsidP="00593E8D">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593E8D">
      <w:pPr>
        <w:jc w:val="both"/>
        <w:rPr>
          <w:rFonts w:ascii="Book Antiqua" w:hAnsi="Book Antiqua"/>
          <w:lang w:val="es-ES_tradnl"/>
        </w:rPr>
      </w:pPr>
    </w:p>
    <w:p w14:paraId="69C0A427" w14:textId="4C70036A" w:rsidR="006B3825" w:rsidRPr="00575E68" w:rsidRDefault="006B3825" w:rsidP="00593E8D">
      <w:pPr>
        <w:ind w:left="360" w:hanging="360"/>
        <w:jc w:val="both"/>
        <w:rPr>
          <w:rFonts w:ascii="Book Antiqua" w:hAnsi="Book Antiqua"/>
          <w:szCs w:val="24"/>
          <w:lang w:val="es-ES"/>
        </w:rPr>
      </w:pPr>
      <w:r>
        <w:rPr>
          <w:rFonts w:ascii="Book Antiqua" w:hAnsi="Book Antiqua"/>
          <w:lang w:val="es-ES_tradnl"/>
        </w:rPr>
        <w:t xml:space="preserve">Para </w:t>
      </w:r>
      <w:r w:rsidR="00575E68" w:rsidRPr="00575E68">
        <w:rPr>
          <w:rFonts w:ascii="Book Antiqua" w:hAnsi="Book Antiqua"/>
          <w:szCs w:val="24"/>
          <w:lang w:val="es-ES"/>
        </w:rPr>
        <w:t>enmendar el inciso (y) del Artículo 1.2 de la Ley 1-2012, según enmendada, conocida como “Ley de Ética Gubernamental de Puerto Rico” a los fines de añadir a las parejas unidas por relación análoga a la conyugal a la definición de pariente</w:t>
      </w:r>
      <w:r w:rsidR="00575E68" w:rsidRPr="00575E68">
        <w:rPr>
          <w:rFonts w:ascii="Book Antiqua" w:hAnsi="Book Antiqua"/>
          <w:lang w:val="es-ES"/>
        </w:rPr>
        <w:t xml:space="preserve">; enmendar el </w:t>
      </w:r>
      <w:r w:rsidR="00575E68" w:rsidRPr="00575E68">
        <w:rPr>
          <w:rFonts w:ascii="Book Antiqua" w:hAnsi="Book Antiqua"/>
          <w:szCs w:val="24"/>
          <w:lang w:val="es-ES"/>
        </w:rPr>
        <w:t xml:space="preserve">inciso (q) del Artículo 2.3 </w:t>
      </w:r>
      <w:r w:rsidR="00575E68" w:rsidRPr="00575E68">
        <w:rPr>
          <w:rFonts w:ascii="Book Antiqua" w:hAnsi="Book Antiqua"/>
          <w:lang w:val="es-ES"/>
        </w:rPr>
        <w:t>y el inciso (c) del Artículo 5.7 para disponer dinero recaudado en virtud de una multa administrativa emitida por la Oficina ingresará a las arcas de la Oficina de Ética Gubernamental; para enmendar el Artículo 7.2 a los fines de establecer que el quantum de prueba que se deberá satisfacer en procesos adjudicativos en los que se impute la violación a cualquier inciso de dicha Ley será el de preponderancia de prueba; y para otros fines relacionados.</w:t>
      </w:r>
    </w:p>
    <w:p w14:paraId="2880C837" w14:textId="77777777" w:rsidR="00FA006A" w:rsidRDefault="00FA006A" w:rsidP="00593E8D">
      <w:pPr>
        <w:ind w:left="360" w:hanging="360"/>
        <w:jc w:val="both"/>
        <w:rPr>
          <w:rFonts w:ascii="Book Antiqua" w:hAnsi="Book Antiqua"/>
          <w:lang w:val="es-ES_tradnl"/>
        </w:rPr>
      </w:pPr>
    </w:p>
    <w:p w14:paraId="69C0A428" w14:textId="77777777" w:rsidR="006B3825" w:rsidRDefault="006B3825" w:rsidP="0048455F">
      <w:pPr>
        <w:jc w:val="center"/>
        <w:rPr>
          <w:rFonts w:ascii="Book Antiqua" w:hAnsi="Book Antiqua"/>
          <w:lang w:val="es-ES_tradnl"/>
        </w:rPr>
      </w:pPr>
      <w:r>
        <w:rPr>
          <w:rFonts w:ascii="Book Antiqua" w:hAnsi="Book Antiqua"/>
          <w:lang w:val="es-ES_tradnl"/>
        </w:rPr>
        <w:t>EXPOSICIÓN DE MOTIVOS</w:t>
      </w:r>
    </w:p>
    <w:p w14:paraId="0BC10D0E" w14:textId="77777777" w:rsidR="00593E8D" w:rsidRDefault="00593E8D" w:rsidP="00593E8D">
      <w:pPr>
        <w:ind w:firstLine="360"/>
        <w:jc w:val="center"/>
        <w:rPr>
          <w:rFonts w:ascii="Book Antiqua" w:hAnsi="Book Antiqua"/>
          <w:lang w:val="es-ES_tradnl"/>
        </w:rPr>
      </w:pPr>
    </w:p>
    <w:p w14:paraId="0CDEC0DF" w14:textId="77777777" w:rsidR="00575E68" w:rsidRDefault="00575E68" w:rsidP="00593E8D">
      <w:pPr>
        <w:ind w:firstLine="360"/>
        <w:jc w:val="both"/>
        <w:rPr>
          <w:rFonts w:ascii="Book Antiqua" w:hAnsi="Book Antiqua"/>
          <w:bCs/>
          <w:lang w:val="es-PR"/>
        </w:rPr>
      </w:pPr>
      <w:r w:rsidRPr="00575E68">
        <w:rPr>
          <w:rFonts w:ascii="Book Antiqua" w:hAnsi="Book Antiqua"/>
          <w:bCs/>
          <w:lang w:val="es-PR"/>
        </w:rPr>
        <w:t xml:space="preserve">La Oficina de Ética Gubernamental, creada al amparo de la Ley Número 1 del 3 de enero del 2012, tiene el objetivo dual de educar al personal del servicio público sobre los valores que deben regir su desempeño, y de fiscalizar y penalizar a aquellos funcionarias y funcionarios bajo su jurisdicción que transgredan la normativa ética bajo la cual deben actuar. </w:t>
      </w:r>
    </w:p>
    <w:p w14:paraId="0B333F93" w14:textId="77777777" w:rsidR="00593E8D" w:rsidRPr="00575E68" w:rsidRDefault="00593E8D" w:rsidP="00593E8D">
      <w:pPr>
        <w:ind w:firstLine="360"/>
        <w:jc w:val="both"/>
        <w:rPr>
          <w:rFonts w:ascii="Book Antiqua" w:hAnsi="Book Antiqua"/>
          <w:bCs/>
          <w:lang w:val="es-PR"/>
        </w:rPr>
      </w:pPr>
    </w:p>
    <w:p w14:paraId="5899F471" w14:textId="77777777" w:rsidR="00575E68" w:rsidRDefault="00575E68" w:rsidP="00593E8D">
      <w:pPr>
        <w:ind w:firstLine="360"/>
        <w:jc w:val="both"/>
        <w:rPr>
          <w:rFonts w:ascii="Book Antiqua" w:hAnsi="Book Antiqua"/>
          <w:bCs/>
          <w:lang w:val="es-PR"/>
        </w:rPr>
      </w:pPr>
      <w:r w:rsidRPr="00575E68">
        <w:rPr>
          <w:rFonts w:ascii="Book Antiqua" w:hAnsi="Book Antiqua"/>
          <w:bCs/>
          <w:lang w:val="es-PR"/>
        </w:rPr>
        <w:t xml:space="preserve">Con el curso de los años varias disposiciones de la Ley de Ética Gubernamental han sido objeto de revisión judicial, y el resultado de este escrutinio ha tenido en ocasiones el efecto de debilitar o conculcar las facultades de la Oficina de Ética Gubernamental. Ese ha sido el caso del dictamen estableciendo de forma retroactiva el nuevo estándar de prueba “clara, robusta y convincente”.  A través de esta Ley restituimos el criterio de </w:t>
      </w:r>
      <w:r w:rsidRPr="00575E68">
        <w:rPr>
          <w:rFonts w:ascii="Book Antiqua" w:hAnsi="Book Antiqua"/>
          <w:bCs/>
          <w:lang w:val="es-PR"/>
        </w:rPr>
        <w:lastRenderedPageBreak/>
        <w:t xml:space="preserve">preponderancia de la prueba como base adjudicativa, lo que permite una más adecuada ejecución de las facultades fiscalizadoras de la Oficina. </w:t>
      </w:r>
    </w:p>
    <w:p w14:paraId="370776B5" w14:textId="77777777" w:rsidR="00593E8D" w:rsidRPr="00575E68" w:rsidRDefault="00593E8D" w:rsidP="00593E8D">
      <w:pPr>
        <w:ind w:firstLine="360"/>
        <w:jc w:val="both"/>
        <w:rPr>
          <w:rFonts w:ascii="Book Antiqua" w:hAnsi="Book Antiqua"/>
          <w:bCs/>
          <w:lang w:val="es-PR"/>
        </w:rPr>
      </w:pPr>
    </w:p>
    <w:p w14:paraId="25436D31" w14:textId="77777777" w:rsidR="00575E68" w:rsidRDefault="00575E68" w:rsidP="00593E8D">
      <w:pPr>
        <w:ind w:firstLine="360"/>
        <w:jc w:val="both"/>
        <w:rPr>
          <w:rFonts w:ascii="Book Antiqua" w:hAnsi="Book Antiqua"/>
          <w:bCs/>
          <w:lang w:val="es-PR"/>
        </w:rPr>
      </w:pPr>
      <w:r w:rsidRPr="00575E68">
        <w:rPr>
          <w:rFonts w:ascii="Book Antiqua" w:hAnsi="Book Antiqua"/>
          <w:bCs/>
          <w:lang w:val="es-PR"/>
        </w:rPr>
        <w:t xml:space="preserve">Se atienden además otros señalamientos, como la ampliación de la definición de parientes, de tal manera que sea más efectiva la prohibición al nepotismo, y se dispone que las sumas recaudadas por concepto de multas ingresen a las arcas de la Oficina, contribuyendo así a la estabilidad fiscal del organismo. </w:t>
      </w:r>
    </w:p>
    <w:p w14:paraId="62E13D4B" w14:textId="77777777" w:rsidR="00593E8D" w:rsidRPr="00575E68" w:rsidRDefault="00593E8D" w:rsidP="00593E8D">
      <w:pPr>
        <w:ind w:firstLine="360"/>
        <w:jc w:val="both"/>
        <w:rPr>
          <w:rFonts w:ascii="Book Antiqua" w:hAnsi="Book Antiqua"/>
          <w:bCs/>
          <w:lang w:val="es-PR"/>
        </w:rPr>
      </w:pPr>
    </w:p>
    <w:p w14:paraId="69C0A431" w14:textId="26C0B7FC" w:rsidR="006B3825" w:rsidRDefault="00575E68" w:rsidP="00593E8D">
      <w:pPr>
        <w:ind w:firstLine="360"/>
        <w:jc w:val="both"/>
        <w:rPr>
          <w:rFonts w:ascii="Book Antiqua" w:hAnsi="Book Antiqua"/>
          <w:bCs/>
          <w:lang w:val="es-PR"/>
        </w:rPr>
      </w:pPr>
      <w:r w:rsidRPr="00575E68">
        <w:rPr>
          <w:rFonts w:ascii="Book Antiqua" w:hAnsi="Book Antiqua"/>
          <w:bCs/>
          <w:lang w:val="es-PR"/>
        </w:rPr>
        <w:t>Con estas disposiciones, abonamos a la continua obligación democrática de promover transparencia y rendición de cuentas en el servicio público.</w:t>
      </w:r>
    </w:p>
    <w:p w14:paraId="2FE760F9" w14:textId="77777777" w:rsidR="00593E8D" w:rsidRDefault="00593E8D" w:rsidP="00593E8D">
      <w:pPr>
        <w:ind w:firstLine="360"/>
        <w:jc w:val="both"/>
        <w:rPr>
          <w:rFonts w:ascii="Book Antiqua" w:hAnsi="Book Antiqua"/>
          <w:lang w:val="es-ES_tradnl"/>
        </w:rPr>
      </w:pPr>
    </w:p>
    <w:p w14:paraId="69C0A432" w14:textId="77777777" w:rsidR="006B3825" w:rsidRDefault="006B3825" w:rsidP="00593E8D">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69C0A433" w14:textId="77777777" w:rsidR="006B3825" w:rsidRDefault="006B3825" w:rsidP="00593E8D">
      <w:pPr>
        <w:spacing w:line="480" w:lineRule="auto"/>
        <w:jc w:val="both"/>
        <w:rPr>
          <w:rFonts w:ascii="Book Antiqua" w:hAnsi="Book Antiqua"/>
          <w:lang w:val="es-ES_tradnl"/>
        </w:rPr>
        <w:sectPr w:rsidR="006B3825">
          <w:headerReference w:type="default" r:id="rId8"/>
          <w:type w:val="continuous"/>
          <w:pgSz w:w="12240" w:h="15840" w:code="1"/>
          <w:pgMar w:top="1440" w:right="1440" w:bottom="1440" w:left="1440" w:header="720" w:footer="720" w:gutter="0"/>
          <w:cols w:space="720"/>
          <w:titlePg/>
        </w:sectPr>
      </w:pPr>
    </w:p>
    <w:p w14:paraId="7ECE62B5"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 xml:space="preserve">Sección 1.- Se enmienda el inciso (y) del Artículo 1.2 de la Ley 1-2012, según enmendada, conocida como “Ley de Ética Gubernamental de Puerto Rico” para que lea como sigue: </w:t>
      </w:r>
    </w:p>
    <w:p w14:paraId="4EADBD41" w14:textId="77777777" w:rsidR="00575E68" w:rsidRPr="00017B48" w:rsidRDefault="00575E68" w:rsidP="00593E8D">
      <w:pPr>
        <w:pStyle w:val="ListParagraph"/>
        <w:numPr>
          <w:ilvl w:val="0"/>
          <w:numId w:val="8"/>
        </w:numPr>
        <w:spacing w:line="480" w:lineRule="auto"/>
        <w:jc w:val="both"/>
        <w:rPr>
          <w:rFonts w:ascii="Book Antiqua" w:hAnsi="Book Antiqua"/>
          <w:szCs w:val="24"/>
        </w:rPr>
      </w:pPr>
      <w:bookmarkStart w:id="0" w:name="_Hlk187321563"/>
      <w:r w:rsidRPr="00017B48">
        <w:rPr>
          <w:rFonts w:ascii="Book Antiqua" w:hAnsi="Book Antiqua"/>
          <w:szCs w:val="24"/>
        </w:rPr>
        <w:t>…</w:t>
      </w:r>
    </w:p>
    <w:p w14:paraId="7A42380F" w14:textId="77777777" w:rsidR="00575E68" w:rsidRPr="00017B48" w:rsidRDefault="00575E68" w:rsidP="00593E8D">
      <w:pPr>
        <w:pStyle w:val="ListParagraph"/>
        <w:spacing w:line="480" w:lineRule="auto"/>
        <w:ind w:left="1080"/>
        <w:jc w:val="both"/>
        <w:rPr>
          <w:rFonts w:ascii="Book Antiqua" w:hAnsi="Book Antiqua"/>
          <w:szCs w:val="24"/>
        </w:rPr>
      </w:pPr>
      <w:r w:rsidRPr="00017B48">
        <w:rPr>
          <w:rFonts w:ascii="Book Antiqua" w:hAnsi="Book Antiqua"/>
          <w:szCs w:val="24"/>
        </w:rPr>
        <w:t>…</w:t>
      </w:r>
    </w:p>
    <w:bookmarkEnd w:id="0"/>
    <w:p w14:paraId="596D824C" w14:textId="77777777" w:rsidR="00575E68" w:rsidRPr="00575E68" w:rsidRDefault="00575E68" w:rsidP="00593E8D">
      <w:pPr>
        <w:spacing w:line="480" w:lineRule="auto"/>
        <w:jc w:val="both"/>
        <w:rPr>
          <w:rFonts w:ascii="Book Antiqua" w:hAnsi="Book Antiqua"/>
          <w:szCs w:val="24"/>
          <w:lang w:val="es-ES"/>
        </w:rPr>
      </w:pPr>
      <w:r w:rsidRPr="00575E68">
        <w:rPr>
          <w:rFonts w:ascii="Book Antiqua" w:hAnsi="Book Antiqua"/>
          <w:szCs w:val="24"/>
          <w:lang w:val="es-ES"/>
        </w:rPr>
        <w:tab/>
        <w:t xml:space="preserve">(y) Pariente — los abuelos, los padres, los hijos, los nietos, los tíos, los hermanos, los sobrinos, los primos hermanos, el cónyuge, los suegros y los cuñados del servidor público, </w:t>
      </w:r>
      <w:r w:rsidRPr="00575E68">
        <w:rPr>
          <w:rFonts w:ascii="Book Antiqua" w:hAnsi="Book Antiqua"/>
          <w:i/>
          <w:iCs/>
          <w:szCs w:val="24"/>
          <w:lang w:val="es-ES"/>
        </w:rPr>
        <w:t>de su cónyuge</w:t>
      </w:r>
      <w:r w:rsidRPr="00575E68">
        <w:rPr>
          <w:rFonts w:ascii="Book Antiqua" w:hAnsi="Book Antiqua"/>
          <w:szCs w:val="24"/>
          <w:lang w:val="es-ES"/>
        </w:rPr>
        <w:t xml:space="preserve"> </w:t>
      </w:r>
      <w:r w:rsidRPr="00575E68">
        <w:rPr>
          <w:rFonts w:ascii="Book Antiqua" w:hAnsi="Book Antiqua"/>
          <w:i/>
          <w:iCs/>
          <w:szCs w:val="24"/>
          <w:lang w:val="es-ES"/>
        </w:rPr>
        <w:t>o de su pareja unida por relación de afectividad análoga a la conyugal.</w:t>
      </w:r>
      <w:r w:rsidRPr="00575E68">
        <w:rPr>
          <w:rFonts w:ascii="Book Antiqua" w:hAnsi="Book Antiqua"/>
          <w:szCs w:val="24"/>
          <w:lang w:val="es-ES"/>
        </w:rPr>
        <w:t xml:space="preserve"> </w:t>
      </w:r>
      <w:r w:rsidRPr="00575E68">
        <w:rPr>
          <w:rFonts w:ascii="Book Antiqua" w:hAnsi="Book Antiqua"/>
          <w:b/>
          <w:bCs/>
          <w:szCs w:val="24"/>
          <w:lang w:val="es-ES"/>
        </w:rPr>
        <w:t xml:space="preserve">[así como los hijos y los nietos de su cónyuge.] </w:t>
      </w:r>
    </w:p>
    <w:p w14:paraId="592C7859"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Sección 2.- Se enmienda el inciso (q) del Artículo 2.3 de la Ley 1-2012, según enmendada, conocida como “Ley de Ética Gubernamental de Puerto Rico” para que lea como sigue:</w:t>
      </w:r>
    </w:p>
    <w:p w14:paraId="1A11C6E6"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“Artículo 2.3 — Facultades y poderes de la Oficina y de la Dirección Ejecutiva.</w:t>
      </w:r>
    </w:p>
    <w:p w14:paraId="370833DB"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La Oficina y la Dirección Ejecutiva tienen las siguientes facultades y poderes:</w:t>
      </w:r>
    </w:p>
    <w:p w14:paraId="50BA2B47" w14:textId="77777777" w:rsidR="00575E68" w:rsidRPr="005F3B6F" w:rsidRDefault="00575E68" w:rsidP="00593E8D">
      <w:pPr>
        <w:numPr>
          <w:ilvl w:val="0"/>
          <w:numId w:val="9"/>
        </w:numPr>
        <w:spacing w:line="480" w:lineRule="auto"/>
        <w:jc w:val="both"/>
        <w:rPr>
          <w:rFonts w:ascii="Book Antiqua" w:hAnsi="Book Antiqua"/>
          <w:szCs w:val="24"/>
        </w:rPr>
      </w:pPr>
      <w:r w:rsidRPr="005F3B6F">
        <w:rPr>
          <w:rFonts w:ascii="Book Antiqua" w:hAnsi="Book Antiqua"/>
          <w:szCs w:val="24"/>
        </w:rPr>
        <w:t>…</w:t>
      </w:r>
    </w:p>
    <w:p w14:paraId="111B3104" w14:textId="77777777" w:rsidR="00575E68" w:rsidRPr="005F3B6F" w:rsidRDefault="00575E68" w:rsidP="00593E8D">
      <w:pPr>
        <w:spacing w:line="480" w:lineRule="auto"/>
        <w:ind w:left="360" w:firstLine="720"/>
        <w:jc w:val="both"/>
        <w:rPr>
          <w:rFonts w:ascii="Book Antiqua" w:hAnsi="Book Antiqua"/>
          <w:szCs w:val="24"/>
        </w:rPr>
      </w:pPr>
      <w:r w:rsidRPr="005F3B6F">
        <w:rPr>
          <w:rFonts w:ascii="Book Antiqua" w:hAnsi="Book Antiqua"/>
          <w:szCs w:val="24"/>
        </w:rPr>
        <w:lastRenderedPageBreak/>
        <w:t>…</w:t>
      </w:r>
    </w:p>
    <w:p w14:paraId="5B342158"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 xml:space="preserve">Q. Emitir una orden de retención y descuento al Departamento de Hacienda, a los Sistemas de Retiro de los Empleados del Gobierno y de la Judicatura y a cualquier otro Sistema de Retiro Público, a la Asociación de Empleados del Gobierno de Puerto Rico y a la autoridad nominadora, contra los fondos acumulados del servidor o </w:t>
      </w:r>
      <w:proofErr w:type="gramStart"/>
      <w:r w:rsidRPr="00575E68">
        <w:rPr>
          <w:rFonts w:ascii="Book Antiqua" w:hAnsi="Book Antiqua"/>
          <w:szCs w:val="24"/>
          <w:lang w:val="es-ES"/>
        </w:rPr>
        <w:t>ex servidor</w:t>
      </w:r>
      <w:proofErr w:type="gramEnd"/>
      <w:r w:rsidRPr="00575E68">
        <w:rPr>
          <w:rFonts w:ascii="Book Antiqua" w:hAnsi="Book Antiqua"/>
          <w:szCs w:val="24"/>
          <w:lang w:val="es-ES"/>
        </w:rPr>
        <w:t xml:space="preserve"> público que incumpla con una multa administrativa final y firme.</w:t>
      </w:r>
    </w:p>
    <w:p w14:paraId="79F02454"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 xml:space="preserve">Asimismo, notificar al servidor o </w:t>
      </w:r>
      <w:proofErr w:type="gramStart"/>
      <w:r w:rsidRPr="00575E68">
        <w:rPr>
          <w:rFonts w:ascii="Book Antiqua" w:hAnsi="Book Antiqua"/>
          <w:szCs w:val="24"/>
          <w:lang w:val="es-ES"/>
        </w:rPr>
        <w:t>ex servidor</w:t>
      </w:r>
      <w:proofErr w:type="gramEnd"/>
      <w:r w:rsidRPr="00575E68">
        <w:rPr>
          <w:rFonts w:ascii="Book Antiqua" w:hAnsi="Book Antiqua"/>
          <w:szCs w:val="24"/>
          <w:lang w:val="es-ES"/>
        </w:rPr>
        <w:t xml:space="preserve"> público, con no menos de treinta (30) días de anticipación, que su incumplimiento será referido a estas agencias para el correspondiente descuento, o para la acción aplicable. La agencia deberá determinar, conforme a la reglamentación adoptada a estos efectos, la forma en que procederá la retención y así notificárselo al servidor o </w:t>
      </w:r>
      <w:proofErr w:type="gramStart"/>
      <w:r w:rsidRPr="00575E68">
        <w:rPr>
          <w:rFonts w:ascii="Book Antiqua" w:hAnsi="Book Antiqua"/>
          <w:szCs w:val="24"/>
          <w:lang w:val="es-ES"/>
        </w:rPr>
        <w:t>ex servidor</w:t>
      </w:r>
      <w:proofErr w:type="gramEnd"/>
      <w:r w:rsidRPr="00575E68">
        <w:rPr>
          <w:rFonts w:ascii="Book Antiqua" w:hAnsi="Book Antiqua"/>
          <w:szCs w:val="24"/>
          <w:lang w:val="es-ES"/>
        </w:rPr>
        <w:t xml:space="preserve"> público. </w:t>
      </w:r>
    </w:p>
    <w:p w14:paraId="0CAE91EC"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 xml:space="preserve">En caso de una orden de retención y descuento contra los fondos acumulados en las entidades antes mencionadas, éstas le remitirán a la Oficina, a nombre del </w:t>
      </w:r>
      <w:proofErr w:type="gramStart"/>
      <w:r w:rsidRPr="00575E68">
        <w:rPr>
          <w:rFonts w:ascii="Book Antiqua" w:hAnsi="Book Antiqua"/>
          <w:szCs w:val="24"/>
          <w:lang w:val="es-ES"/>
        </w:rPr>
        <w:t>Secretario</w:t>
      </w:r>
      <w:proofErr w:type="gramEnd"/>
      <w:r w:rsidRPr="00575E68">
        <w:rPr>
          <w:rFonts w:ascii="Book Antiqua" w:hAnsi="Book Antiqua"/>
          <w:szCs w:val="24"/>
          <w:lang w:val="es-ES"/>
        </w:rPr>
        <w:t xml:space="preserve"> de Hacienda, el descuento de los fondos del servidor o ex servidor público que hayan efectuado. En caso de no tener en su posesión la cantidad total para cubrir la multa en el momento de recibirse la orden de retención y descuento, las entidades antes mencionadas así se lo informarán a la Oficina. En tal caso, la orden de retención y descuento permanecerá vigente hasta que se satisfaga el pago o la Dirección Ejecutiva de la Oficina requiera que se deje sin efecto. </w:t>
      </w:r>
    </w:p>
    <w:p w14:paraId="2020B153"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 xml:space="preserve">La Oficina puede acudir al Tribunal de Primera de Instancia, Sala de San Juan, para interponer una petición de cumplimiento de la resolución administrativa emitida o una demanda en cobro de dinero para satisfacer la multa impuesta. </w:t>
      </w:r>
    </w:p>
    <w:p w14:paraId="213F8589" w14:textId="77777777" w:rsidR="00575E68" w:rsidRPr="00575E68" w:rsidRDefault="00575E68" w:rsidP="00593E8D">
      <w:pPr>
        <w:spacing w:line="480" w:lineRule="auto"/>
        <w:ind w:firstLine="720"/>
        <w:jc w:val="both"/>
        <w:rPr>
          <w:rFonts w:ascii="Book Antiqua" w:hAnsi="Book Antiqua"/>
          <w:b/>
          <w:bCs/>
          <w:szCs w:val="24"/>
          <w:lang w:val="es-ES"/>
        </w:rPr>
      </w:pPr>
      <w:r w:rsidRPr="00575E68">
        <w:rPr>
          <w:rFonts w:ascii="Book Antiqua" w:hAnsi="Book Antiqua"/>
          <w:b/>
          <w:bCs/>
          <w:szCs w:val="24"/>
          <w:lang w:val="es-ES"/>
        </w:rPr>
        <w:lastRenderedPageBreak/>
        <w:t xml:space="preserve">[La Oficina remitirá al </w:t>
      </w:r>
      <w:proofErr w:type="gramStart"/>
      <w:r w:rsidRPr="00575E68">
        <w:rPr>
          <w:rFonts w:ascii="Book Antiqua" w:hAnsi="Book Antiqua"/>
          <w:b/>
          <w:bCs/>
          <w:szCs w:val="24"/>
          <w:lang w:val="es-ES"/>
        </w:rPr>
        <w:t>Secretario</w:t>
      </w:r>
      <w:proofErr w:type="gramEnd"/>
      <w:r w:rsidRPr="00575E68">
        <w:rPr>
          <w:rFonts w:ascii="Book Antiqua" w:hAnsi="Book Antiqua"/>
          <w:b/>
          <w:bCs/>
          <w:szCs w:val="24"/>
          <w:lang w:val="es-ES"/>
        </w:rPr>
        <w:t xml:space="preserve"> de Hacienda las deudas por concepto de multas administrativas, de las que la Oficina haya realizado las gestiones de cobro pertinentes, y cuyo ingreso corresponde al Fondo General del Gobierno.]</w:t>
      </w:r>
    </w:p>
    <w:p w14:paraId="1CF29E15" w14:textId="77777777" w:rsidR="00575E68" w:rsidRPr="00575E68" w:rsidRDefault="00575E68" w:rsidP="00593E8D">
      <w:pPr>
        <w:spacing w:line="480" w:lineRule="auto"/>
        <w:ind w:firstLine="720"/>
        <w:jc w:val="both"/>
        <w:rPr>
          <w:rFonts w:ascii="Book Antiqua" w:hAnsi="Book Antiqua"/>
          <w:i/>
          <w:iCs/>
          <w:szCs w:val="24"/>
          <w:lang w:val="es-ES"/>
        </w:rPr>
      </w:pPr>
      <w:r w:rsidRPr="00575E68">
        <w:rPr>
          <w:rFonts w:ascii="Book Antiqua" w:hAnsi="Book Antiqua"/>
          <w:i/>
          <w:iCs/>
          <w:szCs w:val="24"/>
          <w:lang w:val="es-ES"/>
        </w:rPr>
        <w:t>Todo dinero recaudado en virtud de una multa administrativa emitida por la Oficina ingresará a las arcas de la Oficina de Ética Gubernamental.”</w:t>
      </w:r>
    </w:p>
    <w:p w14:paraId="22A73FC8" w14:textId="77777777" w:rsidR="00575E68" w:rsidRPr="00575E68" w:rsidRDefault="00575E68" w:rsidP="00593E8D">
      <w:pPr>
        <w:spacing w:line="480" w:lineRule="auto"/>
        <w:ind w:firstLine="720"/>
        <w:jc w:val="both"/>
        <w:rPr>
          <w:rFonts w:ascii="Book Antiqua" w:hAnsi="Book Antiqua"/>
          <w:szCs w:val="24"/>
          <w:lang w:val="es-ES"/>
        </w:rPr>
      </w:pPr>
      <w:r w:rsidRPr="00575E68">
        <w:rPr>
          <w:rFonts w:ascii="Book Antiqua" w:hAnsi="Book Antiqua"/>
          <w:szCs w:val="24"/>
          <w:lang w:val="es-ES"/>
        </w:rPr>
        <w:t>Sección 3.- Se enmienda el inciso (c) del Artículo 5.7 de la Ley 1-2012, según enmendada, conocida como “Ley de Ética Gubernamental de Puerto Rico” para que lea como sigue:</w:t>
      </w:r>
    </w:p>
    <w:p w14:paraId="05469F52" w14:textId="77777777" w:rsidR="00575E68" w:rsidRPr="00575E68" w:rsidRDefault="00575E68" w:rsidP="00593E8D">
      <w:pPr>
        <w:spacing w:line="480" w:lineRule="auto"/>
        <w:ind w:left="720"/>
        <w:jc w:val="both"/>
        <w:rPr>
          <w:rFonts w:ascii="Book Antiqua" w:hAnsi="Book Antiqua"/>
          <w:szCs w:val="24"/>
          <w:lang w:val="es-ES"/>
        </w:rPr>
      </w:pPr>
      <w:r w:rsidRPr="00575E68">
        <w:rPr>
          <w:rFonts w:ascii="Book Antiqua" w:hAnsi="Book Antiqua"/>
          <w:szCs w:val="24"/>
          <w:lang w:val="es-ES"/>
        </w:rPr>
        <w:t xml:space="preserve">“Artículo 5.7 — Sanciones y penalidades aplicables a los servidores públicos de la Rama Ejecutiva. </w:t>
      </w:r>
    </w:p>
    <w:p w14:paraId="015AC118" w14:textId="77777777" w:rsidR="00575E68" w:rsidRPr="00575E68" w:rsidRDefault="00575E68" w:rsidP="00593E8D">
      <w:pPr>
        <w:spacing w:line="480" w:lineRule="auto"/>
        <w:ind w:left="720"/>
        <w:jc w:val="both"/>
        <w:rPr>
          <w:rFonts w:ascii="Book Antiqua" w:hAnsi="Book Antiqua"/>
          <w:szCs w:val="24"/>
          <w:lang w:val="es-ES"/>
        </w:rPr>
      </w:pPr>
      <w:r w:rsidRPr="00575E68">
        <w:rPr>
          <w:rFonts w:ascii="Book Antiqua" w:hAnsi="Book Antiqua"/>
          <w:szCs w:val="24"/>
          <w:lang w:val="es-ES"/>
        </w:rPr>
        <w:t>(a)…</w:t>
      </w:r>
    </w:p>
    <w:p w14:paraId="11AE60F5" w14:textId="77777777" w:rsidR="00575E68" w:rsidRPr="00575E68" w:rsidRDefault="00575E68" w:rsidP="00593E8D">
      <w:pPr>
        <w:pStyle w:val="ListParagraph"/>
        <w:spacing w:line="480" w:lineRule="auto"/>
        <w:ind w:left="1080"/>
        <w:jc w:val="both"/>
        <w:rPr>
          <w:rFonts w:ascii="Book Antiqua" w:hAnsi="Book Antiqua"/>
          <w:szCs w:val="24"/>
          <w:lang w:val="es-ES"/>
        </w:rPr>
      </w:pPr>
      <w:r w:rsidRPr="00575E68">
        <w:rPr>
          <w:rFonts w:ascii="Book Antiqua" w:hAnsi="Book Antiqua"/>
          <w:szCs w:val="24"/>
          <w:lang w:val="es-ES"/>
        </w:rPr>
        <w:t>…</w:t>
      </w:r>
    </w:p>
    <w:p w14:paraId="69CA4310" w14:textId="77777777" w:rsidR="00575E68" w:rsidRPr="00575E68" w:rsidRDefault="00575E68" w:rsidP="00593E8D">
      <w:pPr>
        <w:spacing w:line="480" w:lineRule="auto"/>
        <w:ind w:left="810"/>
        <w:jc w:val="both"/>
        <w:rPr>
          <w:rFonts w:ascii="Book Antiqua" w:hAnsi="Book Antiqua"/>
          <w:lang w:val="es-ES"/>
        </w:rPr>
      </w:pPr>
      <w:r w:rsidRPr="00575E68">
        <w:rPr>
          <w:rFonts w:ascii="Book Antiqua" w:hAnsi="Book Antiqua"/>
          <w:lang w:val="es-ES"/>
        </w:rPr>
        <w:t xml:space="preserve">(c) Acción Administrativa </w:t>
      </w:r>
    </w:p>
    <w:p w14:paraId="0F7B9AAA" w14:textId="77777777" w:rsidR="00575E68" w:rsidRPr="00575E68" w:rsidRDefault="00575E68" w:rsidP="00593E8D">
      <w:pPr>
        <w:spacing w:line="480" w:lineRule="auto"/>
        <w:ind w:firstLine="720"/>
        <w:jc w:val="both"/>
        <w:rPr>
          <w:rFonts w:ascii="Book Antiqua" w:hAnsi="Book Antiqua"/>
          <w:i/>
          <w:iCs/>
          <w:lang w:val="es-ES"/>
        </w:rPr>
      </w:pPr>
      <w:r w:rsidRPr="00575E68">
        <w:rPr>
          <w:rFonts w:ascii="Book Antiqua" w:hAnsi="Book Antiqua"/>
          <w:lang w:val="es-ES"/>
        </w:rPr>
        <w:t xml:space="preserve">Toda persona que viole las prohibiciones y las disposiciones establecidas en este Capítulo y en los reglamentos, en las órdenes o en las normas promulgadas a su amparo, puede ser sancionado por la Dirección Ejecutiva con multa administrativa que no excederá de veinte mil dólares por cada violación. Lo anterior no limita la facultad de la Dirección Ejecutiva de imponer, además de la multa administrativa, la sanción de triple daño. Así también podrá tomar en consideración la reincidencia para efectos de la imposición de la multa de este inciso. </w:t>
      </w:r>
      <w:r w:rsidRPr="00575E68">
        <w:rPr>
          <w:rFonts w:ascii="Book Antiqua" w:hAnsi="Book Antiqua"/>
          <w:i/>
          <w:iCs/>
          <w:lang w:val="es-ES"/>
        </w:rPr>
        <w:t xml:space="preserve">Todo dinero recaudado en virtud de una multa administrativa emitida por la Oficina ingresará a las arcas de la Oficina de Ética Gubernamental. </w:t>
      </w:r>
    </w:p>
    <w:p w14:paraId="13E91F76" w14:textId="77777777" w:rsidR="00575E68" w:rsidRPr="00575E68" w:rsidRDefault="00575E68" w:rsidP="00593E8D">
      <w:pPr>
        <w:spacing w:line="480" w:lineRule="auto"/>
        <w:ind w:firstLine="720"/>
        <w:jc w:val="both"/>
        <w:rPr>
          <w:rFonts w:ascii="Book Antiqua" w:hAnsi="Book Antiqua"/>
          <w:lang w:val="es-ES"/>
        </w:rPr>
      </w:pPr>
      <w:r w:rsidRPr="00575E68">
        <w:rPr>
          <w:rFonts w:ascii="Book Antiqua" w:hAnsi="Book Antiqua"/>
          <w:lang w:val="es-ES"/>
        </w:rPr>
        <w:lastRenderedPageBreak/>
        <w:t xml:space="preserve">La Dirección Ejecutiva puede imponer por la violación de cualquiera de las disposiciones de este Capítulo, en los casos que apliquen, las siguientes medidas administrativas: </w:t>
      </w:r>
    </w:p>
    <w:p w14:paraId="7168B214" w14:textId="77777777" w:rsidR="00575E68" w:rsidRPr="00575E68" w:rsidRDefault="00575E68" w:rsidP="00593E8D">
      <w:pPr>
        <w:spacing w:line="480" w:lineRule="auto"/>
        <w:ind w:firstLine="720"/>
        <w:jc w:val="both"/>
        <w:rPr>
          <w:rFonts w:ascii="Book Antiqua" w:hAnsi="Book Antiqua"/>
          <w:lang w:val="es-ES"/>
        </w:rPr>
      </w:pPr>
      <w:r w:rsidRPr="00575E68">
        <w:rPr>
          <w:rFonts w:ascii="Book Antiqua" w:hAnsi="Book Antiqua"/>
          <w:lang w:val="es-ES"/>
        </w:rPr>
        <w:t xml:space="preserve">1. ordenar la restitución; u </w:t>
      </w:r>
    </w:p>
    <w:p w14:paraId="58849CA7" w14:textId="77777777" w:rsidR="00575E68" w:rsidRPr="00575E68" w:rsidRDefault="00575E68" w:rsidP="00593E8D">
      <w:pPr>
        <w:spacing w:line="480" w:lineRule="auto"/>
        <w:ind w:firstLine="720"/>
        <w:jc w:val="both"/>
        <w:rPr>
          <w:rFonts w:ascii="Book Antiqua" w:hAnsi="Book Antiqua"/>
          <w:lang w:val="es-ES"/>
        </w:rPr>
      </w:pPr>
      <w:r w:rsidRPr="00575E68">
        <w:rPr>
          <w:rFonts w:ascii="Book Antiqua" w:hAnsi="Book Antiqua"/>
          <w:lang w:val="es-ES"/>
        </w:rPr>
        <w:t>2. ordenar a la agencia concernida que efectúe un descuento de la nómina del servidor público infractor, hasta completar el pago de la multa impuesta, de conformidad con lo dispuesto en el Artículo 2.3(Q) de esta Ley.”</w:t>
      </w:r>
    </w:p>
    <w:p w14:paraId="727AA861" w14:textId="77777777" w:rsidR="00575E68" w:rsidRPr="00575E68" w:rsidRDefault="00575E68" w:rsidP="00593E8D">
      <w:pPr>
        <w:spacing w:line="480" w:lineRule="auto"/>
        <w:ind w:firstLine="720"/>
        <w:jc w:val="both"/>
        <w:rPr>
          <w:rFonts w:ascii="Book Antiqua" w:hAnsi="Book Antiqua"/>
          <w:lang w:val="es-ES"/>
        </w:rPr>
      </w:pPr>
      <w:r w:rsidRPr="00575E68">
        <w:rPr>
          <w:rFonts w:ascii="Book Antiqua" w:hAnsi="Book Antiqua"/>
          <w:lang w:val="es-ES"/>
        </w:rPr>
        <w:t>Sección 4.- Se enmienda el Artículo 7.2 de la Ley 1-2012, según enmendada, conocida como “Ley de Ética Gubernamental de Puerto Rico” para que lea como sigue:</w:t>
      </w:r>
    </w:p>
    <w:p w14:paraId="669A78CA" w14:textId="77777777" w:rsidR="00575E68" w:rsidRPr="00575E68" w:rsidRDefault="00575E68" w:rsidP="00593E8D">
      <w:pPr>
        <w:spacing w:line="480" w:lineRule="auto"/>
        <w:ind w:firstLine="720"/>
        <w:jc w:val="both"/>
        <w:rPr>
          <w:rFonts w:ascii="Book Antiqua" w:hAnsi="Book Antiqua"/>
          <w:lang w:val="es-ES"/>
        </w:rPr>
      </w:pPr>
      <w:r w:rsidRPr="00575E68">
        <w:rPr>
          <w:rFonts w:ascii="Book Antiqua" w:hAnsi="Book Antiqua"/>
          <w:lang w:val="es-ES"/>
        </w:rPr>
        <w:t>“Artículo 7.2 — Procedimiento de adjudicación.</w:t>
      </w:r>
    </w:p>
    <w:p w14:paraId="4F18B86C" w14:textId="77777777" w:rsidR="00575E68" w:rsidRPr="00575E68" w:rsidRDefault="00575E68" w:rsidP="00593E8D">
      <w:pPr>
        <w:spacing w:line="480" w:lineRule="auto"/>
        <w:ind w:firstLine="720"/>
        <w:jc w:val="both"/>
        <w:rPr>
          <w:rFonts w:ascii="Book Antiqua" w:hAnsi="Book Antiqua"/>
          <w:b/>
          <w:bCs/>
          <w:lang w:val="es-ES"/>
        </w:rPr>
      </w:pPr>
      <w:r w:rsidRPr="00575E68">
        <w:rPr>
          <w:rFonts w:ascii="Book Antiqua" w:hAnsi="Book Antiqua"/>
          <w:lang w:val="es-ES"/>
        </w:rPr>
        <w:t xml:space="preserve">Una vez concluya la investigación aludida en el Artículo 7.1 y la Oficina entienda que se ha violado alguna disposición establecida en esta Ley, en los reglamentos, en las órdenes o en las normas promulgadas a su amparo, presentará una querella y llevará a cabo un procedimiento de adjudicación, de conformidad con la </w:t>
      </w:r>
      <w:r w:rsidRPr="00575E68">
        <w:rPr>
          <w:rFonts w:ascii="Book Antiqua" w:hAnsi="Book Antiqua"/>
          <w:i/>
          <w:iCs/>
          <w:lang w:val="es-ES"/>
        </w:rPr>
        <w:t>Ley 38-2017, según enmendada, conocida como Ley de Procedimiento Administrativo Uniforme del Gobierno de Puerto Rico.</w:t>
      </w:r>
      <w:r w:rsidRPr="00575E68">
        <w:rPr>
          <w:rFonts w:ascii="Book Antiqua" w:hAnsi="Book Antiqua"/>
          <w:lang w:val="es-ES"/>
        </w:rPr>
        <w:t xml:space="preserve"> </w:t>
      </w:r>
      <w:r w:rsidRPr="00575E68">
        <w:rPr>
          <w:rFonts w:ascii="Book Antiqua" w:hAnsi="Book Antiqua"/>
          <w:b/>
          <w:bCs/>
          <w:lang w:val="es-ES"/>
        </w:rPr>
        <w:t>[Ley de Procedimiento Administrativo Uniforme del Gobierno de Puerto Rico, Ley Núm. 170 de 12 de agosto de 1988, según enmendada.]</w:t>
      </w:r>
    </w:p>
    <w:p w14:paraId="0267D550" w14:textId="77777777" w:rsidR="00575E68" w:rsidRPr="00575E68" w:rsidRDefault="00575E68" w:rsidP="00593E8D">
      <w:pPr>
        <w:spacing w:line="480" w:lineRule="auto"/>
        <w:ind w:firstLine="720"/>
        <w:jc w:val="both"/>
        <w:rPr>
          <w:rFonts w:ascii="Book Antiqua" w:hAnsi="Book Antiqua"/>
          <w:i/>
          <w:iCs/>
          <w:lang w:val="es-ES"/>
        </w:rPr>
      </w:pPr>
      <w:r w:rsidRPr="00575E68">
        <w:rPr>
          <w:rFonts w:ascii="Book Antiqua" w:hAnsi="Book Antiqua"/>
          <w:i/>
          <w:iCs/>
          <w:lang w:val="es-ES"/>
        </w:rPr>
        <w:t>Cualquier violación a esta Ley se deberá probar mediante preponderancia de prueba en el correspondiente proceso adjudicativo.</w:t>
      </w:r>
      <w:r w:rsidRPr="00575E68">
        <w:rPr>
          <w:rFonts w:ascii="Book Antiqua" w:hAnsi="Book Antiqua"/>
          <w:lang w:val="es-ES"/>
        </w:rPr>
        <w:t>”</w:t>
      </w:r>
    </w:p>
    <w:p w14:paraId="646F1BE0" w14:textId="77777777" w:rsidR="00575E68" w:rsidRPr="00575E68" w:rsidRDefault="00575E68" w:rsidP="00593E8D">
      <w:pPr>
        <w:spacing w:line="480" w:lineRule="auto"/>
        <w:ind w:firstLine="720"/>
        <w:jc w:val="both"/>
        <w:rPr>
          <w:rFonts w:ascii="Book Antiqua" w:hAnsi="Book Antiqua"/>
          <w:lang w:val="es-ES"/>
        </w:rPr>
      </w:pPr>
      <w:r w:rsidRPr="00575E68">
        <w:rPr>
          <w:rFonts w:ascii="Book Antiqua" w:hAnsi="Book Antiqua"/>
          <w:lang w:val="es-ES"/>
        </w:rPr>
        <w:t>Sección 5.- Supremacía</w:t>
      </w:r>
    </w:p>
    <w:p w14:paraId="158D5AF7" w14:textId="77777777" w:rsidR="00575E68" w:rsidRPr="00017B48" w:rsidRDefault="00575E68" w:rsidP="00593E8D">
      <w:pPr>
        <w:pStyle w:val="sectext"/>
        <w:spacing w:line="480" w:lineRule="auto"/>
        <w:ind w:firstLine="720"/>
        <w:jc w:val="both"/>
        <w:rPr>
          <w:rFonts w:ascii="Book Antiqua" w:hAnsi="Book Antiqua"/>
          <w:lang w:val="es-PR"/>
        </w:rPr>
      </w:pPr>
      <w:r w:rsidRPr="00017B48">
        <w:rPr>
          <w:rFonts w:ascii="Book Antiqua" w:hAnsi="Book Antiqua"/>
          <w:lang w:val="es-PR"/>
        </w:rPr>
        <w:t>Las disposiciones de esta Ley prevalecerán sobre cualquier otra disposición de ley, reglamento o norma que no estuviere en armonía con ellas.</w:t>
      </w:r>
    </w:p>
    <w:p w14:paraId="6AE76023" w14:textId="77777777" w:rsidR="00575E68" w:rsidRPr="00017B48" w:rsidRDefault="00575E68" w:rsidP="00593E8D">
      <w:pPr>
        <w:pStyle w:val="sectext"/>
        <w:spacing w:line="480" w:lineRule="auto"/>
        <w:ind w:firstLine="720"/>
        <w:jc w:val="both"/>
        <w:rPr>
          <w:rFonts w:ascii="Book Antiqua" w:hAnsi="Book Antiqua"/>
          <w:lang w:val="es-PR"/>
        </w:rPr>
      </w:pPr>
      <w:r w:rsidRPr="00017B48">
        <w:rPr>
          <w:rFonts w:ascii="Book Antiqua" w:hAnsi="Book Antiqua"/>
          <w:lang w:val="es-PR"/>
        </w:rPr>
        <w:lastRenderedPageBreak/>
        <w:t xml:space="preserve">Sección </w:t>
      </w:r>
      <w:r>
        <w:rPr>
          <w:rFonts w:ascii="Book Antiqua" w:hAnsi="Book Antiqua"/>
          <w:lang w:val="es-PR"/>
        </w:rPr>
        <w:t>6</w:t>
      </w:r>
      <w:r w:rsidRPr="00017B48">
        <w:rPr>
          <w:rFonts w:ascii="Book Antiqua" w:hAnsi="Book Antiqua"/>
          <w:lang w:val="es-PR"/>
        </w:rPr>
        <w:t>.- Cláusula de separabilidad</w:t>
      </w:r>
    </w:p>
    <w:p w14:paraId="49601793" w14:textId="77777777" w:rsidR="00575E68" w:rsidRPr="00017B48" w:rsidRDefault="00575E68" w:rsidP="00593E8D">
      <w:pPr>
        <w:pStyle w:val="sectext"/>
        <w:spacing w:line="480" w:lineRule="auto"/>
        <w:ind w:firstLine="720"/>
        <w:jc w:val="both"/>
        <w:rPr>
          <w:rFonts w:ascii="Book Antiqua" w:hAnsi="Book Antiqua"/>
          <w:lang w:val="es-PR"/>
        </w:rPr>
      </w:pPr>
      <w:r w:rsidRPr="00017B48">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017B48">
        <w:rPr>
          <w:rFonts w:ascii="Book Antiqua" w:hAnsi="Book Antiqua"/>
          <w:lang w:val="es-PR"/>
        </w:rPr>
        <w:t>ejecutabilidad</w:t>
      </w:r>
      <w:proofErr w:type="spellEnd"/>
      <w:r w:rsidRPr="00017B48">
        <w:rPr>
          <w:rFonts w:ascii="Book Antiqua" w:hAnsi="Book Antiqua"/>
          <w:lang w:val="es-PR"/>
        </w:rPr>
        <w:t xml:space="preserve"> y vigor de las restantes disposiciones que no hayan sido objeto de dictamen adverso.</w:t>
      </w:r>
    </w:p>
    <w:p w14:paraId="06753BCC" w14:textId="77777777" w:rsidR="00575E68" w:rsidRPr="00575E68" w:rsidRDefault="00575E68" w:rsidP="00593E8D">
      <w:pPr>
        <w:spacing w:line="480" w:lineRule="auto"/>
        <w:ind w:left="360" w:firstLine="360"/>
        <w:jc w:val="both"/>
        <w:rPr>
          <w:rFonts w:ascii="Book Antiqua" w:hAnsi="Book Antiqua"/>
          <w:szCs w:val="24"/>
          <w:lang w:val="es-ES"/>
        </w:rPr>
      </w:pPr>
      <w:r w:rsidRPr="00575E68">
        <w:rPr>
          <w:rFonts w:ascii="Book Antiqua" w:hAnsi="Book Antiqua"/>
          <w:szCs w:val="24"/>
          <w:lang w:val="es-ES"/>
        </w:rPr>
        <w:t>Artículo 7.- Vigencia</w:t>
      </w:r>
    </w:p>
    <w:p w14:paraId="69C0A456" w14:textId="5A83A8F8" w:rsidR="006B3825" w:rsidRPr="00575E68" w:rsidRDefault="00575E68" w:rsidP="00593E8D">
      <w:pPr>
        <w:spacing w:line="480" w:lineRule="auto"/>
        <w:ind w:firstLine="360"/>
        <w:jc w:val="both"/>
        <w:rPr>
          <w:rFonts w:ascii="Book Antiqua" w:hAnsi="Book Antiqua"/>
          <w:lang w:val="es-ES"/>
        </w:rPr>
      </w:pPr>
      <w:r w:rsidRPr="00575E68">
        <w:rPr>
          <w:rFonts w:ascii="Book Antiqua" w:hAnsi="Book Antiqua"/>
          <w:szCs w:val="24"/>
          <w:lang w:val="es-ES"/>
        </w:rPr>
        <w:t>Esta Ley comenzará a regir inmediatamente después de su aprobación.</w:t>
      </w:r>
    </w:p>
    <w:sectPr w:rsidR="006B3825" w:rsidRPr="00575E68"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A459" w14:textId="77777777" w:rsidR="006B3825" w:rsidRDefault="006B3825">
      <w:r>
        <w:separator/>
      </w:r>
    </w:p>
  </w:endnote>
  <w:endnote w:type="continuationSeparator" w:id="0">
    <w:p w14:paraId="69C0A45A" w14:textId="77777777" w:rsidR="006B3825" w:rsidRDefault="006B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A457" w14:textId="77777777" w:rsidR="006B3825" w:rsidRDefault="006B3825">
      <w:r>
        <w:separator/>
      </w:r>
    </w:p>
  </w:footnote>
  <w:footnote w:type="continuationSeparator" w:id="0">
    <w:p w14:paraId="69C0A458" w14:textId="77777777" w:rsidR="006B3825" w:rsidRDefault="006B3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8A531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28CB39C2"/>
    <w:multiLevelType w:val="hybridMultilevel"/>
    <w:tmpl w:val="B6CC4294"/>
    <w:lvl w:ilvl="0" w:tplc="9DA0A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2C122C2"/>
    <w:multiLevelType w:val="hybridMultilevel"/>
    <w:tmpl w:val="49CC9E50"/>
    <w:lvl w:ilvl="0" w:tplc="7EF4BE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7188994">
    <w:abstractNumId w:val="1"/>
  </w:num>
  <w:num w:numId="2" w16cid:durableId="2101755977">
    <w:abstractNumId w:val="6"/>
  </w:num>
  <w:num w:numId="3" w16cid:durableId="1703433007">
    <w:abstractNumId w:val="5"/>
  </w:num>
  <w:num w:numId="4" w16cid:durableId="73939810">
    <w:abstractNumId w:val="4"/>
  </w:num>
  <w:num w:numId="5" w16cid:durableId="1329214146">
    <w:abstractNumId w:val="0"/>
  </w:num>
  <w:num w:numId="6" w16cid:durableId="232811624">
    <w:abstractNumId w:val="7"/>
  </w:num>
  <w:num w:numId="7" w16cid:durableId="616330007">
    <w:abstractNumId w:val="8"/>
  </w:num>
  <w:num w:numId="8" w16cid:durableId="2001536055">
    <w:abstractNumId w:val="3"/>
  </w:num>
  <w:num w:numId="9" w16cid:durableId="1993195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11506"/>
    <w:rsid w:val="00020BBB"/>
    <w:rsid w:val="00056024"/>
    <w:rsid w:val="00095AE1"/>
    <w:rsid w:val="000A65F5"/>
    <w:rsid w:val="000A6B6C"/>
    <w:rsid w:val="000B0DBB"/>
    <w:rsid w:val="00111E71"/>
    <w:rsid w:val="00127C6A"/>
    <w:rsid w:val="001363FE"/>
    <w:rsid w:val="0017132B"/>
    <w:rsid w:val="001F4CA3"/>
    <w:rsid w:val="001F612A"/>
    <w:rsid w:val="00211396"/>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440CB"/>
    <w:rsid w:val="004713D2"/>
    <w:rsid w:val="0048455F"/>
    <w:rsid w:val="004951BB"/>
    <w:rsid w:val="00521639"/>
    <w:rsid w:val="00532BB7"/>
    <w:rsid w:val="005332E4"/>
    <w:rsid w:val="0053550C"/>
    <w:rsid w:val="00555018"/>
    <w:rsid w:val="00556389"/>
    <w:rsid w:val="00562CE5"/>
    <w:rsid w:val="005723DC"/>
    <w:rsid w:val="00575E68"/>
    <w:rsid w:val="00593E8D"/>
    <w:rsid w:val="005B5F6A"/>
    <w:rsid w:val="006210DC"/>
    <w:rsid w:val="0064349D"/>
    <w:rsid w:val="006664E5"/>
    <w:rsid w:val="00685549"/>
    <w:rsid w:val="006B3825"/>
    <w:rsid w:val="006B7365"/>
    <w:rsid w:val="006C2D81"/>
    <w:rsid w:val="006C7DF8"/>
    <w:rsid w:val="00750FC8"/>
    <w:rsid w:val="007533D0"/>
    <w:rsid w:val="00755069"/>
    <w:rsid w:val="0076769B"/>
    <w:rsid w:val="007727CE"/>
    <w:rsid w:val="007B0660"/>
    <w:rsid w:val="007E3868"/>
    <w:rsid w:val="007F5EB6"/>
    <w:rsid w:val="008022C8"/>
    <w:rsid w:val="00820C41"/>
    <w:rsid w:val="00850256"/>
    <w:rsid w:val="008A531C"/>
    <w:rsid w:val="0093686F"/>
    <w:rsid w:val="00942FD4"/>
    <w:rsid w:val="00951997"/>
    <w:rsid w:val="00951F27"/>
    <w:rsid w:val="00990352"/>
    <w:rsid w:val="00A03405"/>
    <w:rsid w:val="00A1528A"/>
    <w:rsid w:val="00A33918"/>
    <w:rsid w:val="00A7629F"/>
    <w:rsid w:val="00AF0CEE"/>
    <w:rsid w:val="00B14781"/>
    <w:rsid w:val="00B65B2E"/>
    <w:rsid w:val="00B667AD"/>
    <w:rsid w:val="00B84C38"/>
    <w:rsid w:val="00B86C00"/>
    <w:rsid w:val="00B947F6"/>
    <w:rsid w:val="00BC6300"/>
    <w:rsid w:val="00BF16AA"/>
    <w:rsid w:val="00C354B8"/>
    <w:rsid w:val="00C52517"/>
    <w:rsid w:val="00C60921"/>
    <w:rsid w:val="00C62936"/>
    <w:rsid w:val="00C653F2"/>
    <w:rsid w:val="00C679E6"/>
    <w:rsid w:val="00C908F9"/>
    <w:rsid w:val="00CA0917"/>
    <w:rsid w:val="00CA1099"/>
    <w:rsid w:val="00CF3C02"/>
    <w:rsid w:val="00D417C2"/>
    <w:rsid w:val="00D60936"/>
    <w:rsid w:val="00D709EB"/>
    <w:rsid w:val="00D74714"/>
    <w:rsid w:val="00D82F3F"/>
    <w:rsid w:val="00D921C6"/>
    <w:rsid w:val="00D958C2"/>
    <w:rsid w:val="00E04AB5"/>
    <w:rsid w:val="00E50EEA"/>
    <w:rsid w:val="00E52F58"/>
    <w:rsid w:val="00EC26AA"/>
    <w:rsid w:val="00EC5D3B"/>
    <w:rsid w:val="00ED7A53"/>
    <w:rsid w:val="00EE4273"/>
    <w:rsid w:val="00F02004"/>
    <w:rsid w:val="00F042CB"/>
    <w:rsid w:val="00F60A20"/>
    <w:rsid w:val="00FA006A"/>
    <w:rsid w:val="00FA00F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1341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4</cp:revision>
  <cp:lastPrinted>2025-03-06T16:13:00Z</cp:lastPrinted>
  <dcterms:created xsi:type="dcterms:W3CDTF">2025-03-05T18:22:00Z</dcterms:created>
  <dcterms:modified xsi:type="dcterms:W3CDTF">2025-03-06T16:13:00Z</dcterms:modified>
</cp:coreProperties>
</file>