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A8840" w14:textId="0D96A8B1" w:rsidR="1ED44632" w:rsidRPr="00E31DFE" w:rsidRDefault="1ED44632" w:rsidP="61820F22">
      <w:pPr>
        <w:jc w:val="center"/>
        <w:rPr>
          <w:lang w:val="es-PR"/>
        </w:rPr>
      </w:pPr>
      <w:r w:rsidRPr="00E31DFE">
        <w:rPr>
          <w:lang w:val="es-PR"/>
        </w:rPr>
        <w:t>(ENTIRILLADO ELECTRÓNICO)</w:t>
      </w:r>
    </w:p>
    <w:p w14:paraId="05AE0438" w14:textId="77777777" w:rsidR="00A22D3B" w:rsidRPr="00BC63DB" w:rsidRDefault="00A22D3B" w:rsidP="001131EF">
      <w:pPr>
        <w:jc w:val="center"/>
        <w:rPr>
          <w:rFonts w:ascii="Book Antiqua" w:hAnsi="Book Antiqua"/>
          <w:bCs/>
          <w:sz w:val="28"/>
          <w:szCs w:val="28"/>
          <w:lang w:val="es-PR"/>
        </w:rPr>
      </w:pPr>
      <w:r w:rsidRPr="00BC63DB">
        <w:rPr>
          <w:rFonts w:ascii="Book Antiqua" w:hAnsi="Book Antiqua"/>
          <w:bCs/>
          <w:sz w:val="28"/>
          <w:szCs w:val="28"/>
          <w:lang w:val="es-PR"/>
        </w:rPr>
        <w:t>GOBIERNO DE PUERTO RICO</w:t>
      </w:r>
    </w:p>
    <w:p w14:paraId="2F72E3DF" w14:textId="77777777" w:rsidR="0086165E" w:rsidRDefault="0086165E" w:rsidP="001131EF">
      <w:pPr>
        <w:jc w:val="center"/>
        <w:rPr>
          <w:rFonts w:ascii="Book Antiqua" w:eastAsia="Book Antiqua" w:hAnsi="Book Antiqua" w:cs="Book Antiqua"/>
          <w:color w:val="000000" w:themeColor="text1"/>
          <w:lang w:val="es-PR"/>
        </w:rPr>
      </w:pPr>
    </w:p>
    <w:p w14:paraId="2F72E3E0" w14:textId="77777777" w:rsidR="0086165E" w:rsidRDefault="0099207B" w:rsidP="001131EF">
      <w:pPr>
        <w:tabs>
          <w:tab w:val="left" w:pos="648"/>
          <w:tab w:val="right" w:pos="7776"/>
          <w:tab w:val="left" w:pos="7848"/>
        </w:tabs>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20 </w:t>
      </w:r>
      <w:r>
        <w:rPr>
          <w:rFonts w:ascii="Book Antiqua" w:eastAsia="Book Antiqua" w:hAnsi="Book Antiqua" w:cs="Book Antiqua"/>
          <w:color w:val="000000" w:themeColor="text1"/>
          <w:vertAlign w:val="superscript"/>
          <w:lang w:val="es-PR"/>
        </w:rPr>
        <w:t>ma.</w:t>
      </w:r>
      <w:r>
        <w:rPr>
          <w:rFonts w:ascii="Book Antiqua" w:eastAsia="Book Antiqua" w:hAnsi="Book Antiqua" w:cs="Book Antiqua"/>
          <w:color w:val="000000" w:themeColor="text1"/>
          <w:lang w:val="es-PR"/>
        </w:rPr>
        <w:tab/>
        <w:t>Asamblea</w:t>
      </w:r>
      <w:r>
        <w:rPr>
          <w:rFonts w:ascii="Book Antiqua" w:eastAsia="Book Antiqua" w:hAnsi="Book Antiqua" w:cs="Book Antiqua"/>
          <w:color w:val="000000" w:themeColor="text1"/>
          <w:lang w:val="es-PR"/>
        </w:rPr>
        <w:tab/>
        <w:t>1</w:t>
      </w:r>
      <w:r>
        <w:rPr>
          <w:rFonts w:ascii="Book Antiqua" w:eastAsia="Book Antiqua" w:hAnsi="Book Antiqua" w:cs="Book Antiqua"/>
          <w:color w:val="000000" w:themeColor="text1"/>
          <w:vertAlign w:val="superscript"/>
          <w:lang w:val="es-PR"/>
        </w:rPr>
        <w:t>ra.</w:t>
      </w:r>
      <w:r>
        <w:rPr>
          <w:rFonts w:ascii="Book Antiqua" w:eastAsia="Book Antiqua" w:hAnsi="Book Antiqua" w:cs="Book Antiqua"/>
          <w:color w:val="000000" w:themeColor="text1"/>
          <w:vertAlign w:val="superscript"/>
          <w:lang w:val="es-PR"/>
        </w:rPr>
        <w:tab/>
      </w:r>
      <w:r>
        <w:rPr>
          <w:rFonts w:ascii="Book Antiqua" w:eastAsia="Book Antiqua" w:hAnsi="Book Antiqua" w:cs="Book Antiqua"/>
          <w:color w:val="000000" w:themeColor="text1"/>
          <w:lang w:val="es-PR"/>
        </w:rPr>
        <w:t>Sesión</w:t>
      </w:r>
    </w:p>
    <w:p w14:paraId="2F72E3E1" w14:textId="754915E3" w:rsidR="0086165E" w:rsidRDefault="0099207B" w:rsidP="001131EF">
      <w:pPr>
        <w:tabs>
          <w:tab w:val="left" w:pos="648"/>
          <w:tab w:val="right" w:pos="7776"/>
          <w:tab w:val="left" w:pos="7848"/>
        </w:tabs>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ab/>
        <w:t>Legislativa</w:t>
      </w:r>
      <w:r>
        <w:rPr>
          <w:rFonts w:ascii="Book Antiqua" w:eastAsia="Book Antiqua" w:hAnsi="Book Antiqua" w:cs="Book Antiqua"/>
          <w:color w:val="000000" w:themeColor="text1"/>
          <w:lang w:val="es-PR"/>
        </w:rPr>
        <w:tab/>
      </w:r>
      <w:r w:rsidR="3A8339D8">
        <w:rPr>
          <w:rFonts w:ascii="Book Antiqua" w:eastAsia="Book Antiqua" w:hAnsi="Book Antiqua" w:cs="Book Antiqua"/>
          <w:color w:val="000000" w:themeColor="text1"/>
          <w:lang w:val="es-PR"/>
        </w:rPr>
        <w:t xml:space="preserve">    </w:t>
      </w:r>
      <w:r>
        <w:rPr>
          <w:rFonts w:ascii="Book Antiqua" w:eastAsia="Book Antiqua" w:hAnsi="Book Antiqua" w:cs="Book Antiqua"/>
          <w:color w:val="000000" w:themeColor="text1"/>
          <w:lang w:val="es-PR"/>
        </w:rPr>
        <w:t>Ordinaria</w:t>
      </w:r>
    </w:p>
    <w:p w14:paraId="2F72E3E2" w14:textId="77777777" w:rsidR="0086165E" w:rsidRDefault="0086165E" w:rsidP="001131EF">
      <w:pPr>
        <w:rPr>
          <w:rFonts w:ascii="Book Antiqua" w:eastAsia="Book Antiqua" w:hAnsi="Book Antiqua" w:cs="Book Antiqua"/>
          <w:color w:val="000000" w:themeColor="text1"/>
          <w:lang w:val="es-PR"/>
        </w:rPr>
      </w:pPr>
    </w:p>
    <w:p w14:paraId="4B1DE8F2" w14:textId="77777777" w:rsidR="006C4E23" w:rsidRDefault="006C4E23" w:rsidP="001131EF">
      <w:pPr>
        <w:jc w:val="center"/>
        <w:rPr>
          <w:rFonts w:ascii="Book Antiqua" w:eastAsia="Book Antiqua" w:hAnsi="Book Antiqua" w:cs="Book Antiqua"/>
          <w:b/>
          <w:color w:val="000000" w:themeColor="text1"/>
          <w:sz w:val="52"/>
          <w:szCs w:val="52"/>
          <w:lang w:val="es-PR"/>
        </w:rPr>
      </w:pPr>
      <w:r w:rsidRPr="00DF4C50">
        <w:rPr>
          <w:rFonts w:ascii="Book Antiqua" w:hAnsi="Book Antiqua"/>
          <w:b/>
          <w:sz w:val="36"/>
          <w:lang w:val="es-ES"/>
        </w:rPr>
        <w:t>CÁMARA DE REPRESENTANTES</w:t>
      </w:r>
      <w:r>
        <w:rPr>
          <w:rFonts w:ascii="Book Antiqua" w:eastAsia="Book Antiqua" w:hAnsi="Book Antiqua" w:cs="Book Antiqua"/>
          <w:b/>
          <w:color w:val="000000" w:themeColor="text1"/>
          <w:sz w:val="52"/>
          <w:szCs w:val="52"/>
          <w:lang w:val="es-PR"/>
        </w:rPr>
        <w:t xml:space="preserve"> </w:t>
      </w:r>
    </w:p>
    <w:p w14:paraId="7D11F951" w14:textId="77777777" w:rsidR="001131EF" w:rsidRPr="001131EF" w:rsidRDefault="001131EF" w:rsidP="001131EF">
      <w:pPr>
        <w:jc w:val="center"/>
        <w:rPr>
          <w:rFonts w:ascii="Book Antiqua" w:eastAsia="Book Antiqua" w:hAnsi="Book Antiqua" w:cs="Book Antiqua"/>
          <w:b/>
          <w:color w:val="000000" w:themeColor="text1"/>
          <w:lang w:val="es-PR"/>
        </w:rPr>
      </w:pPr>
    </w:p>
    <w:p w14:paraId="2F72E3E4" w14:textId="3AB73EDA" w:rsidR="0086165E" w:rsidRDefault="0099207B" w:rsidP="001131EF">
      <w:pPr>
        <w:jc w:val="center"/>
        <w:rPr>
          <w:rFonts w:ascii="Book Antiqua" w:eastAsia="Book Antiqua" w:hAnsi="Book Antiqua" w:cs="Book Antiqua"/>
          <w:b/>
          <w:color w:val="000000" w:themeColor="text1"/>
          <w:sz w:val="52"/>
          <w:szCs w:val="52"/>
          <w:lang w:val="es-PR"/>
        </w:rPr>
      </w:pPr>
      <w:r>
        <w:rPr>
          <w:rFonts w:ascii="Book Antiqua" w:eastAsia="Book Antiqua" w:hAnsi="Book Antiqua" w:cs="Book Antiqua"/>
          <w:b/>
          <w:color w:val="000000" w:themeColor="text1"/>
          <w:sz w:val="52"/>
          <w:szCs w:val="52"/>
          <w:lang w:val="es-PR"/>
        </w:rPr>
        <w:t>P. de</w:t>
      </w:r>
      <w:r w:rsidR="006C4E23">
        <w:rPr>
          <w:rFonts w:ascii="Book Antiqua" w:eastAsia="Book Antiqua" w:hAnsi="Book Antiqua" w:cs="Book Antiqua"/>
          <w:b/>
          <w:color w:val="000000" w:themeColor="text1"/>
          <w:sz w:val="52"/>
          <w:szCs w:val="52"/>
          <w:lang w:val="es-PR"/>
        </w:rPr>
        <w:t xml:space="preserve"> la C</w:t>
      </w:r>
      <w:r>
        <w:rPr>
          <w:rFonts w:ascii="Book Antiqua" w:eastAsia="Book Antiqua" w:hAnsi="Book Antiqua" w:cs="Book Antiqua"/>
          <w:b/>
          <w:color w:val="000000" w:themeColor="text1"/>
          <w:sz w:val="52"/>
          <w:szCs w:val="52"/>
          <w:lang w:val="es-PR"/>
        </w:rPr>
        <w:t xml:space="preserve">. </w:t>
      </w:r>
      <w:r w:rsidR="006617BC">
        <w:rPr>
          <w:rFonts w:ascii="Book Antiqua" w:eastAsia="Book Antiqua" w:hAnsi="Book Antiqua" w:cs="Book Antiqua"/>
          <w:b/>
          <w:color w:val="000000" w:themeColor="text1"/>
          <w:sz w:val="52"/>
          <w:szCs w:val="52"/>
          <w:lang w:val="es-PR"/>
        </w:rPr>
        <w:t>387</w:t>
      </w:r>
    </w:p>
    <w:p w14:paraId="039FFD61" w14:textId="77777777" w:rsidR="001131EF" w:rsidRPr="001131EF" w:rsidRDefault="001131EF" w:rsidP="001131EF">
      <w:pPr>
        <w:jc w:val="center"/>
        <w:rPr>
          <w:rFonts w:ascii="Book Antiqua" w:eastAsia="Book Antiqua" w:hAnsi="Book Antiqua" w:cs="Book Antiqua"/>
          <w:b/>
          <w:color w:val="000000" w:themeColor="text1"/>
          <w:lang w:val="es-PR"/>
        </w:rPr>
      </w:pPr>
    </w:p>
    <w:p w14:paraId="6E03E3EB" w14:textId="38E1FDF9" w:rsidR="006C4E23" w:rsidRDefault="001131EF" w:rsidP="001131EF">
      <w:pPr>
        <w:jc w:val="center"/>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10 DE MARZO DE 2025</w:t>
      </w:r>
    </w:p>
    <w:p w14:paraId="24DF9322" w14:textId="77777777" w:rsidR="006C4E23" w:rsidRDefault="006C4E23" w:rsidP="001131EF">
      <w:pPr>
        <w:jc w:val="center"/>
        <w:rPr>
          <w:rFonts w:ascii="Book Antiqua" w:eastAsia="Book Antiqua" w:hAnsi="Book Antiqua" w:cs="Book Antiqua"/>
          <w:color w:val="000000" w:themeColor="text1"/>
          <w:lang w:val="es-PR"/>
        </w:rPr>
      </w:pPr>
    </w:p>
    <w:p w14:paraId="0D749A65" w14:textId="018874E2" w:rsidR="006C4E23" w:rsidRDefault="0099207B" w:rsidP="001131EF">
      <w:pPr>
        <w:ind w:left="810" w:hanging="810"/>
        <w:jc w:val="both"/>
        <w:rPr>
          <w:rFonts w:ascii="Book Antiqua" w:eastAsia="Aptos" w:hAnsi="Book Antiqua"/>
          <w:i/>
          <w:iCs/>
          <w:kern w:val="2"/>
          <w:lang w:val="es-ES"/>
          <w14:ligatures w14:val="standardContextual"/>
        </w:rPr>
      </w:pPr>
      <w:bookmarkStart w:id="0" w:name="_heading=h.gjdgxs" w:colFirst="0" w:colLast="0"/>
      <w:bookmarkEnd w:id="0"/>
      <w:r>
        <w:rPr>
          <w:rFonts w:ascii="Book Antiqua" w:eastAsia="Book Antiqua" w:hAnsi="Book Antiqua" w:cs="Book Antiqua"/>
          <w:color w:val="000000" w:themeColor="text1"/>
          <w:lang w:val="es-PR"/>
        </w:rPr>
        <w:t xml:space="preserve">Presentado por </w:t>
      </w:r>
      <w:r w:rsidR="006C4E23" w:rsidRPr="00BC63DB">
        <w:rPr>
          <w:rFonts w:ascii="Book Antiqua" w:hAnsi="Book Antiqua"/>
          <w:lang w:val="es-ES"/>
        </w:rPr>
        <w:t xml:space="preserve">el representante </w:t>
      </w:r>
      <w:r w:rsidR="006C4E23" w:rsidRPr="00BC63DB">
        <w:rPr>
          <w:rFonts w:ascii="Book Antiqua" w:hAnsi="Book Antiqua"/>
          <w:i/>
          <w:iCs/>
          <w:lang w:val="es-PR"/>
        </w:rPr>
        <w:t>Méndez Núñez</w:t>
      </w:r>
      <w:r w:rsidR="006C4E23">
        <w:rPr>
          <w:rFonts w:ascii="Book Antiqua" w:hAnsi="Book Antiqua"/>
          <w:i/>
          <w:iCs/>
          <w:lang w:val="es-PR"/>
        </w:rPr>
        <w:t>;</w:t>
      </w:r>
      <w:r w:rsidR="006C4E23" w:rsidRPr="00BC63DB">
        <w:rPr>
          <w:rFonts w:ascii="Book Antiqua" w:hAnsi="Book Antiqua"/>
          <w:i/>
          <w:iCs/>
          <w:lang w:val="es-PR"/>
        </w:rPr>
        <w:t xml:space="preserve"> </w:t>
      </w:r>
      <w:r w:rsidR="006C4E23" w:rsidRPr="00BC63DB">
        <w:rPr>
          <w:rFonts w:ascii="Book Antiqua" w:eastAsia="Aptos" w:hAnsi="Book Antiqua"/>
          <w:kern w:val="2"/>
          <w:lang w:val="es-ES"/>
          <w14:ligatures w14:val="standardContextual"/>
        </w:rPr>
        <w:t>la representante</w:t>
      </w:r>
      <w:r w:rsidR="006C4E23" w:rsidRPr="00BC63DB">
        <w:rPr>
          <w:rFonts w:ascii="Book Antiqua" w:eastAsia="Aptos" w:hAnsi="Book Antiqua"/>
          <w:i/>
          <w:iCs/>
          <w:kern w:val="2"/>
          <w:lang w:val="es-ES"/>
          <w14:ligatures w14:val="standardContextual"/>
        </w:rPr>
        <w:t xml:space="preserve"> Lebrón Rodríguez;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Peña Ramírez, Torres Zamora, Román López, Aponte Hernández, Carlo Acosta, </w:t>
      </w:r>
      <w:proofErr w:type="spellStart"/>
      <w:r w:rsidR="006C4E23" w:rsidRPr="00BC63DB">
        <w:rPr>
          <w:rFonts w:ascii="Book Antiqua" w:eastAsia="Aptos" w:hAnsi="Book Antiqua"/>
          <w:i/>
          <w:iCs/>
          <w:kern w:val="2"/>
          <w:lang w:val="es-ES"/>
          <w14:ligatures w14:val="standardContextual"/>
        </w:rPr>
        <w:t>Charbonier</w:t>
      </w:r>
      <w:proofErr w:type="spellEnd"/>
      <w:r w:rsidR="006C4E23" w:rsidRPr="00BC63DB">
        <w:rPr>
          <w:rFonts w:ascii="Book Antiqua" w:eastAsia="Aptos" w:hAnsi="Book Antiqua"/>
          <w:i/>
          <w:iCs/>
          <w:kern w:val="2"/>
          <w:lang w:val="es-ES"/>
          <w14:ligatures w14:val="standardContextual"/>
        </w:rPr>
        <w:t xml:space="preserve"> Chinea, Colón Rodríguez; </w:t>
      </w:r>
      <w:r w:rsidR="006C4E23" w:rsidRPr="00BC63DB">
        <w:rPr>
          <w:rFonts w:ascii="Book Antiqua" w:eastAsia="Aptos" w:hAnsi="Book Antiqua"/>
          <w:kern w:val="2"/>
          <w:lang w:val="es-ES"/>
          <w14:ligatures w14:val="standardContextual"/>
        </w:rPr>
        <w:t>la representante</w:t>
      </w:r>
      <w:r w:rsidR="006C4E23" w:rsidRPr="00BC63DB">
        <w:rPr>
          <w:rFonts w:ascii="Book Antiqua" w:eastAsia="Aptos" w:hAnsi="Book Antiqua"/>
          <w:i/>
          <w:iCs/>
          <w:kern w:val="2"/>
          <w:lang w:val="es-ES"/>
          <w14:ligatures w14:val="standardContextual"/>
        </w:rPr>
        <w:t xml:space="preserve"> del Valle Correa;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Estévez Vélez, </w:t>
      </w:r>
      <w:proofErr w:type="spellStart"/>
      <w:r w:rsidR="006C4E23" w:rsidRPr="00BC63DB">
        <w:rPr>
          <w:rFonts w:ascii="Book Antiqua" w:eastAsia="Aptos" w:hAnsi="Book Antiqua"/>
          <w:i/>
          <w:iCs/>
          <w:kern w:val="2"/>
          <w:lang w:val="es-ES"/>
          <w14:ligatures w14:val="standardContextual"/>
        </w:rPr>
        <w:t>Franqui</w:t>
      </w:r>
      <w:proofErr w:type="spellEnd"/>
      <w:r w:rsidR="006C4E23" w:rsidRPr="00BC63DB">
        <w:rPr>
          <w:rFonts w:ascii="Book Antiqua" w:eastAsia="Aptos" w:hAnsi="Book Antiqua"/>
          <w:i/>
          <w:iCs/>
          <w:kern w:val="2"/>
          <w:lang w:val="es-ES"/>
          <w14:ligatures w14:val="standardContextual"/>
        </w:rPr>
        <w:t xml:space="preserve"> </w:t>
      </w:r>
      <w:proofErr w:type="spellStart"/>
      <w:r w:rsidR="006C4E23" w:rsidRPr="00BC63DB">
        <w:rPr>
          <w:rFonts w:ascii="Book Antiqua" w:eastAsia="Aptos" w:hAnsi="Book Antiqua"/>
          <w:i/>
          <w:iCs/>
          <w:kern w:val="2"/>
          <w:lang w:val="es-ES"/>
          <w14:ligatures w14:val="standardContextual"/>
        </w:rPr>
        <w:t>Atiles</w:t>
      </w:r>
      <w:proofErr w:type="spellEnd"/>
      <w:r w:rsidR="006C4E23" w:rsidRPr="00BC63DB">
        <w:rPr>
          <w:rFonts w:ascii="Book Antiqua" w:eastAsia="Aptos" w:hAnsi="Book Antiqua"/>
          <w:i/>
          <w:iCs/>
          <w:kern w:val="2"/>
          <w:lang w:val="es-ES"/>
          <w14:ligatures w14:val="standardContextual"/>
        </w:rPr>
        <w:t xml:space="preserve">; </w:t>
      </w:r>
      <w:r w:rsidR="006C4E23" w:rsidRPr="00BC63DB">
        <w:rPr>
          <w:rFonts w:ascii="Book Antiqua" w:eastAsia="Aptos" w:hAnsi="Book Antiqua"/>
          <w:kern w:val="2"/>
          <w:lang w:val="es-ES"/>
          <w14:ligatures w14:val="standardContextual"/>
        </w:rPr>
        <w:t>las representantes</w:t>
      </w:r>
      <w:r w:rsidR="006C4E23" w:rsidRPr="00BC63DB">
        <w:rPr>
          <w:rFonts w:ascii="Book Antiqua" w:eastAsia="Aptos" w:hAnsi="Book Antiqua"/>
          <w:i/>
          <w:iCs/>
          <w:kern w:val="2"/>
          <w:lang w:val="es-ES"/>
          <w14:ligatures w14:val="standardContextual"/>
        </w:rPr>
        <w:t xml:space="preserve"> González Aguayo, González </w:t>
      </w:r>
      <w:proofErr w:type="spellStart"/>
      <w:r w:rsidR="006C4E23" w:rsidRPr="00BC63DB">
        <w:rPr>
          <w:rFonts w:ascii="Book Antiqua" w:eastAsia="Aptos" w:hAnsi="Book Antiqua"/>
          <w:i/>
          <w:iCs/>
          <w:kern w:val="2"/>
          <w:lang w:val="es-ES"/>
          <w14:ligatures w14:val="standardContextual"/>
        </w:rPr>
        <w:t>González</w:t>
      </w:r>
      <w:proofErr w:type="spellEnd"/>
      <w:r w:rsidR="006C4E23" w:rsidRPr="00BC63DB">
        <w:rPr>
          <w:rFonts w:ascii="Book Antiqua" w:eastAsia="Aptos" w:hAnsi="Book Antiqua"/>
          <w:i/>
          <w:iCs/>
          <w:kern w:val="2"/>
          <w:lang w:val="es-ES"/>
          <w14:ligatures w14:val="standardContextual"/>
        </w:rPr>
        <w:t xml:space="preserve">;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Hernández Concepción, Jiménez Torres; </w:t>
      </w:r>
      <w:r w:rsidR="006C4E23" w:rsidRPr="00BC63DB">
        <w:rPr>
          <w:rFonts w:ascii="Book Antiqua" w:eastAsia="Aptos" w:hAnsi="Book Antiqua"/>
          <w:kern w:val="2"/>
          <w:lang w:val="es-ES"/>
          <w14:ligatures w14:val="standardContextual"/>
        </w:rPr>
        <w:t>las representantes</w:t>
      </w:r>
      <w:r w:rsidR="006C4E23" w:rsidRPr="00BC63DB">
        <w:rPr>
          <w:rFonts w:ascii="Book Antiqua" w:eastAsia="Aptos" w:hAnsi="Book Antiqua"/>
          <w:i/>
          <w:iCs/>
          <w:kern w:val="2"/>
          <w:lang w:val="es-ES"/>
          <w14:ligatures w14:val="standardContextual"/>
        </w:rPr>
        <w:t xml:space="preserve"> Martínez Vázquez, Medina Calderón;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w:t>
      </w:r>
      <w:proofErr w:type="spellStart"/>
      <w:r w:rsidR="006C4E23" w:rsidRPr="00BC63DB">
        <w:rPr>
          <w:rFonts w:ascii="Book Antiqua" w:eastAsia="Aptos" w:hAnsi="Book Antiqua"/>
          <w:i/>
          <w:iCs/>
          <w:kern w:val="2"/>
          <w:lang w:val="es-ES"/>
          <w14:ligatures w14:val="standardContextual"/>
        </w:rPr>
        <w:t>Morey</w:t>
      </w:r>
      <w:proofErr w:type="spellEnd"/>
      <w:r w:rsidR="006C4E23" w:rsidRPr="00BC63DB">
        <w:rPr>
          <w:rFonts w:ascii="Book Antiqua" w:eastAsia="Aptos" w:hAnsi="Book Antiqua"/>
          <w:i/>
          <w:iCs/>
          <w:kern w:val="2"/>
          <w:lang w:val="es-ES"/>
          <w14:ligatures w14:val="standardContextual"/>
        </w:rPr>
        <w:t xml:space="preserve"> Noble, Muriel Sánchez, Navarro Suárez, Nieves, Rosario, Ocasio Ramos, Pacheco Burgos, Parés Otero; </w:t>
      </w:r>
      <w:r w:rsidR="006C4E23" w:rsidRPr="00BC63DB">
        <w:rPr>
          <w:rFonts w:ascii="Book Antiqua" w:eastAsia="Aptos" w:hAnsi="Book Antiqua"/>
          <w:kern w:val="2"/>
          <w:lang w:val="es-ES"/>
          <w14:ligatures w14:val="standardContextual"/>
        </w:rPr>
        <w:t>la representante</w:t>
      </w:r>
      <w:r w:rsidR="006C4E23" w:rsidRPr="00BC63DB">
        <w:rPr>
          <w:rFonts w:ascii="Book Antiqua" w:eastAsia="Aptos" w:hAnsi="Book Antiqua"/>
          <w:i/>
          <w:iCs/>
          <w:kern w:val="2"/>
          <w:lang w:val="es-ES"/>
          <w14:ligatures w14:val="standardContextual"/>
        </w:rPr>
        <w:t xml:space="preserve"> Peña Dávila;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Pérez Cordero, Pérez Ortiz; </w:t>
      </w:r>
      <w:r w:rsidR="006C4E23" w:rsidRPr="00BC63DB">
        <w:rPr>
          <w:rFonts w:ascii="Book Antiqua" w:eastAsia="Aptos" w:hAnsi="Book Antiqua"/>
          <w:kern w:val="2"/>
          <w:lang w:val="es-ES"/>
          <w14:ligatures w14:val="standardContextual"/>
        </w:rPr>
        <w:t>las representantes</w:t>
      </w:r>
      <w:r w:rsidR="006C4E23" w:rsidRPr="00BC63DB">
        <w:rPr>
          <w:rFonts w:ascii="Book Antiqua" w:eastAsia="Aptos" w:hAnsi="Book Antiqua"/>
          <w:i/>
          <w:iCs/>
          <w:kern w:val="2"/>
          <w:lang w:val="es-ES"/>
          <w14:ligatures w14:val="standardContextual"/>
        </w:rPr>
        <w:t xml:space="preserve"> Pérez Ramírez, Ramos Rivera;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Robles Rivera, Rodríguez Aguiló, Rodríguez Torres, Roque Gracia, Sanabria Colón y Santiago Guzmán</w:t>
      </w:r>
    </w:p>
    <w:p w14:paraId="619A291A" w14:textId="77777777" w:rsidR="006C4E23" w:rsidRPr="006C4E23" w:rsidRDefault="006C4E23" w:rsidP="001131EF">
      <w:pPr>
        <w:ind w:left="810" w:hanging="810"/>
        <w:jc w:val="both"/>
        <w:rPr>
          <w:rFonts w:ascii="Book Antiqua" w:eastAsia="Aptos" w:hAnsi="Book Antiqua"/>
          <w:i/>
          <w:iCs/>
          <w:kern w:val="2"/>
          <w:lang w:val="es-ES"/>
          <w14:ligatures w14:val="standardContextual"/>
        </w:rPr>
      </w:pPr>
    </w:p>
    <w:p w14:paraId="2F72E3E9" w14:textId="1972CBDB" w:rsidR="0086165E" w:rsidRPr="001131EF" w:rsidRDefault="0099207B" w:rsidP="001131EF">
      <w:pPr>
        <w:ind w:left="720" w:hanging="630"/>
        <w:jc w:val="center"/>
        <w:rPr>
          <w:rFonts w:ascii="Book Antiqua" w:eastAsia="Book Antiqua" w:hAnsi="Book Antiqua" w:cs="Book Antiqua"/>
          <w:iCs/>
          <w:color w:val="000000" w:themeColor="text1"/>
          <w:lang w:val="es-PR"/>
        </w:rPr>
      </w:pPr>
      <w:r w:rsidRPr="001131EF">
        <w:rPr>
          <w:rFonts w:ascii="Book Antiqua" w:eastAsia="Book Antiqua" w:hAnsi="Book Antiqua" w:cs="Book Antiqua"/>
          <w:iCs/>
          <w:color w:val="000000" w:themeColor="text1"/>
          <w:lang w:val="es-PR"/>
        </w:rPr>
        <w:t>Referido a</w:t>
      </w:r>
      <w:r w:rsidR="001131EF">
        <w:rPr>
          <w:rFonts w:ascii="Book Antiqua" w:eastAsia="Book Antiqua" w:hAnsi="Book Antiqua" w:cs="Book Antiqua"/>
          <w:iCs/>
          <w:color w:val="000000" w:themeColor="text1"/>
          <w:lang w:val="es-PR"/>
        </w:rPr>
        <w:t xml:space="preserve"> las Comisiones de Gobierno; y de Adultos Mayores y Bienestar Social</w:t>
      </w:r>
    </w:p>
    <w:p w14:paraId="6D8A4821" w14:textId="77777777" w:rsidR="00A22D3B" w:rsidRPr="00A22D3B" w:rsidRDefault="00A22D3B" w:rsidP="001131EF">
      <w:pPr>
        <w:jc w:val="center"/>
        <w:rPr>
          <w:rFonts w:ascii="Book Antiqua" w:eastAsia="Book Antiqua" w:hAnsi="Book Antiqua" w:cs="Book Antiqua"/>
          <w:i/>
          <w:color w:val="000000" w:themeColor="text1"/>
          <w:lang w:val="es-PR"/>
        </w:rPr>
      </w:pPr>
    </w:p>
    <w:p w14:paraId="2F72E3EA" w14:textId="77777777" w:rsidR="0086165E" w:rsidRDefault="0099207B" w:rsidP="001131EF">
      <w:pPr>
        <w:jc w:val="center"/>
        <w:rPr>
          <w:rFonts w:ascii="Book Antiqua" w:eastAsia="Book Antiqua" w:hAnsi="Book Antiqua" w:cs="Book Antiqua"/>
          <w:b/>
          <w:color w:val="000000" w:themeColor="text1"/>
          <w:sz w:val="28"/>
          <w:szCs w:val="28"/>
          <w:lang w:val="es-PR"/>
        </w:rPr>
      </w:pPr>
      <w:r>
        <w:rPr>
          <w:rFonts w:ascii="Book Antiqua" w:eastAsia="Book Antiqua" w:hAnsi="Book Antiqua" w:cs="Book Antiqua"/>
          <w:b/>
          <w:color w:val="000000" w:themeColor="text1"/>
          <w:sz w:val="28"/>
          <w:szCs w:val="28"/>
          <w:lang w:val="es-PR"/>
        </w:rPr>
        <w:t>LEY</w:t>
      </w:r>
    </w:p>
    <w:p w14:paraId="2F72E3EB" w14:textId="77777777" w:rsidR="0086165E" w:rsidRDefault="0086165E" w:rsidP="001131EF">
      <w:pPr>
        <w:jc w:val="both"/>
        <w:rPr>
          <w:rFonts w:ascii="Book Antiqua" w:eastAsia="Book Antiqua" w:hAnsi="Book Antiqua" w:cs="Book Antiqua"/>
          <w:color w:val="000000" w:themeColor="text1"/>
          <w:lang w:val="es-PR"/>
        </w:rPr>
      </w:pPr>
    </w:p>
    <w:p w14:paraId="65021695" w14:textId="1EDAFACF" w:rsidR="00BA3DAB" w:rsidRPr="002F48BA" w:rsidRDefault="0099207B" w:rsidP="001131EF">
      <w:pPr>
        <w:ind w:left="540" w:hanging="540"/>
        <w:jc w:val="both"/>
        <w:rPr>
          <w:rFonts w:ascii="Book Antiqua" w:eastAsia="Book Antiqua" w:hAnsi="Book Antiqua" w:cs="Book Antiqua"/>
          <w:color w:val="000000" w:themeColor="text1"/>
          <w:lang w:val="es-PR"/>
        </w:rPr>
      </w:pPr>
      <w:r w:rsidRPr="61820F22">
        <w:rPr>
          <w:rFonts w:ascii="Book Antiqua" w:eastAsia="Book Antiqua" w:hAnsi="Book Antiqua" w:cs="Book Antiqua"/>
          <w:color w:val="000000" w:themeColor="text1"/>
          <w:lang w:val="es-PR"/>
        </w:rPr>
        <w:t xml:space="preserve">Para </w:t>
      </w:r>
      <w:r w:rsidR="00BA3DAB" w:rsidRPr="61820F22">
        <w:rPr>
          <w:rFonts w:ascii="Book Antiqua" w:eastAsia="Book Antiqua" w:hAnsi="Book Antiqua" w:cs="Book Antiqua"/>
          <w:color w:val="000000" w:themeColor="text1"/>
          <w:lang w:val="es-PR"/>
        </w:rPr>
        <w:t>establecer la “Ley del Expediente Digital Único para Personas con Diversidad Funcional” y ordenar a</w:t>
      </w:r>
      <w:r w:rsidR="008D6F92" w:rsidRPr="61820F22">
        <w:rPr>
          <w:rFonts w:ascii="Book Antiqua" w:eastAsia="Book Antiqua" w:hAnsi="Book Antiqua" w:cs="Book Antiqua"/>
          <w:color w:val="000000" w:themeColor="text1"/>
          <w:lang w:val="es-PR"/>
        </w:rPr>
        <w:t xml:space="preserve"> la</w:t>
      </w:r>
      <w:r w:rsidR="00BA3DAB" w:rsidRPr="61820F22">
        <w:rPr>
          <w:rFonts w:ascii="Book Antiqua" w:eastAsia="Book Antiqua" w:hAnsi="Book Antiqua" w:cs="Book Antiqua"/>
          <w:color w:val="000000" w:themeColor="text1"/>
          <w:lang w:val="es-PR"/>
        </w:rPr>
        <w:t xml:space="preserve"> </w:t>
      </w:r>
      <w:r w:rsidR="008D6F92" w:rsidRPr="61820F22">
        <w:rPr>
          <w:rFonts w:ascii="Book Antiqua" w:eastAsia="Book Antiqua" w:hAnsi="Book Antiqua" w:cs="Book Antiqua"/>
          <w:color w:val="000000" w:themeColor="text1"/>
          <w:lang w:val="es-PR"/>
        </w:rPr>
        <w:t>“</w:t>
      </w:r>
      <w:r w:rsidR="00BA3DAB" w:rsidRPr="61820F22">
        <w:rPr>
          <w:rFonts w:ascii="Book Antiqua" w:eastAsia="Book Antiqua" w:hAnsi="Book Antiqua" w:cs="Book Antiqua"/>
          <w:color w:val="000000" w:themeColor="text1"/>
          <w:lang w:val="es-PR"/>
        </w:rPr>
        <w:t xml:space="preserve">Puerto Rico </w:t>
      </w:r>
      <w:proofErr w:type="spellStart"/>
      <w:r w:rsidR="00BA3DAB" w:rsidRPr="61820F22">
        <w:rPr>
          <w:rFonts w:ascii="Book Antiqua" w:eastAsia="Book Antiqua" w:hAnsi="Book Antiqua" w:cs="Book Antiqua"/>
          <w:color w:val="000000" w:themeColor="text1"/>
          <w:lang w:val="es-PR"/>
        </w:rPr>
        <w:t>Innovation</w:t>
      </w:r>
      <w:proofErr w:type="spellEnd"/>
      <w:r w:rsidR="00BA3DAB" w:rsidRPr="61820F22">
        <w:rPr>
          <w:rFonts w:ascii="Book Antiqua" w:eastAsia="Book Antiqua" w:hAnsi="Book Antiqua" w:cs="Book Antiqua"/>
          <w:color w:val="000000" w:themeColor="text1"/>
          <w:lang w:val="es-PR"/>
        </w:rPr>
        <w:t xml:space="preserve"> and </w:t>
      </w:r>
      <w:proofErr w:type="spellStart"/>
      <w:r w:rsidR="00BA3DAB" w:rsidRPr="61820F22">
        <w:rPr>
          <w:rFonts w:ascii="Book Antiqua" w:eastAsia="Book Antiqua" w:hAnsi="Book Antiqua" w:cs="Book Antiqua"/>
          <w:color w:val="000000" w:themeColor="text1"/>
          <w:lang w:val="es-PR"/>
        </w:rPr>
        <w:t>Technology</w:t>
      </w:r>
      <w:proofErr w:type="spellEnd"/>
      <w:r w:rsidR="00BA3DAB" w:rsidRPr="61820F22">
        <w:rPr>
          <w:rFonts w:ascii="Book Antiqua" w:eastAsia="Book Antiqua" w:hAnsi="Book Antiqua" w:cs="Book Antiqua"/>
          <w:color w:val="000000" w:themeColor="text1"/>
          <w:lang w:val="es-PR"/>
        </w:rPr>
        <w:t xml:space="preserve"> </w:t>
      </w:r>
      <w:proofErr w:type="spellStart"/>
      <w:r w:rsidR="00BA3DAB" w:rsidRPr="61820F22">
        <w:rPr>
          <w:rFonts w:ascii="Book Antiqua" w:eastAsia="Book Antiqua" w:hAnsi="Book Antiqua" w:cs="Book Antiqua"/>
          <w:color w:val="000000" w:themeColor="text1"/>
          <w:lang w:val="es-PR"/>
        </w:rPr>
        <w:t>Service</w:t>
      </w:r>
      <w:proofErr w:type="spellEnd"/>
      <w:r w:rsidR="008D6F92" w:rsidRPr="61820F22">
        <w:rPr>
          <w:rFonts w:ascii="Book Antiqua" w:eastAsia="Book Antiqua" w:hAnsi="Book Antiqua" w:cs="Book Antiqua"/>
          <w:color w:val="000000" w:themeColor="text1"/>
          <w:lang w:val="es-PR"/>
        </w:rPr>
        <w:t>”</w:t>
      </w:r>
      <w:r w:rsidR="00BA3DAB" w:rsidRPr="61820F22">
        <w:rPr>
          <w:rFonts w:ascii="Book Antiqua" w:eastAsia="Book Antiqua" w:hAnsi="Book Antiqua" w:cs="Book Antiqua"/>
          <w:color w:val="000000" w:themeColor="text1"/>
          <w:lang w:val="es-PR"/>
        </w:rPr>
        <w:t xml:space="preserve"> (PRITS) la creación, implementación y mantenimiento de un expediente digital centralizado que contenga información sobre los servicios prestados por el Departamento de Salud, </w:t>
      </w:r>
      <w:r w:rsidR="00BA3DAB" w:rsidRPr="61820F22">
        <w:rPr>
          <w:rFonts w:ascii="Book Antiqua" w:eastAsia="Book Antiqua" w:hAnsi="Book Antiqua" w:cs="Book Antiqua"/>
          <w:i/>
          <w:iCs/>
          <w:color w:val="000000" w:themeColor="text1"/>
          <w:u w:val="single"/>
          <w:lang w:val="es-PR"/>
        </w:rPr>
        <w:t>e</w:t>
      </w:r>
      <w:r w:rsidR="2E98655B" w:rsidRPr="61820F22">
        <w:rPr>
          <w:rFonts w:ascii="Book Antiqua" w:eastAsia="Book Antiqua" w:hAnsi="Book Antiqua" w:cs="Book Antiqua"/>
          <w:i/>
          <w:iCs/>
          <w:color w:val="000000" w:themeColor="text1"/>
          <w:u w:val="single"/>
          <w:lang w:val="es-PR"/>
        </w:rPr>
        <w:t>l Departamento de la Familia,</w:t>
      </w:r>
      <w:r w:rsidR="2E98655B" w:rsidRPr="61820F22">
        <w:rPr>
          <w:rFonts w:ascii="Book Antiqua" w:eastAsia="Book Antiqua" w:hAnsi="Book Antiqua" w:cs="Book Antiqua"/>
          <w:color w:val="000000" w:themeColor="text1"/>
          <w:lang w:val="es-PR"/>
        </w:rPr>
        <w:t xml:space="preserve"> e</w:t>
      </w:r>
      <w:r w:rsidR="00BA3DAB" w:rsidRPr="61820F22">
        <w:rPr>
          <w:rFonts w:ascii="Book Antiqua" w:eastAsia="Book Antiqua" w:hAnsi="Book Antiqua" w:cs="Book Antiqua"/>
          <w:color w:val="000000" w:themeColor="text1"/>
          <w:lang w:val="es-PR"/>
        </w:rPr>
        <w:t xml:space="preserve">l Departamento de Educación y la Administración de Rehabilitación Vocacional a personas con diversidad funcional; establecer los deberes de las agencias concernidas; y para otros fines relacionados. </w:t>
      </w:r>
    </w:p>
    <w:p w14:paraId="1C293FBE" w14:textId="77777777" w:rsidR="00BA3DAB" w:rsidRPr="002F48BA" w:rsidRDefault="00BA3DAB" w:rsidP="001131EF">
      <w:pPr>
        <w:ind w:left="540" w:hanging="540"/>
        <w:jc w:val="both"/>
        <w:rPr>
          <w:rFonts w:ascii="Book Antiqua" w:eastAsia="Book Antiqua" w:hAnsi="Book Antiqua" w:cs="Book Antiqua"/>
          <w:color w:val="000000" w:themeColor="text1"/>
          <w:lang w:val="es-PR"/>
        </w:rPr>
      </w:pPr>
    </w:p>
    <w:p w14:paraId="07F6FAEE" w14:textId="757F1C9C" w:rsidR="00A22D3B" w:rsidRDefault="00A22D3B" w:rsidP="001131EF">
      <w:pPr>
        <w:ind w:left="540" w:hanging="540"/>
        <w:jc w:val="both"/>
        <w:rPr>
          <w:rFonts w:ascii="Book Antiqua" w:eastAsia="Book Antiqua" w:hAnsi="Book Antiqua" w:cs="Book Antiqua"/>
          <w:color w:val="000000" w:themeColor="text1"/>
          <w:lang w:val="es-PR"/>
        </w:rPr>
      </w:pPr>
    </w:p>
    <w:p w14:paraId="27D49318" w14:textId="29052DD7" w:rsidR="00A22D3B" w:rsidRDefault="00A22D3B" w:rsidP="001131EF">
      <w:pPr>
        <w:jc w:val="center"/>
        <w:rPr>
          <w:rFonts w:ascii="Book Antiqua" w:hAnsi="Book Antiqua"/>
          <w:bCs/>
          <w:lang w:val="es-PR"/>
        </w:rPr>
      </w:pPr>
      <w:r w:rsidRPr="00BC63DB">
        <w:rPr>
          <w:rFonts w:ascii="Book Antiqua" w:hAnsi="Book Antiqua"/>
          <w:bCs/>
          <w:lang w:val="es-PR"/>
        </w:rPr>
        <w:t>EXPOSICIÓN DE MOTIVOS</w:t>
      </w:r>
    </w:p>
    <w:p w14:paraId="43A7CB5F" w14:textId="77777777" w:rsidR="00A22D3B" w:rsidRPr="00A22D3B" w:rsidRDefault="00A22D3B" w:rsidP="001131EF">
      <w:pPr>
        <w:jc w:val="center"/>
        <w:rPr>
          <w:rFonts w:ascii="Book Antiqua" w:hAnsi="Book Antiqua"/>
          <w:bCs/>
          <w:lang w:val="es-PR"/>
        </w:rPr>
      </w:pPr>
    </w:p>
    <w:p w14:paraId="6CAADC69" w14:textId="216DBFC5" w:rsidR="00BA3DAB" w:rsidRDefault="00BA3DAB" w:rsidP="001131EF">
      <w:pPr>
        <w:jc w:val="both"/>
        <w:rPr>
          <w:rFonts w:ascii="Book Antiqua" w:eastAsia="Book Antiqua" w:hAnsi="Book Antiqua" w:cs="Book Antiqua"/>
          <w:color w:val="000000" w:themeColor="text1"/>
          <w:lang w:val="es-PR"/>
        </w:rPr>
      </w:pPr>
      <w:r w:rsidRPr="61820F22">
        <w:rPr>
          <w:rFonts w:ascii="Book Antiqua" w:eastAsia="Book Antiqua" w:hAnsi="Book Antiqua" w:cs="Book Antiqua"/>
          <w:color w:val="000000" w:themeColor="text1"/>
          <w:lang w:val="es-PR"/>
        </w:rPr>
        <w:t xml:space="preserve">En Puerto Rico, las personas con diversidad funcional enfrentan múltiples obstáculos en su acceso a servicios esenciales provistos por diversas agencias gubernamentales. Actualmente, el Departamento de Salud, </w:t>
      </w:r>
      <w:r w:rsidR="464A1B20" w:rsidRPr="61820F22">
        <w:rPr>
          <w:rFonts w:ascii="Book Antiqua" w:eastAsia="Book Antiqua" w:hAnsi="Book Antiqua" w:cs="Book Antiqua"/>
          <w:i/>
          <w:iCs/>
          <w:color w:val="000000" w:themeColor="text1"/>
          <w:u w:val="single"/>
          <w:lang w:val="es-PR"/>
        </w:rPr>
        <w:t>el Departamento de la Familia,</w:t>
      </w:r>
      <w:r w:rsidR="464A1B20" w:rsidRPr="61820F22">
        <w:rPr>
          <w:rFonts w:ascii="Book Antiqua" w:eastAsia="Book Antiqua" w:hAnsi="Book Antiqua" w:cs="Book Antiqua"/>
          <w:color w:val="000000" w:themeColor="text1"/>
          <w:lang w:val="es-PR"/>
        </w:rPr>
        <w:t xml:space="preserve"> </w:t>
      </w:r>
      <w:r w:rsidRPr="61820F22">
        <w:rPr>
          <w:rFonts w:ascii="Book Antiqua" w:eastAsia="Book Antiqua" w:hAnsi="Book Antiqua" w:cs="Book Antiqua"/>
          <w:color w:val="000000" w:themeColor="text1"/>
          <w:lang w:val="es-PR"/>
        </w:rPr>
        <w:t xml:space="preserve">el Departamento </w:t>
      </w:r>
      <w:r w:rsidRPr="61820F22">
        <w:rPr>
          <w:rFonts w:ascii="Book Antiqua" w:eastAsia="Book Antiqua" w:hAnsi="Book Antiqua" w:cs="Book Antiqua"/>
          <w:color w:val="000000" w:themeColor="text1"/>
          <w:lang w:val="es-PR"/>
        </w:rPr>
        <w:lastRenderedPageBreak/>
        <w:t>de Educación y la Administración de Rehabilitación Vocacional manejan de forma independiente los expedientes de cada persona que recibe sus servicios. Sin embargo, la falta de integración entre estos sistemas administrativos ha generado problemas significativos en la continuidad de los servicios, afectando negativamente el desarrollo educacional y vocacional de esta población.</w:t>
      </w:r>
    </w:p>
    <w:p w14:paraId="7FB82059" w14:textId="77777777" w:rsidR="00BA3DAB" w:rsidRDefault="00BA3DAB" w:rsidP="001131EF">
      <w:pPr>
        <w:jc w:val="both"/>
        <w:rPr>
          <w:rFonts w:ascii="Book Antiqua" w:eastAsia="Book Antiqua" w:hAnsi="Book Antiqua" w:cs="Book Antiqua"/>
          <w:color w:val="000000" w:themeColor="text1"/>
          <w:lang w:val="es-PR"/>
        </w:rPr>
      </w:pPr>
    </w:p>
    <w:p w14:paraId="71D68C3F" w14:textId="17A3BDE1" w:rsidR="00BA3DAB" w:rsidRDefault="00BA3DAB" w:rsidP="001131EF">
      <w:pPr>
        <w:jc w:val="both"/>
        <w:rPr>
          <w:rFonts w:ascii="Book Antiqua" w:eastAsia="Book Antiqua" w:hAnsi="Book Antiqua" w:cs="Book Antiqua"/>
          <w:color w:val="000000" w:themeColor="text1"/>
          <w:lang w:val="es-PR"/>
        </w:rPr>
      </w:pPr>
      <w:r w:rsidRPr="00C87975">
        <w:rPr>
          <w:rFonts w:ascii="Book Antiqua" w:eastAsia="Book Antiqua" w:hAnsi="Book Antiqua" w:cs="Book Antiqua"/>
          <w:color w:val="000000" w:themeColor="text1"/>
          <w:lang w:val="es-PR"/>
        </w:rPr>
        <w:t xml:space="preserve">Cada vez que una persona con diversidad funcional </w:t>
      </w:r>
      <w:proofErr w:type="spellStart"/>
      <w:r w:rsidRPr="00C87975">
        <w:rPr>
          <w:rFonts w:ascii="Book Antiqua" w:eastAsia="Book Antiqua" w:hAnsi="Book Antiqua" w:cs="Book Antiqua"/>
          <w:color w:val="000000" w:themeColor="text1"/>
          <w:lang w:val="es-PR"/>
        </w:rPr>
        <w:t>transiciona</w:t>
      </w:r>
      <w:proofErr w:type="spellEnd"/>
      <w:r w:rsidRPr="00C87975">
        <w:rPr>
          <w:rFonts w:ascii="Book Antiqua" w:eastAsia="Book Antiqua" w:hAnsi="Book Antiqua" w:cs="Book Antiqua"/>
          <w:color w:val="000000" w:themeColor="text1"/>
          <w:lang w:val="es-PR"/>
        </w:rPr>
        <w:t xml:space="preserve"> entre agencias –ya sea de salud a educación o de educación a rehabilitación vocacional– su expediente no se transfiere de manera automática ni estandarizada. Esto obliga a la persona o a sus tutores a recopilar nuevamente información médica, académica y vocacional, lo que puede derivar en la pérdida de documentos, retrasos en la prestación de servicios y lagunas en la planificación de su desarrollo. Además, la falta de políticas claras sobre la digitalización, conservación y acceso a estos expedientes conlleva problemas adicionales, como la falta de respaldo adecuado, la imposibilidad de consulta en tiempo real y riesgos en la protección de datos sensibles.</w:t>
      </w:r>
    </w:p>
    <w:p w14:paraId="3F84168F" w14:textId="77777777" w:rsidR="00BA3DAB" w:rsidRDefault="00BA3DAB" w:rsidP="001131EF">
      <w:pPr>
        <w:jc w:val="both"/>
        <w:rPr>
          <w:rFonts w:ascii="Book Antiqua" w:eastAsia="Book Antiqua" w:hAnsi="Book Antiqua" w:cs="Book Antiqua"/>
          <w:color w:val="000000" w:themeColor="text1"/>
          <w:lang w:val="es-PR"/>
        </w:rPr>
      </w:pPr>
    </w:p>
    <w:p w14:paraId="4ECF4080" w14:textId="779B0CAA" w:rsidR="00BA3DAB" w:rsidRDefault="00BA3DAB" w:rsidP="001131EF">
      <w:pPr>
        <w:jc w:val="both"/>
        <w:rPr>
          <w:rFonts w:ascii="Book Antiqua" w:eastAsia="Book Antiqua" w:hAnsi="Book Antiqua" w:cs="Book Antiqua"/>
          <w:color w:val="000000" w:themeColor="text1"/>
          <w:lang w:val="es-PR"/>
        </w:rPr>
      </w:pPr>
      <w:r w:rsidRPr="00C87975">
        <w:rPr>
          <w:rFonts w:ascii="Book Antiqua" w:eastAsia="Book Antiqua" w:hAnsi="Book Antiqua" w:cs="Book Antiqua"/>
          <w:color w:val="000000" w:themeColor="text1"/>
          <w:lang w:val="es-PR"/>
        </w:rPr>
        <w:t xml:space="preserve">Ante esta realidad, se hace imperativo establecer la Ley del Expediente Digital Único para Personas con Diversidad Funcional, con el objetivo de centralizar la gestión de la información en un sistema digital accesible, seguro e interoperable entre las agencias pertinentes. </w:t>
      </w:r>
      <w:r w:rsidR="008D6F92">
        <w:rPr>
          <w:rFonts w:ascii="Book Antiqua" w:eastAsia="Book Antiqua" w:hAnsi="Book Antiqua" w:cs="Book Antiqua"/>
          <w:color w:val="000000" w:themeColor="text1"/>
          <w:lang w:val="es-PR"/>
        </w:rPr>
        <w:t>La “</w:t>
      </w:r>
      <w:r w:rsidRPr="009C4844">
        <w:rPr>
          <w:rFonts w:ascii="Book Antiqua" w:eastAsia="Book Antiqua" w:hAnsi="Book Antiqua" w:cs="Book Antiqua"/>
          <w:color w:val="000000" w:themeColor="text1"/>
          <w:lang w:val="es-PR"/>
        </w:rPr>
        <w:t xml:space="preserve">Puerto Rico </w:t>
      </w:r>
      <w:proofErr w:type="spellStart"/>
      <w:r w:rsidRPr="009C4844">
        <w:rPr>
          <w:rFonts w:ascii="Book Antiqua" w:eastAsia="Book Antiqua" w:hAnsi="Book Antiqua" w:cs="Book Antiqua"/>
          <w:color w:val="000000" w:themeColor="text1"/>
          <w:lang w:val="es-PR"/>
        </w:rPr>
        <w:t>Innovation</w:t>
      </w:r>
      <w:proofErr w:type="spellEnd"/>
      <w:r w:rsidRPr="009C4844">
        <w:rPr>
          <w:rFonts w:ascii="Book Antiqua" w:eastAsia="Book Antiqua" w:hAnsi="Book Antiqua" w:cs="Book Antiqua"/>
          <w:color w:val="000000" w:themeColor="text1"/>
          <w:lang w:val="es-PR"/>
        </w:rPr>
        <w:t xml:space="preserve"> and </w:t>
      </w:r>
      <w:proofErr w:type="spellStart"/>
      <w:r w:rsidRPr="009C4844">
        <w:rPr>
          <w:rFonts w:ascii="Book Antiqua" w:eastAsia="Book Antiqua" w:hAnsi="Book Antiqua" w:cs="Book Antiqua"/>
          <w:color w:val="000000" w:themeColor="text1"/>
          <w:lang w:val="es-PR"/>
        </w:rPr>
        <w:t>Technology</w:t>
      </w:r>
      <w:proofErr w:type="spellEnd"/>
      <w:r w:rsidRPr="009C4844">
        <w:rPr>
          <w:rFonts w:ascii="Book Antiqua" w:eastAsia="Book Antiqua" w:hAnsi="Book Antiqua" w:cs="Book Antiqua"/>
          <w:color w:val="000000" w:themeColor="text1"/>
          <w:lang w:val="es-PR"/>
        </w:rPr>
        <w:t xml:space="preserve"> </w:t>
      </w:r>
      <w:proofErr w:type="spellStart"/>
      <w:r w:rsidRPr="009C4844">
        <w:rPr>
          <w:rFonts w:ascii="Book Antiqua" w:eastAsia="Book Antiqua" w:hAnsi="Book Antiqua" w:cs="Book Antiqua"/>
          <w:color w:val="000000" w:themeColor="text1"/>
          <w:lang w:val="es-PR"/>
        </w:rPr>
        <w:t>Service</w:t>
      </w:r>
      <w:proofErr w:type="spellEnd"/>
      <w:r w:rsidR="008D6F92">
        <w:rPr>
          <w:rFonts w:ascii="Book Antiqua" w:eastAsia="Book Antiqua" w:hAnsi="Book Antiqua" w:cs="Book Antiqua"/>
          <w:color w:val="000000" w:themeColor="text1"/>
          <w:lang w:val="es-PR"/>
        </w:rPr>
        <w:t>”</w:t>
      </w:r>
      <w:r>
        <w:rPr>
          <w:rFonts w:ascii="Book Antiqua" w:eastAsia="Book Antiqua" w:hAnsi="Book Antiqua" w:cs="Book Antiqua"/>
          <w:color w:val="000000" w:themeColor="text1"/>
          <w:lang w:val="es-PR"/>
        </w:rPr>
        <w:t xml:space="preserve"> </w:t>
      </w:r>
      <w:r w:rsidRPr="00C87975">
        <w:rPr>
          <w:rFonts w:ascii="Book Antiqua" w:eastAsia="Book Antiqua" w:hAnsi="Book Antiqua" w:cs="Book Antiqua"/>
          <w:color w:val="000000" w:themeColor="text1"/>
          <w:lang w:val="es-PR"/>
        </w:rPr>
        <w:t xml:space="preserve">será la entidad responsable de la creación, implementación y mantenimiento de este expediente digital, garantizando la continuidad en la prestación de servicios y el acceso </w:t>
      </w:r>
      <w:r>
        <w:rPr>
          <w:rFonts w:ascii="Book Antiqua" w:eastAsia="Book Antiqua" w:hAnsi="Book Antiqua" w:cs="Book Antiqua"/>
          <w:color w:val="000000" w:themeColor="text1"/>
          <w:lang w:val="es-PR"/>
        </w:rPr>
        <w:t xml:space="preserve">seguro y </w:t>
      </w:r>
      <w:r w:rsidRPr="00C87975">
        <w:rPr>
          <w:rFonts w:ascii="Book Antiqua" w:eastAsia="Book Antiqua" w:hAnsi="Book Antiqua" w:cs="Book Antiqua"/>
          <w:color w:val="000000" w:themeColor="text1"/>
          <w:lang w:val="es-PR"/>
        </w:rPr>
        <w:t>eficiente a la información de cada persona con diversidad funcional.</w:t>
      </w:r>
    </w:p>
    <w:p w14:paraId="16619600" w14:textId="77777777" w:rsidR="00BA3DAB" w:rsidRDefault="00BA3DAB" w:rsidP="001131EF">
      <w:pPr>
        <w:jc w:val="both"/>
        <w:rPr>
          <w:rFonts w:ascii="Book Antiqua" w:eastAsia="Book Antiqua" w:hAnsi="Book Antiqua" w:cs="Book Antiqua"/>
          <w:color w:val="000000" w:themeColor="text1"/>
          <w:lang w:val="es-PR"/>
        </w:rPr>
      </w:pPr>
    </w:p>
    <w:p w14:paraId="7FEA52D3" w14:textId="3F5AB86A" w:rsidR="00BA3DAB" w:rsidRPr="00E96B19" w:rsidRDefault="00BA3DAB" w:rsidP="001131EF">
      <w:pPr>
        <w:jc w:val="both"/>
        <w:rPr>
          <w:rFonts w:ascii="Book Antiqua" w:eastAsia="Book Antiqua" w:hAnsi="Book Antiqua" w:cs="Book Antiqua"/>
          <w:color w:val="000000" w:themeColor="text1"/>
          <w:lang w:val="es-PR"/>
        </w:rPr>
      </w:pPr>
      <w:r w:rsidRPr="00E96B19">
        <w:rPr>
          <w:rFonts w:ascii="Book Antiqua" w:eastAsia="Book Antiqua" w:hAnsi="Book Antiqua" w:cs="Book Antiqua"/>
          <w:color w:val="000000" w:themeColor="text1"/>
          <w:lang w:val="es-PR"/>
        </w:rPr>
        <w:t>La implementación del Expediente Digital Único optimizará los procesos administrativos, eliminará la duplicidad de gestiones burocráticas y garantizará que las personas con diversidad funcional accedan a los servicios esenciales de manera eficiente, ágil y sin interrupciones. Además, fortalecerá la conservación y gestión documental bajo los más altos estándares de seguridad, confidencialidad y protección de datos.</w:t>
      </w:r>
    </w:p>
    <w:p w14:paraId="3F2C65C4" w14:textId="77777777" w:rsidR="00BA3DAB" w:rsidRDefault="00BA3DAB" w:rsidP="001131EF">
      <w:pPr>
        <w:jc w:val="both"/>
        <w:rPr>
          <w:rFonts w:ascii="Book Antiqua" w:eastAsia="Book Antiqua" w:hAnsi="Book Antiqua" w:cs="Book Antiqua"/>
          <w:color w:val="000000" w:themeColor="text1"/>
          <w:lang w:val="es-PR"/>
        </w:rPr>
      </w:pPr>
    </w:p>
    <w:p w14:paraId="2A1DBFBD" w14:textId="12D3C715" w:rsidR="006C4E23" w:rsidRDefault="00BA3DAB" w:rsidP="001131EF">
      <w:pPr>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Esta legislación </w:t>
      </w:r>
      <w:r w:rsidRPr="00E96B19">
        <w:rPr>
          <w:rFonts w:ascii="Book Antiqua" w:eastAsia="Book Antiqua" w:hAnsi="Book Antiqua" w:cs="Book Antiqua"/>
          <w:color w:val="000000" w:themeColor="text1"/>
          <w:lang w:val="es-PR"/>
        </w:rPr>
        <w:t xml:space="preserve">constituye un </w:t>
      </w:r>
      <w:r>
        <w:rPr>
          <w:rFonts w:ascii="Book Antiqua" w:eastAsia="Book Antiqua" w:hAnsi="Book Antiqua" w:cs="Book Antiqua"/>
          <w:color w:val="000000" w:themeColor="text1"/>
          <w:lang w:val="es-PR"/>
        </w:rPr>
        <w:t>paso</w:t>
      </w:r>
      <w:r w:rsidRPr="00E96B19">
        <w:rPr>
          <w:rFonts w:ascii="Book Antiqua" w:eastAsia="Book Antiqua" w:hAnsi="Book Antiqua" w:cs="Book Antiqua"/>
          <w:color w:val="000000" w:themeColor="text1"/>
          <w:lang w:val="es-PR"/>
        </w:rPr>
        <w:t xml:space="preserve"> significativo hacia la modernización y eficiencia del sistema gubernamental, asegurando un enfoque centrado en la inclusión, el bienestar y el desarrollo integral de las personas con diversidad funcional en Puerto Rico</w:t>
      </w:r>
      <w:r w:rsidRPr="00F70D38">
        <w:rPr>
          <w:rFonts w:ascii="Book Antiqua" w:hAnsi="Book Antiqua" w:cs="AvenirNextLTPro"/>
          <w:lang w:val="es-ES"/>
        </w:rPr>
        <w:t xml:space="preserve">. </w:t>
      </w:r>
    </w:p>
    <w:p w14:paraId="3C71C18B" w14:textId="77777777" w:rsidR="008D6F92" w:rsidRDefault="008D6F92" w:rsidP="001131EF">
      <w:pPr>
        <w:jc w:val="both"/>
        <w:rPr>
          <w:rFonts w:ascii="Book Antiqua" w:eastAsia="Book Antiqua" w:hAnsi="Book Antiqua" w:cs="Book Antiqua"/>
          <w:color w:val="000000" w:themeColor="text1"/>
          <w:lang w:val="es-PR"/>
        </w:rPr>
      </w:pPr>
    </w:p>
    <w:p w14:paraId="2F72E3F5" w14:textId="77777777" w:rsidR="0086165E" w:rsidRDefault="0099207B" w:rsidP="001131EF">
      <w:pPr>
        <w:spacing w:line="480" w:lineRule="auto"/>
        <w:jc w:val="both"/>
        <w:rPr>
          <w:rFonts w:ascii="Book Antiqua" w:eastAsia="Book Antiqua" w:hAnsi="Book Antiqua" w:cs="Book Antiqua"/>
          <w:i/>
          <w:color w:val="000000" w:themeColor="text1"/>
          <w:lang w:val="es-PR"/>
        </w:rPr>
        <w:sectPr w:rsidR="0086165E">
          <w:headerReference w:type="default" r:id="rId7"/>
          <w:footerReference w:type="default" r:id="rId8"/>
          <w:headerReference w:type="first" r:id="rId9"/>
          <w:footerReference w:type="first" r:id="rId10"/>
          <w:pgSz w:w="12240" w:h="15840"/>
          <w:pgMar w:top="1440" w:right="1440" w:bottom="1440" w:left="1440" w:header="720" w:footer="720" w:gutter="0"/>
          <w:pgNumType w:start="1"/>
          <w:cols w:space="720"/>
          <w:titlePg/>
        </w:sectPr>
      </w:pPr>
      <w:r>
        <w:rPr>
          <w:rFonts w:ascii="Book Antiqua" w:eastAsia="Book Antiqua" w:hAnsi="Book Antiqua" w:cs="Book Antiqua"/>
          <w:i/>
          <w:color w:val="000000" w:themeColor="text1"/>
          <w:lang w:val="es-PR"/>
        </w:rPr>
        <w:t>DECRÉTASE POR LA ASAMBLEA LEGISLATIVA DE PUERTO RICO:</w:t>
      </w:r>
    </w:p>
    <w:p w14:paraId="57B85776" w14:textId="77777777" w:rsidR="00BA3DAB" w:rsidRDefault="00BA3DAB" w:rsidP="00BA3DAB">
      <w:pPr>
        <w:pStyle w:val="BodyText"/>
        <w:spacing w:line="480" w:lineRule="auto"/>
        <w:ind w:firstLine="360"/>
        <w:rPr>
          <w:rFonts w:ascii="Book Antiqua" w:hAnsi="Book Antiqua"/>
        </w:rPr>
      </w:pPr>
      <w:bookmarkStart w:id="1" w:name="{20F4}"/>
      <w:bookmarkEnd w:id="1"/>
      <w:r w:rsidRPr="007647A6">
        <w:rPr>
          <w:rFonts w:ascii="Book Antiqua" w:hAnsi="Book Antiqua"/>
        </w:rPr>
        <w:t>Artículo 1.-Título</w:t>
      </w:r>
      <w:r>
        <w:rPr>
          <w:rFonts w:ascii="Book Antiqua" w:hAnsi="Book Antiqua"/>
        </w:rPr>
        <w:t>.</w:t>
      </w:r>
    </w:p>
    <w:p w14:paraId="560037A3" w14:textId="77777777" w:rsidR="00BA3DAB" w:rsidRDefault="00BA3DAB" w:rsidP="00BA3DAB">
      <w:pPr>
        <w:pStyle w:val="BodyText"/>
        <w:spacing w:line="480" w:lineRule="auto"/>
        <w:ind w:firstLine="360"/>
        <w:rPr>
          <w:rFonts w:ascii="Book Antiqua" w:hAnsi="Book Antiqua"/>
        </w:rPr>
      </w:pPr>
      <w:r w:rsidRPr="00654571">
        <w:rPr>
          <w:rFonts w:ascii="Book Antiqua" w:hAnsi="Book Antiqua"/>
        </w:rPr>
        <w:t xml:space="preserve">Esta </w:t>
      </w:r>
      <w:r w:rsidRPr="00AA10E5">
        <w:rPr>
          <w:rFonts w:ascii="Book Antiqua" w:hAnsi="Book Antiqua"/>
        </w:rPr>
        <w:t xml:space="preserve">Ley se conocerá y podrá ser citada como </w:t>
      </w:r>
      <w:r w:rsidRPr="00654571">
        <w:rPr>
          <w:rFonts w:ascii="Book Antiqua" w:hAnsi="Book Antiqua"/>
        </w:rPr>
        <w:t>la "Ley del Expediente Digital Único para Personas con Diversidad Funcional"</w:t>
      </w:r>
      <w:r w:rsidRPr="007647A6">
        <w:rPr>
          <w:rFonts w:ascii="Book Antiqua" w:hAnsi="Book Antiqua"/>
        </w:rPr>
        <w:t xml:space="preserve">. </w:t>
      </w:r>
      <w:bookmarkStart w:id="2" w:name="{20D8}"/>
    </w:p>
    <w:p w14:paraId="61634606" w14:textId="77777777" w:rsidR="00BA3DAB" w:rsidRDefault="00BA3DAB" w:rsidP="00BA3DAB">
      <w:pPr>
        <w:pStyle w:val="BodyText"/>
        <w:spacing w:line="480" w:lineRule="auto"/>
        <w:ind w:firstLine="360"/>
        <w:rPr>
          <w:rFonts w:ascii="Book Antiqua" w:hAnsi="Book Antiqua"/>
        </w:rPr>
      </w:pPr>
      <w:r>
        <w:rPr>
          <w:rFonts w:ascii="Book Antiqua" w:hAnsi="Book Antiqua"/>
        </w:rPr>
        <w:lastRenderedPageBreak/>
        <w:t>Artículo 2.-Declaración de Política Pública.</w:t>
      </w:r>
    </w:p>
    <w:p w14:paraId="38823DE7" w14:textId="46F2828E" w:rsidR="00BA3DAB" w:rsidRDefault="00BA3DAB" w:rsidP="00BA3DAB">
      <w:pPr>
        <w:pStyle w:val="BodyText"/>
        <w:spacing w:line="480" w:lineRule="auto"/>
        <w:ind w:firstLine="360"/>
        <w:rPr>
          <w:rFonts w:ascii="Book Antiqua" w:hAnsi="Book Antiqua"/>
        </w:rPr>
      </w:pPr>
      <w:r w:rsidRPr="61820F22">
        <w:rPr>
          <w:rFonts w:ascii="Book Antiqua" w:hAnsi="Book Antiqua"/>
        </w:rPr>
        <w:t xml:space="preserve">Es política pública del Gobierno de Puerto Rico garantizar la continuidad, eficiencia y accesibilidad de los servicios prestados a las personas con diversidad funcional mediante la creación de un expediente digital único e interoperable entre el Departamento de Salud, </w:t>
      </w:r>
      <w:r w:rsidR="152C79AA" w:rsidRPr="61820F22">
        <w:rPr>
          <w:rFonts w:ascii="Book Antiqua" w:eastAsia="Book Antiqua" w:hAnsi="Book Antiqua" w:cs="Book Antiqua"/>
          <w:i/>
          <w:iCs/>
          <w:color w:val="000000" w:themeColor="text1"/>
          <w:u w:val="single"/>
        </w:rPr>
        <w:t>el Departamento de la Familia,</w:t>
      </w:r>
      <w:r w:rsidR="152C79AA" w:rsidRPr="61820F22">
        <w:rPr>
          <w:rFonts w:ascii="Book Antiqua" w:hAnsi="Book Antiqua"/>
        </w:rPr>
        <w:t xml:space="preserve"> </w:t>
      </w:r>
      <w:r w:rsidRPr="61820F22">
        <w:rPr>
          <w:rFonts w:ascii="Book Antiqua" w:hAnsi="Book Antiqua"/>
        </w:rPr>
        <w:t>el Departamento de Educación y la Administración de Rehabilitación Vocacional.</w:t>
      </w:r>
    </w:p>
    <w:p w14:paraId="778DAC11" w14:textId="77777777" w:rsidR="00BA3DAB" w:rsidRDefault="00BA3DAB" w:rsidP="00BA3DAB">
      <w:pPr>
        <w:pStyle w:val="BodyText"/>
        <w:spacing w:line="480" w:lineRule="auto"/>
        <w:ind w:firstLine="360"/>
        <w:rPr>
          <w:rFonts w:ascii="Book Antiqua" w:hAnsi="Book Antiqua"/>
          <w:lang w:val="es-ES_tradnl"/>
        </w:rPr>
      </w:pPr>
      <w:r w:rsidRPr="007647A6">
        <w:rPr>
          <w:rFonts w:ascii="Book Antiqua" w:hAnsi="Book Antiqua"/>
        </w:rPr>
        <w:t xml:space="preserve">Artículo </w:t>
      </w:r>
      <w:r>
        <w:rPr>
          <w:rFonts w:ascii="Book Antiqua" w:hAnsi="Book Antiqua"/>
        </w:rPr>
        <w:t>3</w:t>
      </w:r>
      <w:r w:rsidRPr="007647A6">
        <w:rPr>
          <w:rFonts w:ascii="Book Antiqua" w:hAnsi="Book Antiqua"/>
        </w:rPr>
        <w:t>.-</w:t>
      </w:r>
      <w:r>
        <w:rPr>
          <w:rFonts w:ascii="Book Antiqua" w:hAnsi="Book Antiqua"/>
          <w:lang w:val="es-ES_tradnl"/>
        </w:rPr>
        <w:t xml:space="preserve">Creación del Expediente Digital </w:t>
      </w:r>
      <w:r w:rsidRPr="00E96B19">
        <w:rPr>
          <w:rFonts w:ascii="Book Antiqua" w:hAnsi="Book Antiqua"/>
          <w:caps/>
          <w:lang w:val="es-ES_tradnl"/>
        </w:rPr>
        <w:t>ú</w:t>
      </w:r>
      <w:r>
        <w:rPr>
          <w:rFonts w:ascii="Book Antiqua" w:hAnsi="Book Antiqua"/>
          <w:lang w:val="es-ES_tradnl"/>
        </w:rPr>
        <w:t>nico</w:t>
      </w:r>
      <w:r w:rsidRPr="007647A6">
        <w:rPr>
          <w:rFonts w:ascii="Book Antiqua" w:hAnsi="Book Antiqua"/>
          <w:lang w:val="es-ES_tradnl"/>
        </w:rPr>
        <w:t xml:space="preserve">. </w:t>
      </w:r>
    </w:p>
    <w:p w14:paraId="110F10A0" w14:textId="2136C783" w:rsidR="00BA3DAB" w:rsidRDefault="00BA3DAB" w:rsidP="00BA3DAB">
      <w:pPr>
        <w:pStyle w:val="BodyText"/>
        <w:spacing w:line="480" w:lineRule="auto"/>
        <w:ind w:firstLine="360"/>
        <w:rPr>
          <w:rFonts w:ascii="Book Antiqua" w:hAnsi="Book Antiqua"/>
          <w:lang w:val="es-ES"/>
        </w:rPr>
      </w:pPr>
      <w:r w:rsidRPr="00E65583">
        <w:rPr>
          <w:rFonts w:ascii="Book Antiqua" w:hAnsi="Book Antiqua"/>
          <w:lang w:val="es-ES"/>
        </w:rPr>
        <w:t xml:space="preserve">Se ordena </w:t>
      </w:r>
      <w:r>
        <w:rPr>
          <w:rFonts w:ascii="Book Antiqua" w:hAnsi="Book Antiqua"/>
          <w:lang w:val="es-ES"/>
        </w:rPr>
        <w:t>a la “</w:t>
      </w:r>
      <w:r w:rsidRPr="00E96B19">
        <w:rPr>
          <w:rFonts w:ascii="Book Antiqua" w:hAnsi="Book Antiqua"/>
          <w:lang w:val="es-ES"/>
        </w:rPr>
        <w:t xml:space="preserve">Puerto Rico </w:t>
      </w:r>
      <w:proofErr w:type="spellStart"/>
      <w:r w:rsidRPr="00E96B19">
        <w:rPr>
          <w:rFonts w:ascii="Book Antiqua" w:hAnsi="Book Antiqua"/>
          <w:lang w:val="es-ES"/>
        </w:rPr>
        <w:t>Innovation</w:t>
      </w:r>
      <w:proofErr w:type="spellEnd"/>
      <w:r w:rsidRPr="00E96B19">
        <w:rPr>
          <w:rFonts w:ascii="Book Antiqua" w:hAnsi="Book Antiqua"/>
          <w:lang w:val="es-ES"/>
        </w:rPr>
        <w:t xml:space="preserve"> and </w:t>
      </w:r>
      <w:proofErr w:type="spellStart"/>
      <w:r w:rsidRPr="00E96B19">
        <w:rPr>
          <w:rFonts w:ascii="Book Antiqua" w:hAnsi="Book Antiqua"/>
          <w:lang w:val="es-ES"/>
        </w:rPr>
        <w:t>Technology</w:t>
      </w:r>
      <w:proofErr w:type="spellEnd"/>
      <w:r w:rsidRPr="00E96B19">
        <w:rPr>
          <w:rFonts w:ascii="Book Antiqua" w:hAnsi="Book Antiqua"/>
          <w:lang w:val="es-ES"/>
        </w:rPr>
        <w:t xml:space="preserve"> </w:t>
      </w:r>
      <w:proofErr w:type="spellStart"/>
      <w:r w:rsidRPr="00E96B19">
        <w:rPr>
          <w:rFonts w:ascii="Book Antiqua" w:hAnsi="Book Antiqua"/>
          <w:lang w:val="es-ES"/>
        </w:rPr>
        <w:t>Service</w:t>
      </w:r>
      <w:proofErr w:type="spellEnd"/>
      <w:r>
        <w:rPr>
          <w:rFonts w:ascii="Book Antiqua" w:hAnsi="Book Antiqua"/>
          <w:lang w:val="es-ES"/>
        </w:rPr>
        <w:t xml:space="preserve">” </w:t>
      </w:r>
      <w:r w:rsidRPr="00E65583">
        <w:rPr>
          <w:rFonts w:ascii="Book Antiqua" w:hAnsi="Book Antiqua"/>
          <w:lang w:val="es-ES"/>
        </w:rPr>
        <w:t>(</w:t>
      </w:r>
      <w:r>
        <w:rPr>
          <w:rFonts w:ascii="Book Antiqua" w:hAnsi="Book Antiqua"/>
          <w:lang w:val="es-ES"/>
        </w:rPr>
        <w:t>en adelante, “</w:t>
      </w:r>
      <w:r w:rsidRPr="00E65583">
        <w:rPr>
          <w:rFonts w:ascii="Book Antiqua" w:hAnsi="Book Antiqua"/>
          <w:lang w:val="es-ES"/>
        </w:rPr>
        <w:t>PRITS</w:t>
      </w:r>
      <w:r>
        <w:rPr>
          <w:rFonts w:ascii="Book Antiqua" w:hAnsi="Book Antiqua"/>
          <w:lang w:val="es-ES"/>
        </w:rPr>
        <w:t>”</w:t>
      </w:r>
      <w:r w:rsidRPr="00E65583">
        <w:rPr>
          <w:rFonts w:ascii="Book Antiqua" w:hAnsi="Book Antiqua"/>
          <w:lang w:val="es-ES"/>
        </w:rPr>
        <w:t xml:space="preserve">) </w:t>
      </w:r>
      <w:r w:rsidRPr="008A2F0F">
        <w:rPr>
          <w:rFonts w:ascii="Book Antiqua" w:hAnsi="Book Antiqua"/>
          <w:lang w:val="es-ES"/>
        </w:rPr>
        <w:t>la creación, implementación y mantenimiento de un Expediente Digital Único para personas con diversidad funcional. Este expediente centralizado contendrá toda la información relevante sobre los servicios recibidos de las agencias gubernamentales pertinentes y garantizará la continuidad y accesibilidad de dichos servicios a lo largo del tiempo.</w:t>
      </w:r>
    </w:p>
    <w:p w14:paraId="09FD74C3" w14:textId="77777777" w:rsidR="00BA3DAB" w:rsidRDefault="00BA3DAB" w:rsidP="00BA3DAB">
      <w:pPr>
        <w:pStyle w:val="BodyText"/>
        <w:spacing w:line="480" w:lineRule="auto"/>
        <w:ind w:firstLine="360"/>
        <w:rPr>
          <w:rFonts w:ascii="Book Antiqua" w:hAnsi="Book Antiqua"/>
          <w:lang w:val="es-ES"/>
        </w:rPr>
      </w:pPr>
      <w:r w:rsidRPr="008A2F0F">
        <w:rPr>
          <w:rFonts w:ascii="Book Antiqua" w:hAnsi="Book Antiqua"/>
          <w:lang w:val="es-ES"/>
        </w:rPr>
        <w:t>PRITS será el custodio del Expediente Digital Único y tendrá la responsabilidad de asegurar su óptimo funcionamiento, integridad, seguridad y confidencialidad, conforme a las leyes y reglamentaciones aplicables</w:t>
      </w:r>
      <w:r>
        <w:rPr>
          <w:rFonts w:ascii="Book Antiqua" w:hAnsi="Book Antiqua"/>
          <w:lang w:val="es-ES"/>
        </w:rPr>
        <w:t>.</w:t>
      </w:r>
    </w:p>
    <w:p w14:paraId="5B751DE0" w14:textId="77777777" w:rsidR="00BA3DAB" w:rsidRDefault="00BA3DAB" w:rsidP="00BA3DAB">
      <w:pPr>
        <w:pStyle w:val="BodyText"/>
        <w:spacing w:line="480" w:lineRule="auto"/>
        <w:ind w:firstLine="360"/>
        <w:rPr>
          <w:rFonts w:ascii="Book Antiqua" w:hAnsi="Book Antiqua"/>
          <w:lang w:val="es-ES_tradnl"/>
        </w:rPr>
      </w:pPr>
      <w:r w:rsidRPr="007647A6">
        <w:rPr>
          <w:rFonts w:ascii="Book Antiqua" w:hAnsi="Book Antiqua"/>
        </w:rPr>
        <w:t xml:space="preserve">Artículo </w:t>
      </w:r>
      <w:r>
        <w:rPr>
          <w:rFonts w:ascii="Book Antiqua" w:hAnsi="Book Antiqua"/>
        </w:rPr>
        <w:t>4</w:t>
      </w:r>
      <w:r w:rsidRPr="007647A6">
        <w:rPr>
          <w:rFonts w:ascii="Book Antiqua" w:hAnsi="Book Antiqua"/>
        </w:rPr>
        <w:t>.-</w:t>
      </w:r>
      <w:r>
        <w:rPr>
          <w:rFonts w:ascii="Book Antiqua" w:hAnsi="Book Antiqua"/>
          <w:lang w:val="es-ES_tradnl"/>
        </w:rPr>
        <w:t>Responsabilidades de las Agencias Gubernamentales</w:t>
      </w:r>
      <w:r w:rsidRPr="007647A6">
        <w:rPr>
          <w:rFonts w:ascii="Book Antiqua" w:hAnsi="Book Antiqua"/>
          <w:lang w:val="es-ES_tradnl"/>
        </w:rPr>
        <w:t xml:space="preserve">. </w:t>
      </w:r>
    </w:p>
    <w:p w14:paraId="37080DB1" w14:textId="29BB7759" w:rsidR="00BA3DAB" w:rsidRDefault="00BA3DAB" w:rsidP="00BA3DAB">
      <w:pPr>
        <w:pStyle w:val="BodyText"/>
        <w:numPr>
          <w:ilvl w:val="0"/>
          <w:numId w:val="3"/>
        </w:numPr>
        <w:spacing w:line="480" w:lineRule="auto"/>
        <w:rPr>
          <w:rFonts w:ascii="Book Antiqua" w:hAnsi="Book Antiqua"/>
          <w:lang w:val="es-ES"/>
        </w:rPr>
      </w:pPr>
      <w:r w:rsidRPr="61820F22">
        <w:rPr>
          <w:rFonts w:ascii="Book Antiqua" w:hAnsi="Book Antiqua"/>
          <w:lang w:val="es-ES"/>
        </w:rPr>
        <w:t xml:space="preserve">El Departamento de Salud, </w:t>
      </w:r>
      <w:r w:rsidR="3318ECDE" w:rsidRPr="61820F22">
        <w:rPr>
          <w:rFonts w:ascii="Book Antiqua" w:eastAsia="Book Antiqua" w:hAnsi="Book Antiqua" w:cs="Book Antiqua"/>
          <w:i/>
          <w:iCs/>
          <w:color w:val="000000" w:themeColor="text1"/>
          <w:u w:val="single"/>
        </w:rPr>
        <w:t>el Departamento de la Familia,</w:t>
      </w:r>
      <w:r w:rsidR="3318ECDE" w:rsidRPr="61820F22">
        <w:rPr>
          <w:rFonts w:ascii="Book Antiqua" w:hAnsi="Book Antiqua"/>
          <w:lang w:val="es-ES"/>
        </w:rPr>
        <w:t xml:space="preserve"> </w:t>
      </w:r>
      <w:r w:rsidRPr="61820F22">
        <w:rPr>
          <w:rFonts w:ascii="Book Antiqua" w:hAnsi="Book Antiqua"/>
          <w:lang w:val="es-ES"/>
        </w:rPr>
        <w:t xml:space="preserve">el Departamento de Educación y la Administración de Rehabilitación Vocacional estarán obligados a integrar la información de cada persona con diversidad funcional en el Expediente Digital Único. </w:t>
      </w:r>
    </w:p>
    <w:p w14:paraId="4B0207AE" w14:textId="4EBC48A7" w:rsidR="00BA3DAB" w:rsidRDefault="00BA3DAB" w:rsidP="00BA3DAB">
      <w:pPr>
        <w:pStyle w:val="BodyText"/>
        <w:numPr>
          <w:ilvl w:val="0"/>
          <w:numId w:val="3"/>
        </w:numPr>
        <w:spacing w:line="480" w:lineRule="auto"/>
        <w:rPr>
          <w:rFonts w:ascii="Book Antiqua" w:hAnsi="Book Antiqua"/>
          <w:lang w:val="es-ES"/>
        </w:rPr>
      </w:pPr>
      <w:r w:rsidRPr="61820F22">
        <w:rPr>
          <w:rFonts w:ascii="Book Antiqua" w:hAnsi="Book Antiqua"/>
          <w:lang w:val="es-ES"/>
        </w:rPr>
        <w:lastRenderedPageBreak/>
        <w:t xml:space="preserve">PRITS establecerá los mecanismos necesarios para que el Departamento de Salud, </w:t>
      </w:r>
      <w:r w:rsidR="57484692" w:rsidRPr="61820F22">
        <w:rPr>
          <w:rFonts w:ascii="Book Antiqua" w:eastAsia="Book Antiqua" w:hAnsi="Book Antiqua" w:cs="Book Antiqua"/>
          <w:i/>
          <w:iCs/>
          <w:color w:val="000000" w:themeColor="text1"/>
          <w:u w:val="single"/>
        </w:rPr>
        <w:t>el Departamento de la Familia,</w:t>
      </w:r>
      <w:r w:rsidR="57484692" w:rsidRPr="61820F22">
        <w:rPr>
          <w:rFonts w:ascii="Book Antiqua" w:eastAsia="Book Antiqua" w:hAnsi="Book Antiqua" w:cs="Book Antiqua"/>
          <w:color w:val="000000" w:themeColor="text1"/>
        </w:rPr>
        <w:t xml:space="preserve"> </w:t>
      </w:r>
      <w:r w:rsidRPr="61820F22">
        <w:rPr>
          <w:rFonts w:ascii="Book Antiqua" w:hAnsi="Book Antiqua"/>
          <w:lang w:val="es-ES"/>
        </w:rPr>
        <w:t>el Departamento de Educación y la Administración de Rehabilitación Vocacional procedan con la digitalización, actualización y acceso seguro de los documentos contenidos en el Expediente Digital Único. Dichos mecanismos deberán garantizar la interoperabilidad entre agencias, la protección de datos personales y el cumplimiento de las disposiciones legales aplicables en materia de privacidad y seguridad de la información.</w:t>
      </w:r>
    </w:p>
    <w:p w14:paraId="27ED89E2" w14:textId="77777777" w:rsidR="00BA3DAB" w:rsidRDefault="00BA3DAB" w:rsidP="00BA3DAB">
      <w:pPr>
        <w:pStyle w:val="BodyText"/>
        <w:numPr>
          <w:ilvl w:val="0"/>
          <w:numId w:val="3"/>
        </w:numPr>
        <w:spacing w:line="480" w:lineRule="auto"/>
        <w:rPr>
          <w:rFonts w:ascii="Book Antiqua" w:hAnsi="Book Antiqua"/>
          <w:lang w:val="es-ES"/>
        </w:rPr>
      </w:pPr>
      <w:r w:rsidRPr="000D2EB5">
        <w:rPr>
          <w:rFonts w:ascii="Book Antiqua" w:hAnsi="Book Antiqua"/>
          <w:lang w:val="es-ES"/>
        </w:rPr>
        <w:t>Ninguna agencia podrá exigir a la persona con diversidad funcional, ni a sus tutores legales, la presentación física de documentos previamente almacenados en el Expediente Digital Único</w:t>
      </w:r>
      <w:r>
        <w:rPr>
          <w:rFonts w:ascii="Book Antiqua" w:hAnsi="Book Antiqua"/>
          <w:lang w:val="es-ES"/>
        </w:rPr>
        <w:t>.</w:t>
      </w:r>
    </w:p>
    <w:p w14:paraId="5ECF7D9D" w14:textId="77777777" w:rsidR="00BA3DAB" w:rsidRDefault="00BA3DAB" w:rsidP="00BA3DAB">
      <w:pPr>
        <w:pStyle w:val="BodyText"/>
        <w:spacing w:line="480" w:lineRule="auto"/>
        <w:ind w:firstLine="360"/>
        <w:rPr>
          <w:rFonts w:ascii="Book Antiqua" w:hAnsi="Book Antiqua"/>
          <w:lang w:val="es-ES_tradnl"/>
        </w:rPr>
      </w:pPr>
      <w:r w:rsidRPr="007647A6">
        <w:rPr>
          <w:rFonts w:ascii="Book Antiqua" w:hAnsi="Book Antiqua"/>
        </w:rPr>
        <w:t xml:space="preserve">Artículo </w:t>
      </w:r>
      <w:r>
        <w:rPr>
          <w:rFonts w:ascii="Book Antiqua" w:hAnsi="Book Antiqua"/>
        </w:rPr>
        <w:t>5</w:t>
      </w:r>
      <w:r w:rsidRPr="007647A6">
        <w:rPr>
          <w:rFonts w:ascii="Book Antiqua" w:hAnsi="Book Antiqua"/>
        </w:rPr>
        <w:t>.-</w:t>
      </w:r>
      <w:r>
        <w:rPr>
          <w:rFonts w:ascii="Book Antiqua" w:hAnsi="Book Antiqua"/>
          <w:lang w:val="es-ES_tradnl"/>
        </w:rPr>
        <w:t>Implementación</w:t>
      </w:r>
      <w:r w:rsidRPr="007647A6">
        <w:rPr>
          <w:rFonts w:ascii="Book Antiqua" w:hAnsi="Book Antiqua"/>
          <w:lang w:val="es-ES_tradnl"/>
        </w:rPr>
        <w:t xml:space="preserve">. </w:t>
      </w:r>
    </w:p>
    <w:p w14:paraId="5912DA0F" w14:textId="77777777" w:rsidR="00BA3DAB" w:rsidRDefault="00BA3DAB" w:rsidP="00BA3DAB">
      <w:pPr>
        <w:pStyle w:val="BodyText"/>
        <w:spacing w:line="480" w:lineRule="auto"/>
        <w:ind w:firstLine="360"/>
        <w:rPr>
          <w:rFonts w:ascii="Book Antiqua" w:hAnsi="Book Antiqua"/>
          <w:lang w:val="es-ES"/>
        </w:rPr>
      </w:pPr>
      <w:bookmarkStart w:id="3" w:name="_Hlk189832381"/>
      <w:r w:rsidRPr="00BE7D02">
        <w:rPr>
          <w:rFonts w:ascii="Book Antiqua" w:hAnsi="Book Antiqua"/>
          <w:lang w:val="es-ES"/>
        </w:rPr>
        <w:t>PRITS establecerá los protocolos y estándares tecnológicos necesarios para la implementación efectiva del Expediente Digital Único.</w:t>
      </w:r>
      <w:r>
        <w:rPr>
          <w:rFonts w:ascii="Book Antiqua" w:hAnsi="Book Antiqua"/>
          <w:lang w:val="es-ES"/>
        </w:rPr>
        <w:t xml:space="preserve"> </w:t>
      </w:r>
      <w:r w:rsidRPr="00FE2D53">
        <w:rPr>
          <w:rFonts w:ascii="Book Antiqua" w:hAnsi="Book Antiqua"/>
          <w:lang w:val="es-ES"/>
        </w:rPr>
        <w:t xml:space="preserve">Cada agencia gubernamental tendrá un plazo de </w:t>
      </w:r>
      <w:r>
        <w:rPr>
          <w:rFonts w:ascii="Book Antiqua" w:hAnsi="Book Antiqua"/>
          <w:lang w:val="es-ES"/>
        </w:rPr>
        <w:t>noventa (90) días</w:t>
      </w:r>
      <w:r w:rsidRPr="00FE2D53">
        <w:rPr>
          <w:rFonts w:ascii="Book Antiqua" w:hAnsi="Book Antiqua"/>
          <w:lang w:val="es-ES"/>
        </w:rPr>
        <w:t>, a partir de la aprobación de esta Ley, para integrar su</w:t>
      </w:r>
      <w:r>
        <w:rPr>
          <w:rFonts w:ascii="Book Antiqua" w:hAnsi="Book Antiqua"/>
          <w:lang w:val="es-ES"/>
        </w:rPr>
        <w:t>s plataformas y/o</w:t>
      </w:r>
      <w:r w:rsidRPr="00FE2D53">
        <w:rPr>
          <w:rFonts w:ascii="Book Antiqua" w:hAnsi="Book Antiqua"/>
          <w:lang w:val="es-ES"/>
        </w:rPr>
        <w:t xml:space="preserve"> sistema</w:t>
      </w:r>
      <w:r>
        <w:rPr>
          <w:rFonts w:ascii="Book Antiqua" w:hAnsi="Book Antiqua"/>
          <w:lang w:val="es-ES"/>
        </w:rPr>
        <w:t>s</w:t>
      </w:r>
      <w:r w:rsidRPr="00FE2D53">
        <w:rPr>
          <w:rFonts w:ascii="Book Antiqua" w:hAnsi="Book Antiqua"/>
          <w:lang w:val="es-ES"/>
        </w:rPr>
        <w:t xml:space="preserve"> de información </w:t>
      </w:r>
      <w:r>
        <w:rPr>
          <w:rFonts w:ascii="Book Antiqua" w:hAnsi="Book Antiqua"/>
          <w:lang w:val="es-ES"/>
        </w:rPr>
        <w:t>para constituir los datos necesarios para implementar el</w:t>
      </w:r>
      <w:r w:rsidRPr="00FE2D53">
        <w:rPr>
          <w:rFonts w:ascii="Book Antiqua" w:hAnsi="Book Antiqua"/>
          <w:lang w:val="es-ES"/>
        </w:rPr>
        <w:t xml:space="preserve"> Expediente Digital Único</w:t>
      </w:r>
      <w:r>
        <w:rPr>
          <w:rFonts w:ascii="Book Antiqua" w:hAnsi="Book Antiqua"/>
          <w:lang w:val="es-ES"/>
        </w:rPr>
        <w:t>.</w:t>
      </w:r>
    </w:p>
    <w:p w14:paraId="43444C1D" w14:textId="77777777" w:rsidR="00BA3DAB" w:rsidRDefault="00BA3DAB" w:rsidP="00BA3DAB">
      <w:pPr>
        <w:pStyle w:val="BodyText"/>
        <w:spacing w:line="480" w:lineRule="auto"/>
        <w:ind w:firstLine="360"/>
        <w:rPr>
          <w:rFonts w:ascii="Book Antiqua" w:hAnsi="Book Antiqua"/>
          <w:lang w:val="es-ES_tradnl"/>
        </w:rPr>
      </w:pPr>
      <w:r w:rsidRPr="007647A6">
        <w:rPr>
          <w:rFonts w:ascii="Book Antiqua" w:hAnsi="Book Antiqua"/>
        </w:rPr>
        <w:t xml:space="preserve">Artículo </w:t>
      </w:r>
      <w:r>
        <w:rPr>
          <w:rFonts w:ascii="Book Antiqua" w:hAnsi="Book Antiqua"/>
        </w:rPr>
        <w:t>6</w:t>
      </w:r>
      <w:r w:rsidRPr="007647A6">
        <w:rPr>
          <w:rFonts w:ascii="Book Antiqua" w:hAnsi="Book Antiqua"/>
        </w:rPr>
        <w:t>.-</w:t>
      </w:r>
      <w:r>
        <w:rPr>
          <w:rFonts w:ascii="Book Antiqua" w:hAnsi="Book Antiqua"/>
          <w:lang w:val="es-ES_tradnl"/>
        </w:rPr>
        <w:t>Acceso a la Información</w:t>
      </w:r>
      <w:r w:rsidRPr="007647A6">
        <w:rPr>
          <w:rFonts w:ascii="Book Antiqua" w:hAnsi="Book Antiqua"/>
          <w:lang w:val="es-ES_tradnl"/>
        </w:rPr>
        <w:t xml:space="preserve">. </w:t>
      </w:r>
    </w:p>
    <w:p w14:paraId="2E28C622" w14:textId="77777777" w:rsidR="00BA3DAB" w:rsidRPr="00424E4E" w:rsidRDefault="00BA3DAB" w:rsidP="00BA3DAB">
      <w:pPr>
        <w:pStyle w:val="BodyText"/>
        <w:spacing w:line="480" w:lineRule="auto"/>
        <w:ind w:firstLine="360"/>
        <w:rPr>
          <w:rFonts w:ascii="Book Antiqua" w:hAnsi="Book Antiqua"/>
          <w:lang w:val="es-ES"/>
        </w:rPr>
      </w:pPr>
      <w:r w:rsidRPr="00EA669E">
        <w:rPr>
          <w:rFonts w:ascii="Book Antiqua" w:hAnsi="Book Antiqua"/>
          <w:lang w:val="es-ES"/>
        </w:rPr>
        <w:t xml:space="preserve">PRITS, en coordinación con las agencias pertinentes, establecerá los mecanismos necesarios para garantizar que las personas con diversidad funcional tengan acceso seguro, ágil y confidencial a la información contenida en su Expediente Digital Único. </w:t>
      </w:r>
      <w:r w:rsidRPr="00EA669E">
        <w:rPr>
          <w:rFonts w:ascii="Book Antiqua" w:hAnsi="Book Antiqua"/>
          <w:lang w:val="es-ES"/>
        </w:rPr>
        <w:lastRenderedPageBreak/>
        <w:t>Dicho acceso deberá cumplir con las disposiciones legales aplicables en materia de privacidad, protección de datos y accesibilidad digital, asegurando que la información esté disponible en formatos adecuados y accesibles para las personas con diversidad funcional</w:t>
      </w:r>
      <w:r>
        <w:rPr>
          <w:rFonts w:ascii="Book Antiqua" w:hAnsi="Book Antiqua"/>
          <w:lang w:val="es-ES"/>
        </w:rPr>
        <w:t>.</w:t>
      </w:r>
    </w:p>
    <w:p w14:paraId="6D45D8C5" w14:textId="77777777" w:rsidR="00BA3DAB" w:rsidRDefault="00BA3DAB" w:rsidP="00BA3DAB">
      <w:pPr>
        <w:pStyle w:val="BodyText"/>
        <w:spacing w:line="480" w:lineRule="auto"/>
        <w:ind w:firstLine="360"/>
        <w:rPr>
          <w:rFonts w:ascii="Book Antiqua" w:hAnsi="Book Antiqua"/>
          <w:lang w:val="es-ES_tradnl"/>
        </w:rPr>
      </w:pPr>
      <w:r w:rsidRPr="007647A6">
        <w:rPr>
          <w:rFonts w:ascii="Book Antiqua" w:hAnsi="Book Antiqua"/>
        </w:rPr>
        <w:t xml:space="preserve">Artículo </w:t>
      </w:r>
      <w:r>
        <w:rPr>
          <w:rFonts w:ascii="Book Antiqua" w:hAnsi="Book Antiqua"/>
        </w:rPr>
        <w:t>7</w:t>
      </w:r>
      <w:r w:rsidRPr="007647A6">
        <w:rPr>
          <w:rFonts w:ascii="Book Antiqua" w:hAnsi="Book Antiqua"/>
        </w:rPr>
        <w:t>.-</w:t>
      </w:r>
      <w:r>
        <w:rPr>
          <w:rFonts w:ascii="Book Antiqua" w:hAnsi="Book Antiqua"/>
          <w:lang w:val="es-ES_tradnl"/>
        </w:rPr>
        <w:t>Reglamentación</w:t>
      </w:r>
      <w:r w:rsidRPr="007647A6">
        <w:rPr>
          <w:rFonts w:ascii="Book Antiqua" w:hAnsi="Book Antiqua"/>
          <w:lang w:val="es-ES_tradnl"/>
        </w:rPr>
        <w:t xml:space="preserve">. </w:t>
      </w:r>
    </w:p>
    <w:p w14:paraId="2B99F647" w14:textId="2E2105FD" w:rsidR="00BA3DAB" w:rsidRDefault="00BA3DAB" w:rsidP="00BA3DAB">
      <w:pPr>
        <w:pStyle w:val="BodyText"/>
        <w:spacing w:line="480" w:lineRule="auto"/>
        <w:ind w:firstLine="360"/>
        <w:rPr>
          <w:rFonts w:ascii="Book Antiqua" w:hAnsi="Book Antiqua"/>
          <w:lang w:val="es-ES"/>
        </w:rPr>
      </w:pPr>
      <w:r w:rsidRPr="61820F22">
        <w:rPr>
          <w:rFonts w:ascii="Book Antiqua" w:hAnsi="Book Antiqua"/>
          <w:lang w:val="es-ES"/>
        </w:rPr>
        <w:t>PRITS, en coordinación con las agencias concernidas, adoptará la reglamentación necesaria para el cumplimiento de esta Ley en un periodo no mayor de ciento ochenta (180) días desde su aprobación.</w:t>
      </w:r>
      <w:r>
        <w:t xml:space="preserve"> </w:t>
      </w:r>
      <w:r w:rsidRPr="61820F22">
        <w:rPr>
          <w:rFonts w:ascii="Book Antiqua" w:hAnsi="Book Antiqua"/>
          <w:lang w:val="es-ES"/>
        </w:rPr>
        <w:t xml:space="preserve">Las agencias concernidas realizarán los cambios que </w:t>
      </w:r>
      <w:r w:rsidRPr="61820F22">
        <w:rPr>
          <w:rFonts w:ascii="Book Antiqua" w:hAnsi="Book Antiqua"/>
          <w:strike/>
          <w:lang w:val="es-ES"/>
        </w:rPr>
        <w:t>sea</w:t>
      </w:r>
      <w:r w:rsidR="5599E08A" w:rsidRPr="61820F22">
        <w:rPr>
          <w:rFonts w:ascii="Book Antiqua" w:hAnsi="Book Antiqua"/>
          <w:lang w:val="es-ES"/>
        </w:rPr>
        <w:t xml:space="preserve"> </w:t>
      </w:r>
      <w:r w:rsidR="5599E08A" w:rsidRPr="61820F22">
        <w:rPr>
          <w:rFonts w:ascii="Book Antiqua" w:hAnsi="Book Antiqua"/>
          <w:i/>
          <w:iCs/>
          <w:u w:val="single"/>
          <w:lang w:val="es-ES"/>
        </w:rPr>
        <w:t>sean</w:t>
      </w:r>
      <w:r w:rsidRPr="61820F22">
        <w:rPr>
          <w:rFonts w:ascii="Book Antiqua" w:hAnsi="Book Antiqua"/>
          <w:lang w:val="es-ES"/>
        </w:rPr>
        <w:t xml:space="preserve"> necesarios en sus cartas circulares, reglas, reglamentos, normas y procedimientos para cumplir con lo dispuesto en la presente Ley.</w:t>
      </w:r>
    </w:p>
    <w:p w14:paraId="4F8CB338" w14:textId="57BDAF0E" w:rsidR="2D64B400" w:rsidRDefault="2D64B400" w:rsidP="61820F22">
      <w:pPr>
        <w:spacing w:line="480" w:lineRule="auto"/>
        <w:ind w:firstLine="360"/>
        <w:jc w:val="both"/>
        <w:rPr>
          <w:i/>
          <w:iCs/>
          <w:u w:val="single"/>
          <w:lang w:val="es-ES"/>
        </w:rPr>
      </w:pPr>
      <w:r w:rsidRPr="61820F22">
        <w:rPr>
          <w:i/>
          <w:iCs/>
          <w:u w:val="single"/>
          <w:lang w:val="es-ES"/>
        </w:rPr>
        <w:t>A tales efectos, la reglamentación que se adopte al amparo de esta Ley quedará expresamente exenta del proceso de reglamentación establecido en la Ley 38-2017, según enmendada, conocida como la “Ley de Procedimiento Administrativo Uniforme del Gobierno de Puerto Rico”.</w:t>
      </w:r>
    </w:p>
    <w:p w14:paraId="4C89CD3F" w14:textId="77777777" w:rsidR="00BA3DAB" w:rsidRPr="00812840" w:rsidRDefault="00BA3DAB" w:rsidP="00BA3DAB">
      <w:pPr>
        <w:pStyle w:val="BodyText"/>
        <w:spacing w:line="480" w:lineRule="auto"/>
        <w:ind w:firstLine="360"/>
        <w:rPr>
          <w:rFonts w:ascii="Book Antiqua" w:hAnsi="Book Antiqua"/>
          <w:lang w:val="es-ES"/>
        </w:rPr>
      </w:pPr>
      <w:r w:rsidRPr="00812840">
        <w:rPr>
          <w:rFonts w:ascii="Book Antiqua" w:hAnsi="Book Antiqua"/>
          <w:lang w:val="es-ES"/>
        </w:rPr>
        <w:t xml:space="preserve">Artículo </w:t>
      </w:r>
      <w:r>
        <w:rPr>
          <w:rFonts w:ascii="Book Antiqua" w:hAnsi="Book Antiqua"/>
          <w:lang w:val="es-ES"/>
        </w:rPr>
        <w:t>8</w:t>
      </w:r>
      <w:r w:rsidRPr="00812840">
        <w:rPr>
          <w:rFonts w:ascii="Book Antiqua" w:hAnsi="Book Antiqua"/>
          <w:lang w:val="es-ES"/>
        </w:rPr>
        <w:t xml:space="preserve">.-Acuerdos </w:t>
      </w:r>
      <w:r>
        <w:rPr>
          <w:rFonts w:ascii="Book Antiqua" w:hAnsi="Book Antiqua"/>
          <w:lang w:val="es-ES"/>
        </w:rPr>
        <w:t>C</w:t>
      </w:r>
      <w:r w:rsidRPr="00812840">
        <w:rPr>
          <w:rFonts w:ascii="Book Antiqua" w:hAnsi="Book Antiqua"/>
          <w:lang w:val="es-ES"/>
        </w:rPr>
        <w:t>olaborativos</w:t>
      </w:r>
      <w:r>
        <w:rPr>
          <w:rFonts w:ascii="Book Antiqua" w:hAnsi="Book Antiqua"/>
          <w:lang w:val="es-ES"/>
        </w:rPr>
        <w:t>.</w:t>
      </w:r>
    </w:p>
    <w:p w14:paraId="5D93C05A" w14:textId="00EFD9F8" w:rsidR="00BA3DAB" w:rsidRPr="00E70F67" w:rsidRDefault="00BA3DAB" w:rsidP="00BA3DAB">
      <w:pPr>
        <w:pStyle w:val="BodyText"/>
        <w:spacing w:line="480" w:lineRule="auto"/>
        <w:ind w:firstLine="360"/>
        <w:rPr>
          <w:rFonts w:ascii="Book Antiqua" w:hAnsi="Book Antiqua"/>
          <w:lang w:val="es-ES"/>
        </w:rPr>
      </w:pPr>
      <w:r w:rsidRPr="61820F22">
        <w:rPr>
          <w:rFonts w:ascii="Book Antiqua" w:hAnsi="Book Antiqua"/>
          <w:lang w:val="es-ES"/>
        </w:rPr>
        <w:t xml:space="preserve">A los fines de asegurar la efectiva consecución de lo establecido mediante esta Ley, se dispone que el Departamento de Salud, </w:t>
      </w:r>
      <w:r w:rsidR="21E943CD" w:rsidRPr="61820F22">
        <w:rPr>
          <w:rFonts w:ascii="Book Antiqua" w:eastAsia="Book Antiqua" w:hAnsi="Book Antiqua" w:cs="Book Antiqua"/>
          <w:i/>
          <w:iCs/>
          <w:color w:val="000000" w:themeColor="text1"/>
          <w:u w:val="single"/>
        </w:rPr>
        <w:t>el Departamento de la Familia,</w:t>
      </w:r>
      <w:r w:rsidR="21E943CD" w:rsidRPr="61820F22">
        <w:rPr>
          <w:rFonts w:ascii="Book Antiqua" w:hAnsi="Book Antiqua"/>
          <w:lang w:val="es-ES"/>
        </w:rPr>
        <w:t xml:space="preserve"> </w:t>
      </w:r>
      <w:r w:rsidRPr="61820F22">
        <w:rPr>
          <w:rFonts w:ascii="Book Antiqua" w:hAnsi="Book Antiqua"/>
          <w:lang w:val="es-ES"/>
        </w:rPr>
        <w:t xml:space="preserve">el Departamento de Educación y la Administración de Rehabilitación Vocacional </w:t>
      </w:r>
      <w:r w:rsidRPr="61820F22">
        <w:rPr>
          <w:rFonts w:ascii="Book Antiqua" w:hAnsi="Book Antiqua"/>
          <w:strike/>
          <w:lang w:val="es-ES"/>
        </w:rPr>
        <w:t>y</w:t>
      </w:r>
      <w:r w:rsidRPr="61820F22">
        <w:rPr>
          <w:rFonts w:ascii="Book Antiqua" w:hAnsi="Book Antiqua"/>
          <w:lang w:val="es-ES"/>
        </w:rPr>
        <w:t>, colabore con PRITS proveyendo, de ser necesario, profesionales capacitados para cumplir con lo dispuesto en la presente Ley.</w:t>
      </w:r>
    </w:p>
    <w:p w14:paraId="08472E11" w14:textId="77777777" w:rsidR="00BA3DAB" w:rsidRDefault="00BA3DAB" w:rsidP="00BA3DAB">
      <w:pPr>
        <w:pStyle w:val="BodyText"/>
        <w:spacing w:line="480" w:lineRule="auto"/>
        <w:ind w:firstLine="360"/>
        <w:rPr>
          <w:rFonts w:ascii="Book Antiqua" w:hAnsi="Book Antiqua"/>
          <w:lang w:val="es-ES_tradnl"/>
        </w:rPr>
      </w:pPr>
      <w:r w:rsidRPr="007647A6">
        <w:rPr>
          <w:rFonts w:ascii="Book Antiqua" w:hAnsi="Book Antiqua"/>
        </w:rPr>
        <w:t xml:space="preserve">Artículo </w:t>
      </w:r>
      <w:r>
        <w:rPr>
          <w:rFonts w:ascii="Book Antiqua" w:hAnsi="Book Antiqua"/>
        </w:rPr>
        <w:t>9</w:t>
      </w:r>
      <w:r w:rsidRPr="007647A6">
        <w:rPr>
          <w:rFonts w:ascii="Book Antiqua" w:hAnsi="Book Antiqua"/>
        </w:rPr>
        <w:t>.-</w:t>
      </w:r>
      <w:r w:rsidRPr="00B87D3C">
        <w:t xml:space="preserve"> </w:t>
      </w:r>
      <w:r w:rsidRPr="00B87D3C">
        <w:rPr>
          <w:rFonts w:ascii="Book Antiqua" w:hAnsi="Book Antiqua"/>
          <w:lang w:val="es-ES_tradnl"/>
        </w:rPr>
        <w:t xml:space="preserve">Seguridad y </w:t>
      </w:r>
      <w:r>
        <w:rPr>
          <w:rFonts w:ascii="Book Antiqua" w:hAnsi="Book Antiqua"/>
          <w:lang w:val="es-ES_tradnl"/>
        </w:rPr>
        <w:t>C</w:t>
      </w:r>
      <w:r w:rsidRPr="00B87D3C">
        <w:rPr>
          <w:rFonts w:ascii="Book Antiqua" w:hAnsi="Book Antiqua"/>
          <w:lang w:val="es-ES_tradnl"/>
        </w:rPr>
        <w:t xml:space="preserve">onfidencialidad de los </w:t>
      </w:r>
      <w:r>
        <w:rPr>
          <w:rFonts w:ascii="Book Antiqua" w:hAnsi="Book Antiqua"/>
          <w:lang w:val="es-ES_tradnl"/>
        </w:rPr>
        <w:t>D</w:t>
      </w:r>
      <w:r w:rsidRPr="00B87D3C">
        <w:rPr>
          <w:rFonts w:ascii="Book Antiqua" w:hAnsi="Book Antiqua"/>
          <w:lang w:val="es-ES_tradnl"/>
        </w:rPr>
        <w:t>atos</w:t>
      </w:r>
      <w:r w:rsidRPr="007647A6">
        <w:rPr>
          <w:rFonts w:ascii="Book Antiqua" w:hAnsi="Book Antiqua"/>
          <w:lang w:val="es-ES_tradnl"/>
        </w:rPr>
        <w:t xml:space="preserve">. </w:t>
      </w:r>
    </w:p>
    <w:p w14:paraId="2DBEEED6" w14:textId="77777777" w:rsidR="00BA3DAB" w:rsidRDefault="00BA3DAB" w:rsidP="00BA3DAB">
      <w:pPr>
        <w:pStyle w:val="BodyText"/>
        <w:spacing w:line="480" w:lineRule="auto"/>
        <w:ind w:firstLine="360"/>
        <w:rPr>
          <w:rFonts w:ascii="Book Antiqua" w:hAnsi="Book Antiqua"/>
          <w:lang w:val="es-ES"/>
        </w:rPr>
      </w:pPr>
      <w:r w:rsidRPr="00D43E19">
        <w:rPr>
          <w:rFonts w:ascii="Book Antiqua" w:hAnsi="Book Antiqua"/>
          <w:lang w:val="es-ES"/>
        </w:rPr>
        <w:t>Toda información contenida en el Expediente Digital Único estará protegida bajo la normativa vigente de confidencialidad y protección de datos personales</w:t>
      </w:r>
      <w:r>
        <w:rPr>
          <w:rFonts w:ascii="Book Antiqua" w:hAnsi="Book Antiqua"/>
          <w:lang w:val="es-ES"/>
        </w:rPr>
        <w:t>.</w:t>
      </w:r>
      <w:r w:rsidRPr="00D43E19">
        <w:t xml:space="preserve"> </w:t>
      </w:r>
      <w:r w:rsidRPr="00D43E19">
        <w:rPr>
          <w:rFonts w:ascii="Book Antiqua" w:hAnsi="Book Antiqua"/>
          <w:lang w:val="es-ES"/>
        </w:rPr>
        <w:t xml:space="preserve">El acceso al </w:t>
      </w:r>
      <w:r w:rsidRPr="00D43E19">
        <w:rPr>
          <w:rFonts w:ascii="Book Antiqua" w:hAnsi="Book Antiqua"/>
          <w:lang w:val="es-ES"/>
        </w:rPr>
        <w:lastRenderedPageBreak/>
        <w:t xml:space="preserve">expediente estará </w:t>
      </w:r>
      <w:r>
        <w:rPr>
          <w:rFonts w:ascii="Book Antiqua" w:hAnsi="Book Antiqua"/>
          <w:lang w:val="es-ES"/>
        </w:rPr>
        <w:t xml:space="preserve">estrictamente </w:t>
      </w:r>
      <w:r w:rsidRPr="00D43E19">
        <w:rPr>
          <w:rFonts w:ascii="Book Antiqua" w:hAnsi="Book Antiqua"/>
          <w:lang w:val="es-ES"/>
        </w:rPr>
        <w:t>limitado a las agencias concernidas y a la persona con diversidad funcional o sus representantes legales, según establecido por ley</w:t>
      </w:r>
      <w:r>
        <w:rPr>
          <w:rFonts w:ascii="Book Antiqua" w:hAnsi="Book Antiqua"/>
          <w:lang w:val="es-ES"/>
        </w:rPr>
        <w:t>.</w:t>
      </w:r>
      <w:r w:rsidRPr="00E70F67">
        <w:rPr>
          <w:rFonts w:ascii="Book Antiqua" w:hAnsi="Book Antiqua"/>
          <w:lang w:val="es-ES"/>
        </w:rPr>
        <w:t xml:space="preserve"> </w:t>
      </w:r>
    </w:p>
    <w:p w14:paraId="10DD451D" w14:textId="77777777" w:rsidR="00BA3DAB" w:rsidRPr="00113415" w:rsidRDefault="00BA3DAB" w:rsidP="00BA3DAB">
      <w:pPr>
        <w:pStyle w:val="BodyText"/>
        <w:spacing w:line="480" w:lineRule="auto"/>
        <w:ind w:firstLine="360"/>
        <w:rPr>
          <w:rFonts w:ascii="Book Antiqua" w:hAnsi="Book Antiqua"/>
          <w:lang w:val="es-ES"/>
        </w:rPr>
      </w:pPr>
      <w:r w:rsidRPr="00113415">
        <w:rPr>
          <w:rFonts w:ascii="Book Antiqua" w:hAnsi="Book Antiqua"/>
          <w:lang w:val="es-ES"/>
        </w:rPr>
        <w:t xml:space="preserve">Artículo </w:t>
      </w:r>
      <w:r>
        <w:rPr>
          <w:rFonts w:ascii="Book Antiqua" w:hAnsi="Book Antiqua"/>
          <w:lang w:val="es-ES"/>
        </w:rPr>
        <w:t>10</w:t>
      </w:r>
      <w:r w:rsidRPr="00113415">
        <w:rPr>
          <w:rFonts w:ascii="Book Antiqua" w:hAnsi="Book Antiqua"/>
          <w:lang w:val="es-ES"/>
        </w:rPr>
        <w:t xml:space="preserve">.- Cláusula </w:t>
      </w:r>
      <w:r>
        <w:rPr>
          <w:rFonts w:ascii="Book Antiqua" w:hAnsi="Book Antiqua"/>
          <w:lang w:val="es-ES"/>
        </w:rPr>
        <w:t>D</w:t>
      </w:r>
      <w:r w:rsidRPr="00113415">
        <w:rPr>
          <w:rFonts w:ascii="Book Antiqua" w:hAnsi="Book Antiqua"/>
          <w:lang w:val="es-ES"/>
        </w:rPr>
        <w:t>erogatoria.</w:t>
      </w:r>
    </w:p>
    <w:p w14:paraId="13B113F3" w14:textId="77777777" w:rsidR="00BA3DAB" w:rsidRPr="00113415" w:rsidRDefault="00BA3DAB" w:rsidP="00BA3DAB">
      <w:pPr>
        <w:pStyle w:val="BodyText"/>
        <w:spacing w:line="480" w:lineRule="auto"/>
        <w:ind w:firstLine="360"/>
        <w:rPr>
          <w:rFonts w:ascii="Book Antiqua" w:hAnsi="Book Antiqua"/>
          <w:lang w:val="es-ES"/>
        </w:rPr>
      </w:pPr>
      <w:r w:rsidRPr="00113415">
        <w:rPr>
          <w:rFonts w:ascii="Book Antiqua" w:hAnsi="Book Antiqua"/>
          <w:lang w:val="es-ES"/>
        </w:rPr>
        <w:t>Cualquier disposición de ley o reglamentación que sea incompatible con las disposiciones de esta Ley queda por la presente derogada hasta donde existiere tal incompatibilidad.</w:t>
      </w:r>
    </w:p>
    <w:p w14:paraId="0B56FD6A" w14:textId="77777777" w:rsidR="00BA3DAB" w:rsidRPr="00113415" w:rsidRDefault="00BA3DAB" w:rsidP="00BA3DAB">
      <w:pPr>
        <w:pStyle w:val="BodyText"/>
        <w:spacing w:line="480" w:lineRule="auto"/>
        <w:ind w:firstLine="360"/>
        <w:rPr>
          <w:rFonts w:ascii="Book Antiqua" w:hAnsi="Book Antiqua"/>
          <w:lang w:val="es-ES"/>
        </w:rPr>
      </w:pPr>
      <w:r w:rsidRPr="00113415">
        <w:rPr>
          <w:rFonts w:ascii="Book Antiqua" w:hAnsi="Book Antiqua"/>
          <w:lang w:val="es-ES"/>
        </w:rPr>
        <w:t xml:space="preserve">Artículo </w:t>
      </w:r>
      <w:r>
        <w:rPr>
          <w:rFonts w:ascii="Book Antiqua" w:hAnsi="Book Antiqua"/>
          <w:lang w:val="es-ES"/>
        </w:rPr>
        <w:t>11</w:t>
      </w:r>
      <w:r w:rsidRPr="00113415">
        <w:rPr>
          <w:rFonts w:ascii="Book Antiqua" w:hAnsi="Book Antiqua"/>
          <w:lang w:val="es-ES"/>
        </w:rPr>
        <w:t xml:space="preserve">.- Cláusula de </w:t>
      </w:r>
      <w:r>
        <w:rPr>
          <w:rFonts w:ascii="Book Antiqua" w:hAnsi="Book Antiqua"/>
          <w:lang w:val="es-ES"/>
        </w:rPr>
        <w:t>S</w:t>
      </w:r>
      <w:r w:rsidRPr="00113415">
        <w:rPr>
          <w:rFonts w:ascii="Book Antiqua" w:hAnsi="Book Antiqua"/>
          <w:lang w:val="es-ES"/>
        </w:rPr>
        <w:t xml:space="preserve">eparabilidad. </w:t>
      </w:r>
    </w:p>
    <w:p w14:paraId="23447E76" w14:textId="77777777" w:rsidR="00BA3DAB" w:rsidRPr="00113415" w:rsidRDefault="00BA3DAB" w:rsidP="00BA3DAB">
      <w:pPr>
        <w:pStyle w:val="BodyText"/>
        <w:spacing w:line="480" w:lineRule="auto"/>
        <w:ind w:firstLine="360"/>
        <w:rPr>
          <w:rFonts w:ascii="Book Antiqua" w:hAnsi="Book Antiqua"/>
          <w:lang w:val="es-ES"/>
        </w:rPr>
      </w:pPr>
      <w:r w:rsidRPr="00657006">
        <w:rPr>
          <w:rFonts w:ascii="Book Antiqua" w:hAnsi="Book Antiqua"/>
          <w:lang w:val="es-ES"/>
        </w:rPr>
        <w:t>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esta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las que se pueda aplicar válidamente</w:t>
      </w:r>
      <w:r w:rsidRPr="00113415">
        <w:rPr>
          <w:rFonts w:ascii="Book Antiqua" w:hAnsi="Book Antiqua"/>
          <w:lang w:val="es-ES"/>
        </w:rPr>
        <w:t>.</w:t>
      </w:r>
    </w:p>
    <w:p w14:paraId="15B43C20" w14:textId="77777777" w:rsidR="00BA3DAB" w:rsidRPr="00113415" w:rsidRDefault="00BA3DAB" w:rsidP="00BA3DAB">
      <w:pPr>
        <w:pStyle w:val="BodyText"/>
        <w:spacing w:line="480" w:lineRule="auto"/>
        <w:ind w:firstLine="360"/>
        <w:rPr>
          <w:rFonts w:ascii="Book Antiqua" w:hAnsi="Book Antiqua"/>
          <w:lang w:val="es-ES"/>
        </w:rPr>
      </w:pPr>
      <w:r w:rsidRPr="00113415">
        <w:rPr>
          <w:rFonts w:ascii="Book Antiqua" w:hAnsi="Book Antiqua"/>
          <w:lang w:val="es-ES"/>
        </w:rPr>
        <w:t>Artículo 1</w:t>
      </w:r>
      <w:r>
        <w:rPr>
          <w:rFonts w:ascii="Book Antiqua" w:hAnsi="Book Antiqua"/>
          <w:lang w:val="es-ES"/>
        </w:rPr>
        <w:t>2</w:t>
      </w:r>
      <w:r w:rsidRPr="00113415">
        <w:rPr>
          <w:rFonts w:ascii="Book Antiqua" w:hAnsi="Book Antiqua"/>
          <w:lang w:val="es-ES"/>
        </w:rPr>
        <w:t>.- Vigencia.</w:t>
      </w:r>
    </w:p>
    <w:p w14:paraId="2F72E411" w14:textId="78BDB593" w:rsidR="0086165E" w:rsidRPr="00BA3DAB" w:rsidRDefault="00BA3DAB" w:rsidP="00BA3DAB">
      <w:pPr>
        <w:pStyle w:val="BodyText"/>
        <w:spacing w:line="480" w:lineRule="auto"/>
        <w:ind w:firstLine="360"/>
        <w:rPr>
          <w:rFonts w:ascii="Book Antiqua" w:hAnsi="Book Antiqua"/>
          <w:lang w:val="es-ES"/>
        </w:rPr>
      </w:pPr>
      <w:r w:rsidRPr="00113415">
        <w:rPr>
          <w:rFonts w:ascii="Book Antiqua" w:hAnsi="Book Antiqua"/>
          <w:lang w:val="es-ES"/>
        </w:rPr>
        <w:lastRenderedPageBreak/>
        <w:t xml:space="preserve">Esta Ley comenzará a regir </w:t>
      </w:r>
      <w:r>
        <w:rPr>
          <w:rFonts w:ascii="Book Antiqua" w:hAnsi="Book Antiqua"/>
          <w:lang w:val="es-ES"/>
        </w:rPr>
        <w:t>ciento ochenta (180</w:t>
      </w:r>
      <w:r w:rsidRPr="00113415">
        <w:rPr>
          <w:rFonts w:ascii="Book Antiqua" w:hAnsi="Book Antiqua"/>
          <w:lang w:val="es-ES"/>
        </w:rPr>
        <w:t xml:space="preserve">) </w:t>
      </w:r>
      <w:r>
        <w:rPr>
          <w:rFonts w:ascii="Book Antiqua" w:hAnsi="Book Antiqua"/>
          <w:lang w:val="es-ES"/>
        </w:rPr>
        <w:t xml:space="preserve">días </w:t>
      </w:r>
      <w:r w:rsidRPr="00113415">
        <w:rPr>
          <w:rFonts w:ascii="Book Antiqua" w:hAnsi="Book Antiqua"/>
          <w:lang w:val="es-ES"/>
        </w:rPr>
        <w:t xml:space="preserve">luego de su aprobación, con excepción de aquellas disposiciones sobre adopción de reglamentos, </w:t>
      </w:r>
      <w:r>
        <w:rPr>
          <w:rFonts w:ascii="Book Antiqua" w:hAnsi="Book Antiqua"/>
          <w:lang w:val="es-ES"/>
        </w:rPr>
        <w:t>recopilación y preparación</w:t>
      </w:r>
      <w:r w:rsidRPr="00113415">
        <w:rPr>
          <w:rFonts w:ascii="Book Antiqua" w:hAnsi="Book Antiqua"/>
          <w:lang w:val="es-ES"/>
        </w:rPr>
        <w:t xml:space="preserve"> de inventarios de </w:t>
      </w:r>
      <w:r>
        <w:rPr>
          <w:rFonts w:ascii="Book Antiqua" w:hAnsi="Book Antiqua"/>
          <w:lang w:val="es-ES"/>
        </w:rPr>
        <w:t>d</w:t>
      </w:r>
      <w:r w:rsidRPr="00113415">
        <w:rPr>
          <w:rFonts w:ascii="Book Antiqua" w:hAnsi="Book Antiqua"/>
          <w:lang w:val="es-ES"/>
        </w:rPr>
        <w:t xml:space="preserve">atos, </w:t>
      </w:r>
      <w:r>
        <w:rPr>
          <w:rFonts w:ascii="Book Antiqua" w:hAnsi="Book Antiqua"/>
          <w:lang w:val="es-ES"/>
        </w:rPr>
        <w:t xml:space="preserve">diseño del expediente único digital, </w:t>
      </w:r>
      <w:r w:rsidRPr="00113415">
        <w:rPr>
          <w:rFonts w:ascii="Book Antiqua" w:hAnsi="Book Antiqua"/>
          <w:lang w:val="es-ES"/>
        </w:rPr>
        <w:t>planes de trabajo, informes y manuales, las cuales entrarán en vigor inmediatamente después de su aprobación</w:t>
      </w:r>
      <w:r>
        <w:rPr>
          <w:rFonts w:ascii="Book Antiqua" w:hAnsi="Book Antiqua"/>
          <w:lang w:val="es-ES"/>
        </w:rPr>
        <w:t>.</w:t>
      </w:r>
      <w:bookmarkEnd w:id="2"/>
      <w:bookmarkEnd w:id="3"/>
    </w:p>
    <w:sectPr w:rsidR="0086165E" w:rsidRPr="00BA3DAB">
      <w:headerReference w:type="even" r:id="rId11"/>
      <w:headerReference w:type="default" r:id="rId12"/>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F8D7C4" w14:textId="77777777" w:rsidR="00551F6A" w:rsidRDefault="00551F6A">
      <w:r>
        <w:separator/>
      </w:r>
    </w:p>
  </w:endnote>
  <w:endnote w:type="continuationSeparator" w:id="0">
    <w:p w14:paraId="2AB4309B" w14:textId="77777777" w:rsidR="00551F6A" w:rsidRDefault="00551F6A">
      <w:r>
        <w:continuationSeparator/>
      </w:r>
    </w:p>
  </w:endnote>
  <w:endnote w:type="continuationNotice" w:id="1">
    <w:p w14:paraId="2C8ECB56" w14:textId="77777777" w:rsidR="00551F6A" w:rsidRDefault="00551F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altName w:val="Cambria"/>
    <w:panose1 w:val="02040602050305030304"/>
    <w:charset w:val="00"/>
    <w:family w:val="roman"/>
    <w:pitch w:val="variable"/>
    <w:sig w:usb0="00000287" w:usb1="00000000" w:usb2="00000000" w:usb3="00000000" w:csb0="0000009F" w:csb1="00000000"/>
    <w:embedRegular r:id="rId1" w:fontKey="{1DD343DB-9B14-4200-AA0D-2A64528D7701}"/>
    <w:embedBold r:id="rId2" w:fontKey="{0B278D71-80AC-4FB4-A342-915B3C205C77}"/>
    <w:embedItalic r:id="rId3" w:fontKey="{1F0B0FD9-55A8-46EF-AAEA-570C397E7EC8}"/>
  </w:font>
  <w:font w:name="Segoe UI">
    <w:panose1 w:val="020B0502040204020203"/>
    <w:charset w:val="00"/>
    <w:family w:val="swiss"/>
    <w:pitch w:val="variable"/>
    <w:sig w:usb0="E4002EFF" w:usb1="C000E47F" w:usb2="00000009" w:usb3="00000000" w:csb0="000001FF" w:csb1="00000000"/>
    <w:embedRegular r:id="rId4" w:fontKey="{10C0FECB-4B50-4AB1-A3CE-D9AECC967F10}"/>
  </w:font>
  <w:font w:name="Georgia">
    <w:panose1 w:val="02040502050405020303"/>
    <w:charset w:val="00"/>
    <w:family w:val="roman"/>
    <w:pitch w:val="variable"/>
    <w:sig w:usb0="00000287" w:usb1="00000000" w:usb2="00000000" w:usb3="00000000" w:csb0="0000009F" w:csb1="00000000"/>
    <w:embedRegular r:id="rId5" w:fontKey="{A3130259-E63D-40BB-BDB5-BC9388B9009C}"/>
    <w:embedItalic r:id="rId6" w:fontKey="{7A9CEED6-8D87-4A7C-91C0-65E075548309}"/>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embedRegular r:id="rId7" w:fontKey="{8E60BA62-F91D-44A4-93BD-35BD8222FC6D}"/>
    <w:embedItalic r:id="rId8" w:fontKey="{AB07D8A2-3D38-4273-9EA8-C64E58354EE9}"/>
  </w:font>
  <w:font w:name="AvenirNextLTPro">
    <w:altName w:val="Calibri"/>
    <w:panose1 w:val="00000000000000000000"/>
    <w:charset w:val="00"/>
    <w:family w:val="swiss"/>
    <w:notTrueType/>
    <w:pitch w:val="default"/>
    <w:sig w:usb0="00000003" w:usb1="00000000" w:usb2="00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embedRegular r:id="rId9" w:fontKey="{B26B7A72-E13A-4688-9AB0-BE4D6D9A9E94}"/>
  </w:font>
  <w:font w:name="Calibri">
    <w:panose1 w:val="020F0502020204030204"/>
    <w:charset w:val="00"/>
    <w:family w:val="swiss"/>
    <w:pitch w:val="variable"/>
    <w:sig w:usb0="E4002EFF" w:usb1="C000247B" w:usb2="00000009" w:usb3="00000000" w:csb0="000001FF" w:csb1="00000000"/>
    <w:embedRegular r:id="rId10" w:fontKey="{3D229D81-5177-482C-9F0D-15454BCBECF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3" w14:textId="77777777" w:rsidR="0086165E" w:rsidRDefault="0086165E">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86165E" w14:paraId="2F72E417" w14:textId="77777777">
      <w:trPr>
        <w:trHeight w:val="300"/>
      </w:trPr>
      <w:tc>
        <w:tcPr>
          <w:tcW w:w="3120" w:type="dxa"/>
          <w:tcMar>
            <w:top w:w="0" w:type="dxa"/>
            <w:left w:w="108" w:type="dxa"/>
            <w:bottom w:w="0" w:type="dxa"/>
            <w:right w:w="108" w:type="dxa"/>
          </w:tcMar>
        </w:tcPr>
        <w:p w14:paraId="2F72E414" w14:textId="77777777" w:rsidR="0086165E" w:rsidRDefault="0086165E">
          <w:pPr>
            <w:tabs>
              <w:tab w:val="center" w:pos="4320"/>
              <w:tab w:val="right" w:pos="8640"/>
            </w:tabs>
            <w:ind w:left="-115"/>
            <w:rPr>
              <w:color w:val="000000"/>
            </w:rPr>
          </w:pPr>
        </w:p>
      </w:tc>
      <w:tc>
        <w:tcPr>
          <w:tcW w:w="3120" w:type="dxa"/>
          <w:tcMar>
            <w:top w:w="0" w:type="dxa"/>
            <w:left w:w="108" w:type="dxa"/>
            <w:bottom w:w="0" w:type="dxa"/>
            <w:right w:w="108" w:type="dxa"/>
          </w:tcMar>
        </w:tcPr>
        <w:p w14:paraId="2F72E415" w14:textId="77777777" w:rsidR="0086165E" w:rsidRDefault="0086165E">
          <w:pPr>
            <w:tabs>
              <w:tab w:val="center" w:pos="4320"/>
              <w:tab w:val="right" w:pos="8640"/>
            </w:tabs>
            <w:jc w:val="center"/>
            <w:rPr>
              <w:color w:val="000000"/>
            </w:rPr>
          </w:pPr>
        </w:p>
      </w:tc>
      <w:tc>
        <w:tcPr>
          <w:tcW w:w="3120" w:type="dxa"/>
          <w:tcMar>
            <w:top w:w="0" w:type="dxa"/>
            <w:left w:w="108" w:type="dxa"/>
            <w:bottom w:w="0" w:type="dxa"/>
            <w:right w:w="108" w:type="dxa"/>
          </w:tcMar>
        </w:tcPr>
        <w:p w14:paraId="2F72E416" w14:textId="77777777" w:rsidR="0086165E" w:rsidRDefault="0086165E">
          <w:pPr>
            <w:tabs>
              <w:tab w:val="center" w:pos="4320"/>
              <w:tab w:val="right" w:pos="8640"/>
            </w:tabs>
            <w:ind w:right="-115"/>
            <w:jc w:val="right"/>
            <w:rPr>
              <w:color w:val="000000"/>
            </w:rPr>
          </w:pPr>
        </w:p>
      </w:tc>
    </w:tr>
  </w:tbl>
  <w:p w14:paraId="2F72E418" w14:textId="77777777" w:rsidR="0086165E" w:rsidRDefault="0086165E">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B" w14:textId="77777777" w:rsidR="0086165E" w:rsidRDefault="0086165E">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86165E" w14:paraId="2F72E41F" w14:textId="77777777">
      <w:trPr>
        <w:trHeight w:val="300"/>
      </w:trPr>
      <w:tc>
        <w:tcPr>
          <w:tcW w:w="3120" w:type="dxa"/>
          <w:tcMar>
            <w:top w:w="0" w:type="dxa"/>
            <w:left w:w="108" w:type="dxa"/>
            <w:bottom w:w="0" w:type="dxa"/>
            <w:right w:w="108" w:type="dxa"/>
          </w:tcMar>
        </w:tcPr>
        <w:p w14:paraId="2F72E41C" w14:textId="77777777" w:rsidR="0086165E" w:rsidRDefault="0086165E">
          <w:pPr>
            <w:tabs>
              <w:tab w:val="center" w:pos="4320"/>
              <w:tab w:val="right" w:pos="8640"/>
            </w:tabs>
            <w:ind w:left="-115"/>
            <w:rPr>
              <w:color w:val="000000"/>
            </w:rPr>
          </w:pPr>
        </w:p>
      </w:tc>
      <w:tc>
        <w:tcPr>
          <w:tcW w:w="3120" w:type="dxa"/>
          <w:tcMar>
            <w:top w:w="0" w:type="dxa"/>
            <w:left w:w="108" w:type="dxa"/>
            <w:bottom w:w="0" w:type="dxa"/>
            <w:right w:w="108" w:type="dxa"/>
          </w:tcMar>
        </w:tcPr>
        <w:p w14:paraId="2F72E41D" w14:textId="77777777" w:rsidR="0086165E" w:rsidRDefault="0086165E">
          <w:pPr>
            <w:tabs>
              <w:tab w:val="center" w:pos="4320"/>
              <w:tab w:val="right" w:pos="8640"/>
            </w:tabs>
            <w:jc w:val="center"/>
            <w:rPr>
              <w:color w:val="000000"/>
            </w:rPr>
          </w:pPr>
        </w:p>
      </w:tc>
      <w:tc>
        <w:tcPr>
          <w:tcW w:w="3120" w:type="dxa"/>
          <w:tcMar>
            <w:top w:w="0" w:type="dxa"/>
            <w:left w:w="108" w:type="dxa"/>
            <w:bottom w:w="0" w:type="dxa"/>
            <w:right w:w="108" w:type="dxa"/>
          </w:tcMar>
        </w:tcPr>
        <w:p w14:paraId="2F72E41E" w14:textId="77777777" w:rsidR="0086165E" w:rsidRDefault="0086165E">
          <w:pPr>
            <w:tabs>
              <w:tab w:val="center" w:pos="4320"/>
              <w:tab w:val="right" w:pos="8640"/>
            </w:tabs>
            <w:ind w:right="-115"/>
            <w:jc w:val="right"/>
            <w:rPr>
              <w:color w:val="000000"/>
            </w:rPr>
          </w:pPr>
        </w:p>
      </w:tc>
    </w:tr>
  </w:tbl>
  <w:p w14:paraId="2F72E420" w14:textId="77777777" w:rsidR="0086165E" w:rsidRDefault="0086165E">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E80D20" w14:textId="77777777" w:rsidR="00551F6A" w:rsidRDefault="00551F6A">
      <w:r>
        <w:separator/>
      </w:r>
    </w:p>
  </w:footnote>
  <w:footnote w:type="continuationSeparator" w:id="0">
    <w:p w14:paraId="76C21687" w14:textId="77777777" w:rsidR="00551F6A" w:rsidRDefault="00551F6A">
      <w:r>
        <w:continuationSeparator/>
      </w:r>
    </w:p>
  </w:footnote>
  <w:footnote w:type="continuationNotice" w:id="1">
    <w:p w14:paraId="541F3F27" w14:textId="77777777" w:rsidR="00551F6A" w:rsidRDefault="00551F6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2" w14:textId="77777777" w:rsidR="0086165E" w:rsidRDefault="0099207B">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9" w14:textId="2388AE51" w:rsidR="0086165E" w:rsidRDefault="0099207B">
    <w:pPr>
      <w:tabs>
        <w:tab w:val="center" w:pos="4320"/>
        <w:tab w:val="right" w:pos="8640"/>
      </w:tabs>
      <w:jc w:val="right"/>
      <w:rPr>
        <w:color w:val="000000"/>
      </w:rPr>
    </w:pPr>
    <w:r>
      <w:rPr>
        <w:color w:val="000000"/>
      </w:rPr>
      <w:t>A-00</w:t>
    </w:r>
    <w:r w:rsidR="00BA3DAB">
      <w:rPr>
        <w:color w:val="000000"/>
      </w:rPr>
      <w:t>9</w:t>
    </w:r>
  </w:p>
  <w:p w14:paraId="2F72E41A" w14:textId="77777777" w:rsidR="0086165E" w:rsidRDefault="0099207B">
    <w:pPr>
      <w:tabs>
        <w:tab w:val="center" w:pos="4320"/>
        <w:tab w:val="right" w:pos="8640"/>
      </w:tabs>
      <w:rPr>
        <w:color w:val="000000"/>
      </w:rPr>
    </w:pPr>
    <w:r>
      <w:rPr>
        <w:color w:val="000000"/>
      </w:rPr>
      <w:tab/>
    </w:r>
    <w:r>
      <w:rPr>
        <w:color w:val="00000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21" w14:textId="77777777" w:rsidR="0086165E" w:rsidRDefault="0099207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F72E422" w14:textId="77777777" w:rsidR="0086165E" w:rsidRDefault="0086165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6557505"/>
      <w:docPartObj>
        <w:docPartGallery w:val="AutoText"/>
      </w:docPartObj>
    </w:sdtPr>
    <w:sdtEndPr/>
    <w:sdtContent>
      <w:p w14:paraId="2F72E423" w14:textId="77777777" w:rsidR="0086165E" w:rsidRDefault="0099207B">
        <w:pPr>
          <w:pStyle w:val="Header"/>
          <w:jc w:val="center"/>
        </w:pPr>
        <w:r>
          <w:fldChar w:fldCharType="begin"/>
        </w:r>
        <w:r>
          <w:instrText xml:space="preserve"> PAGE   \* MERGEFORMAT </w:instrText>
        </w:r>
        <w:r>
          <w:fldChar w:fldCharType="separate"/>
        </w:r>
        <w:r>
          <w:t>5</w:t>
        </w:r>
        <w:r>
          <w:fldChar w:fldCharType="end"/>
        </w:r>
      </w:p>
    </w:sdtContent>
  </w:sdt>
  <w:p w14:paraId="2F72E424" w14:textId="77777777" w:rsidR="0086165E" w:rsidRDefault="0086165E">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C0891"/>
    <w:multiLevelType w:val="multilevel"/>
    <w:tmpl w:val="0E0C089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14F39D4"/>
    <w:multiLevelType w:val="multilevel"/>
    <w:tmpl w:val="414F39D4"/>
    <w:lvl w:ilvl="0">
      <w:start w:val="1"/>
      <w:numFmt w:val="decimal"/>
      <w:lvlText w:val="%1."/>
      <w:lvlJc w:val="left"/>
      <w:pPr>
        <w:ind w:left="720" w:hanging="360"/>
      </w:pPr>
      <w:rPr>
        <w:rFonts w:eastAsia="Times New Roman" w:cs="Times New Roman"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71883335">
    <w:abstractNumId w:val="0"/>
  </w:num>
  <w:num w:numId="2" w16cid:durableId="529952247">
    <w:abstractNumId w:val="1"/>
  </w:num>
  <w:num w:numId="3" w16cid:durableId="6815910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embedTrueTypeFonts/>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107AB"/>
    <w:rsid w:val="00010D19"/>
    <w:rsid w:val="00015AF4"/>
    <w:rsid w:val="000248C7"/>
    <w:rsid w:val="00027C66"/>
    <w:rsid w:val="00033980"/>
    <w:rsid w:val="00033B80"/>
    <w:rsid w:val="00035CB9"/>
    <w:rsid w:val="000416E3"/>
    <w:rsid w:val="00051AD1"/>
    <w:rsid w:val="00056D71"/>
    <w:rsid w:val="00067E49"/>
    <w:rsid w:val="000700E0"/>
    <w:rsid w:val="000711FC"/>
    <w:rsid w:val="00074B76"/>
    <w:rsid w:val="0008657D"/>
    <w:rsid w:val="000B1BE8"/>
    <w:rsid w:val="000B33EC"/>
    <w:rsid w:val="000B4CF9"/>
    <w:rsid w:val="000C0F6A"/>
    <w:rsid w:val="000C188B"/>
    <w:rsid w:val="000C4A0E"/>
    <w:rsid w:val="000C60AE"/>
    <w:rsid w:val="000C68E5"/>
    <w:rsid w:val="000D1B64"/>
    <w:rsid w:val="000D2EB5"/>
    <w:rsid w:val="000D30A4"/>
    <w:rsid w:val="000E3403"/>
    <w:rsid w:val="000E428F"/>
    <w:rsid w:val="000E5780"/>
    <w:rsid w:val="000E6E74"/>
    <w:rsid w:val="000E78E8"/>
    <w:rsid w:val="000F7E20"/>
    <w:rsid w:val="001040ED"/>
    <w:rsid w:val="00105B40"/>
    <w:rsid w:val="0011139B"/>
    <w:rsid w:val="001131EF"/>
    <w:rsid w:val="00113415"/>
    <w:rsid w:val="00115129"/>
    <w:rsid w:val="0011591A"/>
    <w:rsid w:val="00122382"/>
    <w:rsid w:val="0012419B"/>
    <w:rsid w:val="001255FB"/>
    <w:rsid w:val="001265F1"/>
    <w:rsid w:val="00133178"/>
    <w:rsid w:val="00133D83"/>
    <w:rsid w:val="001363AF"/>
    <w:rsid w:val="00136986"/>
    <w:rsid w:val="00136AC5"/>
    <w:rsid w:val="00142293"/>
    <w:rsid w:val="00150C87"/>
    <w:rsid w:val="0015241F"/>
    <w:rsid w:val="00152B9A"/>
    <w:rsid w:val="00160ABA"/>
    <w:rsid w:val="001613A5"/>
    <w:rsid w:val="00163C03"/>
    <w:rsid w:val="00164AC1"/>
    <w:rsid w:val="00164E97"/>
    <w:rsid w:val="001677A8"/>
    <w:rsid w:val="001747BE"/>
    <w:rsid w:val="00192D73"/>
    <w:rsid w:val="00194A5E"/>
    <w:rsid w:val="001969E8"/>
    <w:rsid w:val="001A0C9E"/>
    <w:rsid w:val="001A18F4"/>
    <w:rsid w:val="001A25B8"/>
    <w:rsid w:val="001A2F65"/>
    <w:rsid w:val="001A35E2"/>
    <w:rsid w:val="001A57DF"/>
    <w:rsid w:val="001B1AAC"/>
    <w:rsid w:val="001B6B7A"/>
    <w:rsid w:val="001C50A0"/>
    <w:rsid w:val="001C7468"/>
    <w:rsid w:val="001D07B3"/>
    <w:rsid w:val="001D0FDF"/>
    <w:rsid w:val="001D54A8"/>
    <w:rsid w:val="001D75A8"/>
    <w:rsid w:val="001E1A20"/>
    <w:rsid w:val="001E33DB"/>
    <w:rsid w:val="001E6305"/>
    <w:rsid w:val="001E6E99"/>
    <w:rsid w:val="0020530B"/>
    <w:rsid w:val="0020610D"/>
    <w:rsid w:val="0021328C"/>
    <w:rsid w:val="002138BE"/>
    <w:rsid w:val="002171AD"/>
    <w:rsid w:val="0022330F"/>
    <w:rsid w:val="002268D0"/>
    <w:rsid w:val="002271A5"/>
    <w:rsid w:val="002318F0"/>
    <w:rsid w:val="0023393F"/>
    <w:rsid w:val="002431B7"/>
    <w:rsid w:val="0024618D"/>
    <w:rsid w:val="00253D9F"/>
    <w:rsid w:val="00254DCC"/>
    <w:rsid w:val="0025524E"/>
    <w:rsid w:val="002646F8"/>
    <w:rsid w:val="00266688"/>
    <w:rsid w:val="00266D4C"/>
    <w:rsid w:val="00270743"/>
    <w:rsid w:val="00273031"/>
    <w:rsid w:val="0028441B"/>
    <w:rsid w:val="00285A15"/>
    <w:rsid w:val="00286B47"/>
    <w:rsid w:val="002A1D65"/>
    <w:rsid w:val="002A23EE"/>
    <w:rsid w:val="002A27D4"/>
    <w:rsid w:val="002A2FDA"/>
    <w:rsid w:val="002A4E84"/>
    <w:rsid w:val="002A4F4F"/>
    <w:rsid w:val="002A7C37"/>
    <w:rsid w:val="002B02C2"/>
    <w:rsid w:val="002B39A7"/>
    <w:rsid w:val="002B4C93"/>
    <w:rsid w:val="002B5618"/>
    <w:rsid w:val="002B68B4"/>
    <w:rsid w:val="002B6CC7"/>
    <w:rsid w:val="002B7906"/>
    <w:rsid w:val="002C11AB"/>
    <w:rsid w:val="002C2C31"/>
    <w:rsid w:val="002C2DB0"/>
    <w:rsid w:val="002C6423"/>
    <w:rsid w:val="002D4BD2"/>
    <w:rsid w:val="002D6159"/>
    <w:rsid w:val="002E1467"/>
    <w:rsid w:val="002E34D5"/>
    <w:rsid w:val="002E4898"/>
    <w:rsid w:val="002F21CF"/>
    <w:rsid w:val="002F3045"/>
    <w:rsid w:val="002F48BA"/>
    <w:rsid w:val="002F5B16"/>
    <w:rsid w:val="0030308D"/>
    <w:rsid w:val="00303699"/>
    <w:rsid w:val="00314D79"/>
    <w:rsid w:val="00314E6B"/>
    <w:rsid w:val="00321AB7"/>
    <w:rsid w:val="00327314"/>
    <w:rsid w:val="00327833"/>
    <w:rsid w:val="00343CBC"/>
    <w:rsid w:val="003524D5"/>
    <w:rsid w:val="0035313D"/>
    <w:rsid w:val="00362698"/>
    <w:rsid w:val="0036500C"/>
    <w:rsid w:val="00365BB2"/>
    <w:rsid w:val="00372695"/>
    <w:rsid w:val="0037540B"/>
    <w:rsid w:val="00380D7C"/>
    <w:rsid w:val="0038126F"/>
    <w:rsid w:val="00385901"/>
    <w:rsid w:val="0039554A"/>
    <w:rsid w:val="003963BE"/>
    <w:rsid w:val="00397238"/>
    <w:rsid w:val="003A2100"/>
    <w:rsid w:val="003C79D6"/>
    <w:rsid w:val="003D33D5"/>
    <w:rsid w:val="003D3EA2"/>
    <w:rsid w:val="003D42BF"/>
    <w:rsid w:val="003D4499"/>
    <w:rsid w:val="003E30F3"/>
    <w:rsid w:val="003E4859"/>
    <w:rsid w:val="003F18AA"/>
    <w:rsid w:val="003F352A"/>
    <w:rsid w:val="003F4992"/>
    <w:rsid w:val="004143E0"/>
    <w:rsid w:val="00415E5D"/>
    <w:rsid w:val="00416F13"/>
    <w:rsid w:val="0042014B"/>
    <w:rsid w:val="0042619D"/>
    <w:rsid w:val="00431D54"/>
    <w:rsid w:val="00432F8E"/>
    <w:rsid w:val="00437DC4"/>
    <w:rsid w:val="00444257"/>
    <w:rsid w:val="00452649"/>
    <w:rsid w:val="00461FBD"/>
    <w:rsid w:val="00464BCF"/>
    <w:rsid w:val="004675CC"/>
    <w:rsid w:val="00480C72"/>
    <w:rsid w:val="00493F9B"/>
    <w:rsid w:val="004943B1"/>
    <w:rsid w:val="004A4994"/>
    <w:rsid w:val="004A5974"/>
    <w:rsid w:val="004B769A"/>
    <w:rsid w:val="004B7EA0"/>
    <w:rsid w:val="004C3A23"/>
    <w:rsid w:val="004C411D"/>
    <w:rsid w:val="004C41AE"/>
    <w:rsid w:val="004C6236"/>
    <w:rsid w:val="004D49FA"/>
    <w:rsid w:val="004D4F2E"/>
    <w:rsid w:val="004D7071"/>
    <w:rsid w:val="004E19F7"/>
    <w:rsid w:val="004E5BE6"/>
    <w:rsid w:val="004E6136"/>
    <w:rsid w:val="004F0279"/>
    <w:rsid w:val="004F2644"/>
    <w:rsid w:val="004F3841"/>
    <w:rsid w:val="004F6B8B"/>
    <w:rsid w:val="00502ECA"/>
    <w:rsid w:val="00503836"/>
    <w:rsid w:val="0050443D"/>
    <w:rsid w:val="00506CA0"/>
    <w:rsid w:val="00511693"/>
    <w:rsid w:val="005209C9"/>
    <w:rsid w:val="00524FBA"/>
    <w:rsid w:val="005258EB"/>
    <w:rsid w:val="00526AC9"/>
    <w:rsid w:val="00527B13"/>
    <w:rsid w:val="00535D65"/>
    <w:rsid w:val="00535E82"/>
    <w:rsid w:val="00551F6A"/>
    <w:rsid w:val="00555BB8"/>
    <w:rsid w:val="00570062"/>
    <w:rsid w:val="00573345"/>
    <w:rsid w:val="00573C36"/>
    <w:rsid w:val="0057614A"/>
    <w:rsid w:val="00585351"/>
    <w:rsid w:val="00590C6C"/>
    <w:rsid w:val="00592F40"/>
    <w:rsid w:val="00596DDC"/>
    <w:rsid w:val="005A30B4"/>
    <w:rsid w:val="005A3527"/>
    <w:rsid w:val="005A532D"/>
    <w:rsid w:val="005B1646"/>
    <w:rsid w:val="005B668B"/>
    <w:rsid w:val="005C0837"/>
    <w:rsid w:val="005C2330"/>
    <w:rsid w:val="005C24E6"/>
    <w:rsid w:val="005C7524"/>
    <w:rsid w:val="005D4BD9"/>
    <w:rsid w:val="005E2F88"/>
    <w:rsid w:val="005E3680"/>
    <w:rsid w:val="005E532C"/>
    <w:rsid w:val="005E7EC5"/>
    <w:rsid w:val="005F2872"/>
    <w:rsid w:val="005F7D1B"/>
    <w:rsid w:val="00603B59"/>
    <w:rsid w:val="00604CE6"/>
    <w:rsid w:val="00610344"/>
    <w:rsid w:val="00614CFF"/>
    <w:rsid w:val="0061628B"/>
    <w:rsid w:val="006204CF"/>
    <w:rsid w:val="00624B86"/>
    <w:rsid w:val="00627DE1"/>
    <w:rsid w:val="00632F92"/>
    <w:rsid w:val="0063665B"/>
    <w:rsid w:val="00636E65"/>
    <w:rsid w:val="006414C7"/>
    <w:rsid w:val="00642C79"/>
    <w:rsid w:val="006430D0"/>
    <w:rsid w:val="0064494E"/>
    <w:rsid w:val="0065452C"/>
    <w:rsid w:val="00654571"/>
    <w:rsid w:val="00655C8E"/>
    <w:rsid w:val="00656D19"/>
    <w:rsid w:val="006617BC"/>
    <w:rsid w:val="00662A0E"/>
    <w:rsid w:val="00666A3B"/>
    <w:rsid w:val="00675385"/>
    <w:rsid w:val="00694E17"/>
    <w:rsid w:val="00697796"/>
    <w:rsid w:val="006A292F"/>
    <w:rsid w:val="006A7E28"/>
    <w:rsid w:val="006B78AD"/>
    <w:rsid w:val="006C04BE"/>
    <w:rsid w:val="006C0D59"/>
    <w:rsid w:val="006C217A"/>
    <w:rsid w:val="006C4529"/>
    <w:rsid w:val="006C4E23"/>
    <w:rsid w:val="006D1974"/>
    <w:rsid w:val="006D7BFF"/>
    <w:rsid w:val="006E7A33"/>
    <w:rsid w:val="006F0B06"/>
    <w:rsid w:val="006F500B"/>
    <w:rsid w:val="006F7CF2"/>
    <w:rsid w:val="007037B8"/>
    <w:rsid w:val="007164D0"/>
    <w:rsid w:val="00724C73"/>
    <w:rsid w:val="00725BCD"/>
    <w:rsid w:val="00736EAA"/>
    <w:rsid w:val="00740BAC"/>
    <w:rsid w:val="0074642B"/>
    <w:rsid w:val="007553C1"/>
    <w:rsid w:val="00755AEC"/>
    <w:rsid w:val="00755DDC"/>
    <w:rsid w:val="00760792"/>
    <w:rsid w:val="00761E6D"/>
    <w:rsid w:val="00763A35"/>
    <w:rsid w:val="00772AEB"/>
    <w:rsid w:val="00776FCF"/>
    <w:rsid w:val="00781480"/>
    <w:rsid w:val="00781A97"/>
    <w:rsid w:val="00785F84"/>
    <w:rsid w:val="00790454"/>
    <w:rsid w:val="00791054"/>
    <w:rsid w:val="00791FA9"/>
    <w:rsid w:val="007A5591"/>
    <w:rsid w:val="007A5875"/>
    <w:rsid w:val="007B181D"/>
    <w:rsid w:val="007B7EC3"/>
    <w:rsid w:val="007C31AF"/>
    <w:rsid w:val="007D0C01"/>
    <w:rsid w:val="007D4ED6"/>
    <w:rsid w:val="007D556E"/>
    <w:rsid w:val="007D76E0"/>
    <w:rsid w:val="007E3AC3"/>
    <w:rsid w:val="00806DB0"/>
    <w:rsid w:val="008104B2"/>
    <w:rsid w:val="00812840"/>
    <w:rsid w:val="00820EC0"/>
    <w:rsid w:val="00826B88"/>
    <w:rsid w:val="00831773"/>
    <w:rsid w:val="0083435F"/>
    <w:rsid w:val="00834801"/>
    <w:rsid w:val="00837B0B"/>
    <w:rsid w:val="00843BF2"/>
    <w:rsid w:val="00850770"/>
    <w:rsid w:val="0086165E"/>
    <w:rsid w:val="008629CB"/>
    <w:rsid w:val="0087373E"/>
    <w:rsid w:val="00874CE2"/>
    <w:rsid w:val="00877E4D"/>
    <w:rsid w:val="00882948"/>
    <w:rsid w:val="00883151"/>
    <w:rsid w:val="0089008A"/>
    <w:rsid w:val="00891773"/>
    <w:rsid w:val="00892585"/>
    <w:rsid w:val="008925BB"/>
    <w:rsid w:val="008A0EFB"/>
    <w:rsid w:val="008B3680"/>
    <w:rsid w:val="008B5434"/>
    <w:rsid w:val="008C0934"/>
    <w:rsid w:val="008D162B"/>
    <w:rsid w:val="008D5A27"/>
    <w:rsid w:val="008D5B00"/>
    <w:rsid w:val="008D6F92"/>
    <w:rsid w:val="008D7D6B"/>
    <w:rsid w:val="008E23CC"/>
    <w:rsid w:val="008E57CB"/>
    <w:rsid w:val="008E5DA2"/>
    <w:rsid w:val="008F3CF7"/>
    <w:rsid w:val="008F6437"/>
    <w:rsid w:val="00902996"/>
    <w:rsid w:val="009061B2"/>
    <w:rsid w:val="009063F6"/>
    <w:rsid w:val="00910CF1"/>
    <w:rsid w:val="00915219"/>
    <w:rsid w:val="00916051"/>
    <w:rsid w:val="00916EB6"/>
    <w:rsid w:val="00916EF2"/>
    <w:rsid w:val="0091725F"/>
    <w:rsid w:val="009214EC"/>
    <w:rsid w:val="00922818"/>
    <w:rsid w:val="009338EA"/>
    <w:rsid w:val="00941E0D"/>
    <w:rsid w:val="00942E06"/>
    <w:rsid w:val="00945D8D"/>
    <w:rsid w:val="00950A46"/>
    <w:rsid w:val="0095298F"/>
    <w:rsid w:val="00954675"/>
    <w:rsid w:val="0095702C"/>
    <w:rsid w:val="00962C3E"/>
    <w:rsid w:val="00967EF6"/>
    <w:rsid w:val="00970540"/>
    <w:rsid w:val="00970976"/>
    <w:rsid w:val="00970FC9"/>
    <w:rsid w:val="00985565"/>
    <w:rsid w:val="00990281"/>
    <w:rsid w:val="0099145A"/>
    <w:rsid w:val="0099207B"/>
    <w:rsid w:val="009A0ED5"/>
    <w:rsid w:val="009A515A"/>
    <w:rsid w:val="009B47BF"/>
    <w:rsid w:val="009B50E4"/>
    <w:rsid w:val="009B51AD"/>
    <w:rsid w:val="009C4F4A"/>
    <w:rsid w:val="009C6961"/>
    <w:rsid w:val="009D1665"/>
    <w:rsid w:val="009D5726"/>
    <w:rsid w:val="009D78D1"/>
    <w:rsid w:val="009D79EC"/>
    <w:rsid w:val="009E3B64"/>
    <w:rsid w:val="009F153B"/>
    <w:rsid w:val="009F15AE"/>
    <w:rsid w:val="009F309A"/>
    <w:rsid w:val="009F5DD3"/>
    <w:rsid w:val="009F6668"/>
    <w:rsid w:val="00A01687"/>
    <w:rsid w:val="00A024AC"/>
    <w:rsid w:val="00A072FE"/>
    <w:rsid w:val="00A10500"/>
    <w:rsid w:val="00A11169"/>
    <w:rsid w:val="00A177F0"/>
    <w:rsid w:val="00A22039"/>
    <w:rsid w:val="00A22D3B"/>
    <w:rsid w:val="00A36361"/>
    <w:rsid w:val="00A37F53"/>
    <w:rsid w:val="00A41F69"/>
    <w:rsid w:val="00A47378"/>
    <w:rsid w:val="00A47BDC"/>
    <w:rsid w:val="00A47ED4"/>
    <w:rsid w:val="00A51B24"/>
    <w:rsid w:val="00A52322"/>
    <w:rsid w:val="00A52F9B"/>
    <w:rsid w:val="00A62528"/>
    <w:rsid w:val="00A67A3A"/>
    <w:rsid w:val="00A67FDB"/>
    <w:rsid w:val="00A8093F"/>
    <w:rsid w:val="00A860DC"/>
    <w:rsid w:val="00A90C84"/>
    <w:rsid w:val="00A94A37"/>
    <w:rsid w:val="00A97187"/>
    <w:rsid w:val="00AA1591"/>
    <w:rsid w:val="00AA2A43"/>
    <w:rsid w:val="00AB3109"/>
    <w:rsid w:val="00AB6B2F"/>
    <w:rsid w:val="00AC3125"/>
    <w:rsid w:val="00AD1CE3"/>
    <w:rsid w:val="00AD4C7D"/>
    <w:rsid w:val="00AE1FE1"/>
    <w:rsid w:val="00AE7DF9"/>
    <w:rsid w:val="00AF19DC"/>
    <w:rsid w:val="00AF26DE"/>
    <w:rsid w:val="00B03F2F"/>
    <w:rsid w:val="00B06BD6"/>
    <w:rsid w:val="00B12738"/>
    <w:rsid w:val="00B139D2"/>
    <w:rsid w:val="00B13D1B"/>
    <w:rsid w:val="00B155EE"/>
    <w:rsid w:val="00B20626"/>
    <w:rsid w:val="00B215DD"/>
    <w:rsid w:val="00B34B9F"/>
    <w:rsid w:val="00B51DBD"/>
    <w:rsid w:val="00B57F92"/>
    <w:rsid w:val="00B61CAB"/>
    <w:rsid w:val="00B65CC4"/>
    <w:rsid w:val="00B72A6A"/>
    <w:rsid w:val="00B742EB"/>
    <w:rsid w:val="00B77443"/>
    <w:rsid w:val="00B81149"/>
    <w:rsid w:val="00B87A1C"/>
    <w:rsid w:val="00B87D3C"/>
    <w:rsid w:val="00B900A4"/>
    <w:rsid w:val="00B95CFA"/>
    <w:rsid w:val="00BA173C"/>
    <w:rsid w:val="00BA31C2"/>
    <w:rsid w:val="00BA3DAB"/>
    <w:rsid w:val="00BB3314"/>
    <w:rsid w:val="00BB3C4F"/>
    <w:rsid w:val="00BB4F4D"/>
    <w:rsid w:val="00BB6AAC"/>
    <w:rsid w:val="00BC04F2"/>
    <w:rsid w:val="00BC3029"/>
    <w:rsid w:val="00BD4F99"/>
    <w:rsid w:val="00BD6FA4"/>
    <w:rsid w:val="00BE244E"/>
    <w:rsid w:val="00BE26CC"/>
    <w:rsid w:val="00BE3EA3"/>
    <w:rsid w:val="00BE55AC"/>
    <w:rsid w:val="00BE7D02"/>
    <w:rsid w:val="00BF5A14"/>
    <w:rsid w:val="00C004A4"/>
    <w:rsid w:val="00C05335"/>
    <w:rsid w:val="00C058A0"/>
    <w:rsid w:val="00C05C13"/>
    <w:rsid w:val="00C05E9D"/>
    <w:rsid w:val="00C07B7D"/>
    <w:rsid w:val="00C10ACE"/>
    <w:rsid w:val="00C10B01"/>
    <w:rsid w:val="00C13DC9"/>
    <w:rsid w:val="00C154EC"/>
    <w:rsid w:val="00C157B8"/>
    <w:rsid w:val="00C16C7E"/>
    <w:rsid w:val="00C26E73"/>
    <w:rsid w:val="00C27E5A"/>
    <w:rsid w:val="00C32AB8"/>
    <w:rsid w:val="00C33CEB"/>
    <w:rsid w:val="00C361CD"/>
    <w:rsid w:val="00C376FA"/>
    <w:rsid w:val="00C416C8"/>
    <w:rsid w:val="00C42680"/>
    <w:rsid w:val="00C51AB4"/>
    <w:rsid w:val="00C57448"/>
    <w:rsid w:val="00C60A5B"/>
    <w:rsid w:val="00C610C3"/>
    <w:rsid w:val="00C7286D"/>
    <w:rsid w:val="00C77D3F"/>
    <w:rsid w:val="00C83183"/>
    <w:rsid w:val="00C87975"/>
    <w:rsid w:val="00C95EA9"/>
    <w:rsid w:val="00C96046"/>
    <w:rsid w:val="00CA38D8"/>
    <w:rsid w:val="00CA3F74"/>
    <w:rsid w:val="00CA5BDF"/>
    <w:rsid w:val="00CB2AE9"/>
    <w:rsid w:val="00CB4561"/>
    <w:rsid w:val="00CC2285"/>
    <w:rsid w:val="00CC2987"/>
    <w:rsid w:val="00CC4EDC"/>
    <w:rsid w:val="00CC5E39"/>
    <w:rsid w:val="00CD315C"/>
    <w:rsid w:val="00CD3272"/>
    <w:rsid w:val="00CD38FC"/>
    <w:rsid w:val="00CE36C8"/>
    <w:rsid w:val="00CF3010"/>
    <w:rsid w:val="00CF4242"/>
    <w:rsid w:val="00CF4490"/>
    <w:rsid w:val="00CF565F"/>
    <w:rsid w:val="00CF70FE"/>
    <w:rsid w:val="00D0512A"/>
    <w:rsid w:val="00D06719"/>
    <w:rsid w:val="00D1168D"/>
    <w:rsid w:val="00D2636B"/>
    <w:rsid w:val="00D30088"/>
    <w:rsid w:val="00D312C4"/>
    <w:rsid w:val="00D3431B"/>
    <w:rsid w:val="00D42696"/>
    <w:rsid w:val="00D43E19"/>
    <w:rsid w:val="00D45808"/>
    <w:rsid w:val="00D50765"/>
    <w:rsid w:val="00D50CD3"/>
    <w:rsid w:val="00D52A67"/>
    <w:rsid w:val="00D620EC"/>
    <w:rsid w:val="00D710A7"/>
    <w:rsid w:val="00D816EC"/>
    <w:rsid w:val="00D82564"/>
    <w:rsid w:val="00D84992"/>
    <w:rsid w:val="00D9105F"/>
    <w:rsid w:val="00D95F03"/>
    <w:rsid w:val="00DA5EB9"/>
    <w:rsid w:val="00DB1E04"/>
    <w:rsid w:val="00DB51A8"/>
    <w:rsid w:val="00DC127C"/>
    <w:rsid w:val="00DC6118"/>
    <w:rsid w:val="00DC6120"/>
    <w:rsid w:val="00DC7A92"/>
    <w:rsid w:val="00DD225A"/>
    <w:rsid w:val="00DD6B89"/>
    <w:rsid w:val="00DD771A"/>
    <w:rsid w:val="00DE048B"/>
    <w:rsid w:val="00DE4C0D"/>
    <w:rsid w:val="00DF3539"/>
    <w:rsid w:val="00DF4DB8"/>
    <w:rsid w:val="00DF5E51"/>
    <w:rsid w:val="00E024E8"/>
    <w:rsid w:val="00E05064"/>
    <w:rsid w:val="00E05066"/>
    <w:rsid w:val="00E10A8B"/>
    <w:rsid w:val="00E138E0"/>
    <w:rsid w:val="00E143DF"/>
    <w:rsid w:val="00E15426"/>
    <w:rsid w:val="00E22AE3"/>
    <w:rsid w:val="00E251B9"/>
    <w:rsid w:val="00E30811"/>
    <w:rsid w:val="00E313BD"/>
    <w:rsid w:val="00E31DFE"/>
    <w:rsid w:val="00E508F4"/>
    <w:rsid w:val="00E50E82"/>
    <w:rsid w:val="00E51ED0"/>
    <w:rsid w:val="00E51F85"/>
    <w:rsid w:val="00E64AED"/>
    <w:rsid w:val="00E65583"/>
    <w:rsid w:val="00E67017"/>
    <w:rsid w:val="00E67BE6"/>
    <w:rsid w:val="00E75D0B"/>
    <w:rsid w:val="00E85654"/>
    <w:rsid w:val="00E87E5A"/>
    <w:rsid w:val="00E937F8"/>
    <w:rsid w:val="00E93811"/>
    <w:rsid w:val="00E97260"/>
    <w:rsid w:val="00EA5801"/>
    <w:rsid w:val="00EA7005"/>
    <w:rsid w:val="00EB7783"/>
    <w:rsid w:val="00EC129D"/>
    <w:rsid w:val="00EC2425"/>
    <w:rsid w:val="00EE0A44"/>
    <w:rsid w:val="00EE3F71"/>
    <w:rsid w:val="00EE5CC5"/>
    <w:rsid w:val="00EF4025"/>
    <w:rsid w:val="00EF75D8"/>
    <w:rsid w:val="00F01CED"/>
    <w:rsid w:val="00F15032"/>
    <w:rsid w:val="00F16456"/>
    <w:rsid w:val="00F16B71"/>
    <w:rsid w:val="00F26059"/>
    <w:rsid w:val="00F27415"/>
    <w:rsid w:val="00F309FE"/>
    <w:rsid w:val="00F3506A"/>
    <w:rsid w:val="00F36138"/>
    <w:rsid w:val="00F47C67"/>
    <w:rsid w:val="00F47F92"/>
    <w:rsid w:val="00F5133C"/>
    <w:rsid w:val="00F519A3"/>
    <w:rsid w:val="00F55BC6"/>
    <w:rsid w:val="00F5763A"/>
    <w:rsid w:val="00F5780A"/>
    <w:rsid w:val="00F65464"/>
    <w:rsid w:val="00F70D38"/>
    <w:rsid w:val="00F858BD"/>
    <w:rsid w:val="00F92946"/>
    <w:rsid w:val="00F962B7"/>
    <w:rsid w:val="00F975B6"/>
    <w:rsid w:val="00FA119A"/>
    <w:rsid w:val="00FA24D6"/>
    <w:rsid w:val="00FA407A"/>
    <w:rsid w:val="00FA65AC"/>
    <w:rsid w:val="00FB32B6"/>
    <w:rsid w:val="00FC57D8"/>
    <w:rsid w:val="00FC61B5"/>
    <w:rsid w:val="00FD065B"/>
    <w:rsid w:val="00FD3AEE"/>
    <w:rsid w:val="00FE0465"/>
    <w:rsid w:val="00FE2D53"/>
    <w:rsid w:val="00FF2214"/>
    <w:rsid w:val="02374DFC"/>
    <w:rsid w:val="036829AE"/>
    <w:rsid w:val="06E0C474"/>
    <w:rsid w:val="098499E8"/>
    <w:rsid w:val="0D124E4E"/>
    <w:rsid w:val="152C79AA"/>
    <w:rsid w:val="15426759"/>
    <w:rsid w:val="1A3E0D10"/>
    <w:rsid w:val="1ED44632"/>
    <w:rsid w:val="21E943CD"/>
    <w:rsid w:val="22803B63"/>
    <w:rsid w:val="2D64B400"/>
    <w:rsid w:val="2E98655B"/>
    <w:rsid w:val="2F0F73C6"/>
    <w:rsid w:val="32B25BB9"/>
    <w:rsid w:val="3318ECDE"/>
    <w:rsid w:val="3A8339D8"/>
    <w:rsid w:val="3DFA094E"/>
    <w:rsid w:val="464A1B20"/>
    <w:rsid w:val="4E429E17"/>
    <w:rsid w:val="5310FC3D"/>
    <w:rsid w:val="542407D0"/>
    <w:rsid w:val="5599E08A"/>
    <w:rsid w:val="56E75300"/>
    <w:rsid w:val="57484692"/>
    <w:rsid w:val="61820F22"/>
    <w:rsid w:val="638B3E3D"/>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2E3DE"/>
  <w15:docId w15:val="{F4556635-B41E-4956-B487-03D593A73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E73"/>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paragraph" w:styleId="BodyText">
    <w:name w:val="Body Text"/>
    <w:basedOn w:val="Normal"/>
    <w:link w:val="BodyTextChar"/>
    <w:qFormat/>
    <w:pPr>
      <w:jc w:val="both"/>
    </w:pPr>
    <w:rPr>
      <w:lang w:val="es-PR"/>
    </w:rPr>
  </w:style>
  <w:style w:type="character" w:styleId="CommentReference">
    <w:name w:val="annotation reference"/>
    <w:uiPriority w:val="99"/>
    <w:qFormat/>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uiPriority w:val="99"/>
    <w:qFormat/>
    <w:pPr>
      <w:tabs>
        <w:tab w:val="center" w:pos="4320"/>
        <w:tab w:val="right" w:pos="8640"/>
      </w:tabs>
    </w:pPr>
  </w:style>
  <w:style w:type="character" w:styleId="Hyperlink">
    <w:name w:val="Hyperlink"/>
    <w:basedOn w:val="DefaultParagraphFont"/>
    <w:qForma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sid w:val="00C26E73"/>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uiPriority w:val="99"/>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customStyle="1" w:styleId="Revision2">
    <w:name w:val="Revision2"/>
    <w:hidden/>
    <w:uiPriority w:val="99"/>
    <w:semiHidden/>
    <w:rsid w:val="00C26E73"/>
    <w:rPr>
      <w:sz w:val="24"/>
      <w:szCs w:val="24"/>
    </w:rPr>
  </w:style>
  <w:style w:type="character" w:customStyle="1" w:styleId="BodyTextChar">
    <w:name w:val="Body Text Char"/>
    <w:basedOn w:val="DefaultParagraphFont"/>
    <w:link w:val="BodyText"/>
    <w:rPr>
      <w:sz w:val="24"/>
      <w:szCs w:val="24"/>
      <w:lang w:val="es-PR"/>
    </w:rPr>
  </w:style>
  <w:style w:type="paragraph" w:styleId="Revision">
    <w:name w:val="Revision"/>
    <w:hidden/>
    <w:uiPriority w:val="99"/>
    <w:unhideWhenUsed/>
    <w:rsid w:val="00C26E7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1609</Words>
  <Characters>9177</Characters>
  <Application>Microsoft Office Word</Application>
  <DocSecurity>4</DocSecurity>
  <Lines>76</Lines>
  <Paragraphs>21</Paragraphs>
  <ScaleCrop>false</ScaleCrop>
  <Company/>
  <LinksUpToDate>false</LinksUpToDate>
  <CharactersWithSpaces>10765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 Augusto Martínez</dc:creator>
  <cp:lastModifiedBy>Camyl Moreno Pantojas</cp:lastModifiedBy>
  <cp:revision>2</cp:revision>
  <cp:lastPrinted>2025-03-10T15:21:00Z</cp:lastPrinted>
  <dcterms:created xsi:type="dcterms:W3CDTF">2025-04-03T19:49:00Z</dcterms:created>
  <dcterms:modified xsi:type="dcterms:W3CDTF">2025-04-03T19:49:00Z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A8F03D7D787C434A8E1670FE6532CEF5_13</vt:lpwstr>
  </property>
</Properties>
</file>