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F0332" w14:textId="77777777" w:rsidR="00175199" w:rsidRPr="00175199" w:rsidRDefault="00175199" w:rsidP="00667E00">
      <w:pPr>
        <w:tabs>
          <w:tab w:val="center" w:pos="4680"/>
        </w:tabs>
        <w:spacing w:after="0" w:line="240" w:lineRule="auto"/>
        <w:jc w:val="center"/>
        <w:rPr>
          <w:rFonts w:ascii="Book Antiqua" w:eastAsia="Times New Roman" w:hAnsi="Book Antiqua" w:cs="Times New Roman"/>
          <w:kern w:val="0"/>
          <w:sz w:val="28"/>
          <w:szCs w:val="28"/>
          <w:lang w:val="es-ES_tradnl"/>
          <w14:ligatures w14:val="none"/>
        </w:rPr>
      </w:pPr>
      <w:r w:rsidRPr="00175199">
        <w:rPr>
          <w:rFonts w:ascii="Book Antiqua" w:eastAsia="Times New Roman" w:hAnsi="Book Antiqua" w:cs="Times New Roman"/>
          <w:kern w:val="0"/>
          <w:sz w:val="28"/>
          <w:szCs w:val="28"/>
          <w:lang w:val="es-ES_tradnl"/>
          <w14:ligatures w14:val="none"/>
        </w:rPr>
        <w:t>GOBIERNO DE PUERTO RICO</w:t>
      </w:r>
    </w:p>
    <w:p w14:paraId="2C9A76DF" w14:textId="361A2D46" w:rsidR="00175199" w:rsidRPr="00175199" w:rsidRDefault="00175199" w:rsidP="00175199">
      <w:pPr>
        <w:tabs>
          <w:tab w:val="left" w:pos="720"/>
          <w:tab w:val="left" w:pos="7560"/>
          <w:tab w:val="left" w:pos="8100"/>
        </w:tabs>
        <w:spacing w:after="0" w:line="240" w:lineRule="auto"/>
        <w:rPr>
          <w:rFonts w:ascii="Book Antiqua" w:eastAsia="Times New Roman" w:hAnsi="Book Antiqua" w:cs="Times New Roman"/>
          <w:kern w:val="0"/>
          <w:lang w:val="es-ES_tradnl"/>
          <w14:ligatures w14:val="none"/>
        </w:rPr>
      </w:pPr>
      <w:r w:rsidRPr="00175199">
        <w:rPr>
          <w:rFonts w:ascii="Book Antiqua" w:eastAsia="Times New Roman" w:hAnsi="Book Antiqua" w:cs="Times New Roman"/>
          <w:kern w:val="0"/>
          <w:lang w:val="es-ES_tradnl"/>
          <w14:ligatures w14:val="none"/>
        </w:rPr>
        <w:tab/>
      </w:r>
      <w:r w:rsidR="00D27D27">
        <w:rPr>
          <w:rFonts w:ascii="Book Antiqua" w:eastAsia="Times New Roman" w:hAnsi="Book Antiqua" w:cs="Times New Roman"/>
          <w:kern w:val="0"/>
          <w:lang w:val="es-ES_tradnl"/>
          <w14:ligatures w14:val="none"/>
        </w:rPr>
        <w:t xml:space="preserve">20ma. </w:t>
      </w:r>
      <w:r w:rsidRPr="00175199">
        <w:rPr>
          <w:rFonts w:ascii="Book Antiqua" w:eastAsia="Times New Roman" w:hAnsi="Book Antiqua" w:cs="Times New Roman"/>
          <w:kern w:val="0"/>
          <w:lang w:val="es-ES_tradnl"/>
          <w14:ligatures w14:val="none"/>
        </w:rPr>
        <w:t>Asamblea</w:t>
      </w:r>
      <w:r w:rsidRPr="00175199">
        <w:rPr>
          <w:rFonts w:ascii="Book Antiqua" w:eastAsia="Times New Roman" w:hAnsi="Book Antiqua" w:cs="Times New Roman"/>
          <w:kern w:val="0"/>
          <w:lang w:val="es-ES_tradnl"/>
          <w14:ligatures w14:val="none"/>
        </w:rPr>
        <w:tab/>
      </w:r>
      <w:r w:rsidR="00D27D27">
        <w:rPr>
          <w:rFonts w:ascii="Book Antiqua" w:eastAsia="Times New Roman" w:hAnsi="Book Antiqua" w:cs="Times New Roman"/>
          <w:kern w:val="0"/>
          <w:lang w:val="es-ES_tradnl"/>
          <w14:ligatures w14:val="none"/>
        </w:rPr>
        <w:t>3ra.</w:t>
      </w:r>
      <w:r w:rsidRPr="00175199">
        <w:rPr>
          <w:rFonts w:ascii="Book Antiqua" w:eastAsia="Times New Roman" w:hAnsi="Book Antiqua" w:cs="Times New Roman"/>
          <w:kern w:val="0"/>
          <w:lang w:val="es-ES_tradnl"/>
          <w14:ligatures w14:val="none"/>
        </w:rPr>
        <w:t xml:space="preserve"> </w:t>
      </w:r>
      <w:r w:rsidRPr="00175199">
        <w:rPr>
          <w:rFonts w:ascii="Book Antiqua" w:eastAsia="Times New Roman" w:hAnsi="Book Antiqua" w:cs="Times New Roman"/>
          <w:kern w:val="0"/>
          <w:lang w:val="es-ES_tradnl"/>
          <w14:ligatures w14:val="none"/>
        </w:rPr>
        <w:tab/>
        <w:t>Sesión</w:t>
      </w:r>
    </w:p>
    <w:p w14:paraId="3CCF1D75" w14:textId="77777777" w:rsidR="00175199" w:rsidRPr="00175199" w:rsidRDefault="00175199" w:rsidP="00175199">
      <w:pPr>
        <w:tabs>
          <w:tab w:val="left" w:pos="720"/>
          <w:tab w:val="left" w:pos="4215"/>
          <w:tab w:val="left" w:pos="5160"/>
          <w:tab w:val="left" w:pos="8100"/>
        </w:tabs>
        <w:spacing w:after="0" w:line="240" w:lineRule="auto"/>
        <w:rPr>
          <w:rFonts w:ascii="Book Antiqua" w:eastAsia="Times New Roman" w:hAnsi="Book Antiqua" w:cs="Times New Roman"/>
          <w:kern w:val="0"/>
          <w:lang w:val="es-ES_tradnl"/>
          <w14:ligatures w14:val="none"/>
        </w:rPr>
      </w:pPr>
      <w:r w:rsidRPr="00175199">
        <w:rPr>
          <w:rFonts w:ascii="Book Antiqua" w:eastAsia="Times New Roman" w:hAnsi="Book Antiqua" w:cs="Times New Roman"/>
          <w:kern w:val="0"/>
          <w:lang w:val="es-ES_tradnl"/>
          <w14:ligatures w14:val="none"/>
        </w:rPr>
        <w:tab/>
        <w:t>Legislativa</w:t>
      </w:r>
      <w:r w:rsidRPr="00175199">
        <w:rPr>
          <w:rFonts w:ascii="Book Antiqua" w:eastAsia="Times New Roman" w:hAnsi="Book Antiqua" w:cs="Times New Roman"/>
          <w:kern w:val="0"/>
          <w:lang w:val="es-ES_tradnl"/>
          <w14:ligatures w14:val="none"/>
        </w:rPr>
        <w:tab/>
      </w:r>
      <w:r w:rsidRPr="00175199">
        <w:rPr>
          <w:rFonts w:ascii="Book Antiqua" w:eastAsia="Times New Roman" w:hAnsi="Book Antiqua" w:cs="Times New Roman"/>
          <w:kern w:val="0"/>
          <w:lang w:val="es-ES_tradnl"/>
          <w14:ligatures w14:val="none"/>
        </w:rPr>
        <w:tab/>
      </w:r>
      <w:r w:rsidRPr="00175199">
        <w:rPr>
          <w:rFonts w:ascii="Book Antiqua" w:eastAsia="Times New Roman" w:hAnsi="Book Antiqua" w:cs="Times New Roman"/>
          <w:kern w:val="0"/>
          <w:lang w:val="es-ES_tradnl"/>
          <w14:ligatures w14:val="none"/>
        </w:rPr>
        <w:tab/>
        <w:t>Ordinaria</w:t>
      </w:r>
    </w:p>
    <w:p w14:paraId="70A9E02D" w14:textId="77777777" w:rsidR="00175199" w:rsidRPr="00175199" w:rsidRDefault="00175199" w:rsidP="00175199">
      <w:pPr>
        <w:spacing w:after="0" w:line="360" w:lineRule="auto"/>
        <w:jc w:val="center"/>
        <w:rPr>
          <w:rFonts w:ascii="Book Antiqua" w:eastAsia="Times New Roman" w:hAnsi="Book Antiqua" w:cs="Times New Roman"/>
          <w:b/>
          <w:kern w:val="0"/>
          <w:sz w:val="36"/>
          <w:szCs w:val="36"/>
          <w:lang w:val="es-ES_tradnl"/>
          <w14:ligatures w14:val="none"/>
        </w:rPr>
      </w:pPr>
    </w:p>
    <w:p w14:paraId="400A13E9" w14:textId="77777777" w:rsidR="00175199" w:rsidRPr="00175199" w:rsidRDefault="00175199" w:rsidP="00175199">
      <w:pPr>
        <w:spacing w:after="0" w:line="360" w:lineRule="auto"/>
        <w:jc w:val="center"/>
        <w:rPr>
          <w:rFonts w:ascii="Book Antiqua" w:eastAsia="Times New Roman" w:hAnsi="Book Antiqua" w:cs="Times New Roman"/>
          <w:b/>
          <w:kern w:val="0"/>
          <w:sz w:val="36"/>
          <w:szCs w:val="36"/>
          <w:lang w:val="es-ES_tradnl"/>
          <w14:ligatures w14:val="none"/>
        </w:rPr>
      </w:pPr>
      <w:r w:rsidRPr="00175199">
        <w:rPr>
          <w:rFonts w:ascii="Book Antiqua" w:eastAsia="Times New Roman" w:hAnsi="Book Antiqua" w:cs="Times New Roman"/>
          <w:b/>
          <w:kern w:val="0"/>
          <w:sz w:val="36"/>
          <w:szCs w:val="36"/>
          <w:lang w:val="es-ES_tradnl"/>
          <w14:ligatures w14:val="none"/>
        </w:rPr>
        <w:t>CÁMARA DE REPRESENTANTES</w:t>
      </w:r>
    </w:p>
    <w:p w14:paraId="5DAAAB55" w14:textId="1E919848" w:rsidR="00175199" w:rsidRPr="00175199" w:rsidRDefault="00175199" w:rsidP="00175199">
      <w:pPr>
        <w:spacing w:after="0" w:line="360" w:lineRule="auto"/>
        <w:jc w:val="center"/>
        <w:rPr>
          <w:rFonts w:ascii="Book Antiqua" w:eastAsia="Times New Roman" w:hAnsi="Book Antiqua" w:cs="Times New Roman"/>
          <w:b/>
          <w:kern w:val="0"/>
          <w:sz w:val="52"/>
          <w:szCs w:val="52"/>
          <w:lang w:val="es-ES_tradnl"/>
          <w14:ligatures w14:val="none"/>
        </w:rPr>
      </w:pPr>
      <w:r w:rsidRPr="00175199">
        <w:rPr>
          <w:rFonts w:ascii="Book Antiqua" w:eastAsia="Times New Roman" w:hAnsi="Book Antiqua" w:cs="Times New Roman"/>
          <w:b/>
          <w:kern w:val="0"/>
          <w:sz w:val="52"/>
          <w:szCs w:val="52"/>
          <w:lang w:val="es-ES_tradnl"/>
          <w14:ligatures w14:val="none"/>
        </w:rPr>
        <w:t>P. de</w:t>
      </w:r>
      <w:r w:rsidR="00667E00">
        <w:rPr>
          <w:rFonts w:ascii="Book Antiqua" w:eastAsia="Times New Roman" w:hAnsi="Book Antiqua" w:cs="Times New Roman"/>
          <w:b/>
          <w:kern w:val="0"/>
          <w:sz w:val="52"/>
          <w:szCs w:val="52"/>
          <w:lang w:val="es-ES_tradnl"/>
          <w14:ligatures w14:val="none"/>
        </w:rPr>
        <w:t>l</w:t>
      </w:r>
      <w:r w:rsidRPr="00175199">
        <w:rPr>
          <w:rFonts w:ascii="Book Antiqua" w:eastAsia="Times New Roman" w:hAnsi="Book Antiqua" w:cs="Times New Roman"/>
          <w:b/>
          <w:kern w:val="0"/>
          <w:sz w:val="52"/>
          <w:szCs w:val="52"/>
          <w:lang w:val="es-ES_tradnl"/>
          <w14:ligatures w14:val="none"/>
        </w:rPr>
        <w:t>.</w:t>
      </w:r>
      <w:r w:rsidR="00667E00">
        <w:rPr>
          <w:rFonts w:ascii="Book Antiqua" w:eastAsia="Times New Roman" w:hAnsi="Book Antiqua" w:cs="Times New Roman"/>
          <w:b/>
          <w:kern w:val="0"/>
          <w:sz w:val="52"/>
          <w:szCs w:val="52"/>
          <w:lang w:val="es-ES_tradnl"/>
          <w14:ligatures w14:val="none"/>
        </w:rPr>
        <w:t xml:space="preserve"> S.</w:t>
      </w:r>
      <w:r w:rsidRPr="00175199">
        <w:rPr>
          <w:rFonts w:ascii="Book Antiqua" w:eastAsia="Times New Roman" w:hAnsi="Book Antiqua" w:cs="Times New Roman"/>
          <w:b/>
          <w:kern w:val="0"/>
          <w:sz w:val="52"/>
          <w:szCs w:val="52"/>
          <w:lang w:val="es-ES_tradnl"/>
          <w14:ligatures w14:val="none"/>
        </w:rPr>
        <w:t xml:space="preserve"> </w:t>
      </w:r>
      <w:r w:rsidR="00667E00">
        <w:rPr>
          <w:rFonts w:ascii="Book Antiqua" w:eastAsia="Times New Roman" w:hAnsi="Book Antiqua" w:cs="Times New Roman"/>
          <w:b/>
          <w:kern w:val="0"/>
          <w:sz w:val="52"/>
          <w:szCs w:val="52"/>
          <w:lang w:val="es-ES_tradnl"/>
          <w14:ligatures w14:val="none"/>
        </w:rPr>
        <w:t>389</w:t>
      </w:r>
    </w:p>
    <w:p w14:paraId="777BC5F9" w14:textId="77777777" w:rsidR="00175199" w:rsidRPr="00175199" w:rsidRDefault="00175199" w:rsidP="00175199">
      <w:pPr>
        <w:spacing w:after="0" w:line="360" w:lineRule="auto"/>
        <w:jc w:val="center"/>
        <w:rPr>
          <w:rFonts w:ascii="Book Antiqua" w:eastAsia="Times New Roman" w:hAnsi="Book Antiqua" w:cs="Times New Roman"/>
          <w:b/>
          <w:kern w:val="0"/>
          <w:sz w:val="28"/>
          <w:szCs w:val="28"/>
          <w:lang w:val="es-ES_tradnl"/>
          <w14:ligatures w14:val="none"/>
        </w:rPr>
      </w:pPr>
      <w:r w:rsidRPr="00175199">
        <w:rPr>
          <w:rFonts w:ascii="Book Antiqua" w:eastAsia="Times New Roman" w:hAnsi="Book Antiqua" w:cs="Times New Roman"/>
          <w:b/>
          <w:kern w:val="0"/>
          <w:sz w:val="28"/>
          <w:szCs w:val="28"/>
          <w:lang w:val="es-ES_tradnl"/>
          <w14:ligatures w14:val="none"/>
        </w:rPr>
        <w:t xml:space="preserve">INFORME POSITIVO </w:t>
      </w:r>
    </w:p>
    <w:p w14:paraId="6266E973" w14:textId="517D5D76" w:rsidR="00175199" w:rsidRPr="00175199" w:rsidRDefault="00175199" w:rsidP="00175199">
      <w:pPr>
        <w:tabs>
          <w:tab w:val="left" w:pos="3615"/>
          <w:tab w:val="center" w:pos="4680"/>
        </w:tabs>
        <w:spacing w:after="0" w:line="360" w:lineRule="auto"/>
        <w:rPr>
          <w:rFonts w:ascii="Book Antiqua" w:eastAsia="Times New Roman" w:hAnsi="Book Antiqua" w:cs="Times New Roman"/>
          <w:b/>
          <w:kern w:val="0"/>
          <w:lang w:val="es-ES_tradnl"/>
          <w14:ligatures w14:val="none"/>
        </w:rPr>
      </w:pPr>
      <w:r w:rsidRPr="00175199">
        <w:rPr>
          <w:rFonts w:ascii="Book Antiqua" w:eastAsia="Times New Roman" w:hAnsi="Book Antiqua" w:cs="Times New Roman"/>
          <w:kern w:val="0"/>
          <w:lang w:val="es-ES_tradnl"/>
          <w14:ligatures w14:val="none"/>
        </w:rPr>
        <w:tab/>
        <w:t xml:space="preserve"> </w:t>
      </w:r>
      <w:r w:rsidRPr="00175199">
        <w:rPr>
          <w:rFonts w:ascii="Book Antiqua" w:eastAsia="Times New Roman" w:hAnsi="Book Antiqua" w:cs="Times New Roman"/>
          <w:kern w:val="0"/>
          <w:lang w:val="es-ES_tradnl"/>
          <w14:ligatures w14:val="none"/>
        </w:rPr>
        <w:tab/>
      </w:r>
      <w:r w:rsidR="00E075D3">
        <w:rPr>
          <w:rFonts w:ascii="Book Antiqua" w:eastAsia="Times New Roman" w:hAnsi="Book Antiqua" w:cs="Times New Roman"/>
          <w:kern w:val="0"/>
          <w:lang w:val="es-ES_tradnl"/>
          <w14:ligatures w14:val="none"/>
        </w:rPr>
        <w:t xml:space="preserve">28 </w:t>
      </w:r>
      <w:r w:rsidRPr="00175199">
        <w:rPr>
          <w:rFonts w:ascii="Book Antiqua" w:eastAsia="Times New Roman" w:hAnsi="Book Antiqua" w:cs="Times New Roman"/>
          <w:kern w:val="0"/>
          <w:lang w:val="es-ES_tradnl"/>
          <w14:ligatures w14:val="none"/>
        </w:rPr>
        <w:t xml:space="preserve">de </w:t>
      </w:r>
      <w:r w:rsidR="00D27D27">
        <w:rPr>
          <w:rFonts w:ascii="Book Antiqua" w:eastAsia="Times New Roman" w:hAnsi="Book Antiqua" w:cs="Times New Roman"/>
          <w:kern w:val="0"/>
          <w:lang w:val="es-ES_tradnl"/>
          <w14:ligatures w14:val="none"/>
        </w:rPr>
        <w:t>abril</w:t>
      </w:r>
      <w:r w:rsidR="00667E00">
        <w:rPr>
          <w:rFonts w:ascii="Book Antiqua" w:eastAsia="Times New Roman" w:hAnsi="Book Antiqua" w:cs="Times New Roman"/>
          <w:kern w:val="0"/>
          <w:lang w:val="es-ES_tradnl"/>
          <w14:ligatures w14:val="none"/>
        </w:rPr>
        <w:t xml:space="preserve"> </w:t>
      </w:r>
      <w:r w:rsidRPr="00175199">
        <w:rPr>
          <w:rFonts w:ascii="Book Antiqua" w:eastAsia="Times New Roman" w:hAnsi="Book Antiqua" w:cs="Times New Roman"/>
          <w:kern w:val="0"/>
          <w:lang w:val="es-ES_tradnl"/>
          <w14:ligatures w14:val="none"/>
        </w:rPr>
        <w:t>de 202</w:t>
      </w:r>
      <w:r w:rsidR="00667E00">
        <w:rPr>
          <w:rFonts w:ascii="Book Antiqua" w:eastAsia="Times New Roman" w:hAnsi="Book Antiqua" w:cs="Times New Roman"/>
          <w:kern w:val="0"/>
          <w:lang w:val="es-ES_tradnl"/>
          <w14:ligatures w14:val="none"/>
        </w:rPr>
        <w:t>6</w:t>
      </w:r>
    </w:p>
    <w:p w14:paraId="2116D4B2" w14:textId="77777777" w:rsidR="00175199" w:rsidRPr="00175199" w:rsidRDefault="00175199" w:rsidP="00175199">
      <w:pPr>
        <w:spacing w:after="0" w:line="240" w:lineRule="auto"/>
        <w:jc w:val="both"/>
        <w:rPr>
          <w:rFonts w:ascii="Book Antiqua" w:eastAsia="Times New Roman" w:hAnsi="Book Antiqua" w:cs="Times New Roman"/>
          <w:b/>
          <w:kern w:val="0"/>
          <w:lang w:val="es-ES_tradnl"/>
          <w14:ligatures w14:val="none"/>
        </w:rPr>
      </w:pPr>
    </w:p>
    <w:p w14:paraId="03EA6412" w14:textId="77777777" w:rsidR="00175199" w:rsidRPr="00175199" w:rsidRDefault="00175199" w:rsidP="00175199">
      <w:pPr>
        <w:spacing w:after="120" w:line="276" w:lineRule="auto"/>
        <w:jc w:val="both"/>
        <w:rPr>
          <w:rFonts w:ascii="Book Antiqua" w:eastAsia="Times New Roman" w:hAnsi="Book Antiqua" w:cs="Times New Roman"/>
          <w:b/>
          <w:kern w:val="0"/>
          <w:lang w:val="es-ES_tradnl"/>
          <w14:ligatures w14:val="none"/>
        </w:rPr>
      </w:pPr>
      <w:r w:rsidRPr="00175199">
        <w:rPr>
          <w:rFonts w:ascii="Book Antiqua" w:eastAsia="Times New Roman" w:hAnsi="Book Antiqua" w:cs="Times New Roman"/>
          <w:b/>
          <w:kern w:val="0"/>
          <w:lang w:val="es-ES_tradnl"/>
          <w14:ligatures w14:val="none"/>
        </w:rPr>
        <w:t>A LA CÁMARA DE REPRESENTANTES DE PUERTO RICO</w:t>
      </w:r>
    </w:p>
    <w:p w14:paraId="520DAAE1" w14:textId="04F36394" w:rsidR="00175199" w:rsidRPr="00175199" w:rsidRDefault="00175199" w:rsidP="00D27D27">
      <w:pPr>
        <w:spacing w:after="0" w:line="276" w:lineRule="auto"/>
        <w:jc w:val="both"/>
        <w:rPr>
          <w:rFonts w:ascii="Book Antiqua" w:eastAsia="Times New Roman" w:hAnsi="Book Antiqua" w:cs="Times New Roman"/>
          <w:kern w:val="0"/>
          <w:lang w:val="es-ES_tradnl"/>
          <w14:ligatures w14:val="none"/>
        </w:rPr>
      </w:pPr>
      <w:r w:rsidRPr="00175199">
        <w:rPr>
          <w:rFonts w:ascii="Book Antiqua" w:eastAsia="Times New Roman" w:hAnsi="Book Antiqua" w:cs="Times New Roman"/>
          <w:kern w:val="0"/>
          <w:lang w:val="es-ES_tradnl"/>
          <w14:ligatures w14:val="none"/>
        </w:rPr>
        <w:t xml:space="preserve">La Comisión de Hacienda de la Cámara de Representantes, previo estudio, análisis y consideración del Proyecto </w:t>
      </w:r>
      <w:r w:rsidR="00667E00">
        <w:rPr>
          <w:rFonts w:ascii="Book Antiqua" w:eastAsia="Times New Roman" w:hAnsi="Book Antiqua" w:cs="Times New Roman"/>
          <w:kern w:val="0"/>
          <w:lang w:val="es-ES_tradnl"/>
          <w14:ligatures w14:val="none"/>
        </w:rPr>
        <w:t>del Senado</w:t>
      </w:r>
      <w:r w:rsidRPr="00175199">
        <w:rPr>
          <w:rFonts w:ascii="Book Antiqua" w:eastAsia="Times New Roman" w:hAnsi="Book Antiqua" w:cs="Times New Roman"/>
          <w:kern w:val="0"/>
          <w:lang w:val="es-ES_tradnl"/>
          <w14:ligatures w14:val="none"/>
        </w:rPr>
        <w:t xml:space="preserve"> </w:t>
      </w:r>
      <w:r w:rsidR="00667E00">
        <w:rPr>
          <w:rFonts w:ascii="Book Antiqua" w:eastAsia="Times New Roman" w:hAnsi="Book Antiqua" w:cs="Times New Roman"/>
          <w:kern w:val="0"/>
          <w:lang w:val="es-ES_tradnl"/>
          <w14:ligatures w14:val="none"/>
        </w:rPr>
        <w:t>389</w:t>
      </w:r>
      <w:r w:rsidRPr="00175199">
        <w:rPr>
          <w:rFonts w:ascii="Book Antiqua" w:eastAsia="Times New Roman" w:hAnsi="Book Antiqua" w:cs="Times New Roman"/>
          <w:kern w:val="0"/>
          <w:lang w:val="es-ES_tradnl"/>
          <w14:ligatures w14:val="none"/>
        </w:rPr>
        <w:t xml:space="preserve">, y en cumplimiento con las disposiciones del Reglamento de la Cámara de Representantes, tiene a bien recomendar a este </w:t>
      </w:r>
      <w:r w:rsidR="00D27D27">
        <w:rPr>
          <w:rFonts w:ascii="Book Antiqua" w:eastAsia="Times New Roman" w:hAnsi="Book Antiqua" w:cs="Times New Roman"/>
          <w:kern w:val="0"/>
          <w:lang w:val="es-ES_tradnl"/>
          <w14:ligatures w14:val="none"/>
        </w:rPr>
        <w:t>Honorable</w:t>
      </w:r>
      <w:r w:rsidRPr="00175199">
        <w:rPr>
          <w:rFonts w:ascii="Book Antiqua" w:eastAsia="Times New Roman" w:hAnsi="Book Antiqua" w:cs="Times New Roman"/>
          <w:kern w:val="0"/>
          <w:lang w:val="es-ES_tradnl"/>
          <w14:ligatures w14:val="none"/>
        </w:rPr>
        <w:t xml:space="preserve"> Cuerpo la aprobación de</w:t>
      </w:r>
      <w:r w:rsidR="00D27D27">
        <w:rPr>
          <w:rFonts w:ascii="Book Antiqua" w:eastAsia="Times New Roman" w:hAnsi="Book Antiqua" w:cs="Times New Roman"/>
          <w:kern w:val="0"/>
          <w:lang w:val="es-ES_tradnl"/>
          <w14:ligatures w14:val="none"/>
        </w:rPr>
        <w:t>l P. del S. 389 sin enmiendas</w:t>
      </w:r>
      <w:r w:rsidRPr="00175199">
        <w:rPr>
          <w:rFonts w:ascii="Book Antiqua" w:eastAsia="Times New Roman" w:hAnsi="Book Antiqua" w:cs="Times New Roman"/>
          <w:kern w:val="0"/>
          <w:lang w:val="es-ES_tradnl"/>
          <w14:ligatures w14:val="none"/>
        </w:rPr>
        <w:t>.</w:t>
      </w:r>
    </w:p>
    <w:p w14:paraId="7161573F" w14:textId="77777777" w:rsidR="00175199" w:rsidRPr="00175199" w:rsidRDefault="00175199" w:rsidP="00175199">
      <w:pPr>
        <w:spacing w:after="120" w:line="276" w:lineRule="auto"/>
        <w:rPr>
          <w:rFonts w:ascii="Book Antiqua" w:eastAsia="Times New Roman" w:hAnsi="Book Antiqua" w:cs="Times New Roman"/>
          <w:b/>
          <w:kern w:val="0"/>
          <w:szCs w:val="32"/>
          <w:lang w:val="es-ES_tradnl"/>
          <w14:ligatures w14:val="none"/>
        </w:rPr>
      </w:pPr>
    </w:p>
    <w:p w14:paraId="3E5D001A" w14:textId="77777777" w:rsidR="00175199" w:rsidRPr="00175199" w:rsidRDefault="00175199" w:rsidP="00175199">
      <w:pPr>
        <w:spacing w:after="120" w:line="276" w:lineRule="auto"/>
        <w:jc w:val="center"/>
        <w:rPr>
          <w:rFonts w:ascii="Book Antiqua" w:eastAsia="Times New Roman" w:hAnsi="Book Antiqua" w:cs="Times New Roman"/>
          <w:b/>
          <w:kern w:val="0"/>
          <w:lang w:val="es-ES_tradnl"/>
          <w14:ligatures w14:val="none"/>
        </w:rPr>
      </w:pPr>
      <w:r w:rsidRPr="00175199">
        <w:rPr>
          <w:rFonts w:ascii="Book Antiqua" w:eastAsia="Times New Roman" w:hAnsi="Book Antiqua" w:cs="Times New Roman"/>
          <w:b/>
          <w:kern w:val="0"/>
          <w:lang w:val="es-ES_tradnl"/>
          <w14:ligatures w14:val="none"/>
        </w:rPr>
        <w:t>ALCANCE DE LA MEDIDA</w:t>
      </w:r>
    </w:p>
    <w:p w14:paraId="3F5BDF0F" w14:textId="7D133A21" w:rsidR="00667E00" w:rsidRPr="00667E00" w:rsidRDefault="00667E00" w:rsidP="00667E00">
      <w:pPr>
        <w:spacing w:before="100" w:beforeAutospacing="1" w:after="120" w:line="276" w:lineRule="auto"/>
        <w:jc w:val="both"/>
        <w:rPr>
          <w:rFonts w:ascii="Book Antiqua" w:eastAsia="Times New Roman" w:hAnsi="Book Antiqua" w:cs="Times New Roman"/>
          <w:kern w:val="0"/>
          <w:szCs w:val="20"/>
          <w14:ligatures w14:val="none"/>
        </w:rPr>
      </w:pPr>
      <w:r w:rsidRPr="00667E00">
        <w:rPr>
          <w:rFonts w:ascii="Book Antiqua" w:eastAsia="Times New Roman" w:hAnsi="Book Antiqua" w:cs="Times New Roman"/>
          <w:kern w:val="0"/>
          <w:szCs w:val="20"/>
          <w14:ligatures w14:val="none"/>
        </w:rPr>
        <w:t>El P. del S. 389 propone extender la exención contributiva actualmente disponible para obligaciones emitidas por el Patronato de Monumentos de San Juan, de forma que incluya expresamente aquellas emitidas para financiar la restauración y mantenimiento de la Catedral de San Juan Bautista, ubicada en el Viejo San Juan.</w:t>
      </w:r>
    </w:p>
    <w:p w14:paraId="42890D9A" w14:textId="77777777" w:rsidR="00667E00" w:rsidRPr="00667E00" w:rsidRDefault="00667E00" w:rsidP="00667E00">
      <w:pPr>
        <w:spacing w:before="100" w:beforeAutospacing="1" w:after="120" w:line="276" w:lineRule="auto"/>
        <w:jc w:val="both"/>
        <w:rPr>
          <w:rFonts w:ascii="Book Antiqua" w:eastAsia="Times New Roman" w:hAnsi="Book Antiqua" w:cs="Times New Roman"/>
          <w:kern w:val="0"/>
          <w:szCs w:val="20"/>
          <w14:ligatures w14:val="none"/>
        </w:rPr>
      </w:pPr>
      <w:r w:rsidRPr="00667E00">
        <w:rPr>
          <w:rFonts w:ascii="Book Antiqua" w:eastAsia="Times New Roman" w:hAnsi="Book Antiqua" w:cs="Times New Roman"/>
          <w:kern w:val="0"/>
          <w:szCs w:val="20"/>
          <w14:ligatures w14:val="none"/>
        </w:rPr>
        <w:t>La medida mantiene la estructura vigente del inciso (L) del apartado (a)(3) de la Sección 1031.02, que agrupa exenciones dirigidas a entidades sin fines de lucro dedicadas a la conservación ambiental, vivienda asequible, rehabilitación educativa y preservación histórica.</w:t>
      </w:r>
    </w:p>
    <w:p w14:paraId="0AF9B74D" w14:textId="77777777" w:rsidR="00175199" w:rsidRPr="00175199" w:rsidRDefault="00175199" w:rsidP="00175199">
      <w:pPr>
        <w:spacing w:before="100" w:beforeAutospacing="1" w:after="120" w:line="276" w:lineRule="auto"/>
        <w:jc w:val="center"/>
        <w:rPr>
          <w:rFonts w:ascii="Book Antiqua" w:eastAsia="Times New Roman" w:hAnsi="Book Antiqua" w:cs="Times New Roman"/>
          <w:b/>
          <w:kern w:val="0"/>
          <w14:ligatures w14:val="none"/>
        </w:rPr>
      </w:pPr>
      <w:r w:rsidRPr="00175199">
        <w:rPr>
          <w:rFonts w:ascii="Book Antiqua" w:eastAsia="Times New Roman" w:hAnsi="Book Antiqua" w:cs="Times New Roman"/>
          <w:b/>
          <w:kern w:val="0"/>
          <w14:ligatures w14:val="none"/>
        </w:rPr>
        <w:t>ANÁLISIS DE LA MEDIDA</w:t>
      </w:r>
    </w:p>
    <w:p w14:paraId="5C6E4ED8" w14:textId="25CA1A05" w:rsidR="00667E00" w:rsidRPr="00667E00"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t xml:space="preserve">El P. del S. 389 persigue fortalecer la preservación del patrimonio histórico y cultural del Viejo San Juan mediante un mecanismo fiscal ya existente y probado. La Catedral de San Juan Bautista es uno de los monumentos religiosos más antiguos </w:t>
      </w:r>
      <w:r w:rsidR="00653B53" w:rsidRPr="00653B53">
        <w:rPr>
          <w:rFonts w:ascii="Book Antiqua" w:eastAsia="Times New Roman" w:hAnsi="Book Antiqua" w:cs="Times New Roman"/>
          <w:bCs/>
          <w:kern w:val="0"/>
          <w14:ligatures w14:val="none"/>
        </w:rPr>
        <w:t>en el Viejo San Juan</w:t>
      </w:r>
      <w:r w:rsidRPr="00667E00">
        <w:rPr>
          <w:rFonts w:ascii="Book Antiqua" w:eastAsia="Times New Roman" w:hAnsi="Book Antiqua" w:cs="Times New Roman"/>
          <w:bCs/>
          <w:kern w:val="0"/>
          <w14:ligatures w14:val="none"/>
        </w:rPr>
        <w:t xml:space="preserve"> y </w:t>
      </w:r>
      <w:r w:rsidR="00653B53" w:rsidRPr="00653B53">
        <w:rPr>
          <w:rFonts w:ascii="Book Antiqua" w:eastAsia="Times New Roman" w:hAnsi="Book Antiqua" w:cs="Times New Roman"/>
          <w:bCs/>
          <w:kern w:val="0"/>
          <w14:ligatures w14:val="none"/>
        </w:rPr>
        <w:t xml:space="preserve">representa </w:t>
      </w:r>
      <w:r w:rsidRPr="00667E00">
        <w:rPr>
          <w:rFonts w:ascii="Book Antiqua" w:eastAsia="Times New Roman" w:hAnsi="Book Antiqua" w:cs="Times New Roman"/>
          <w:bCs/>
          <w:kern w:val="0"/>
          <w14:ligatures w14:val="none"/>
        </w:rPr>
        <w:t>un activo cultural de valor incalculable.</w:t>
      </w:r>
      <w:r w:rsidR="003A37A2">
        <w:rPr>
          <w:rFonts w:ascii="Book Antiqua" w:eastAsia="Times New Roman" w:hAnsi="Book Antiqua" w:cs="Times New Roman"/>
          <w:bCs/>
          <w:kern w:val="0"/>
          <w14:ligatures w14:val="none"/>
        </w:rPr>
        <w:t xml:space="preserve">  </w:t>
      </w:r>
      <w:r w:rsidRPr="00667E00">
        <w:rPr>
          <w:rFonts w:ascii="Book Antiqua" w:eastAsia="Times New Roman" w:hAnsi="Book Antiqua" w:cs="Times New Roman"/>
          <w:bCs/>
          <w:kern w:val="0"/>
          <w14:ligatures w14:val="none"/>
        </w:rPr>
        <w:t>La medida reconoce que la conservación de este tipo de infraestructura requiere fuentes de financiamiento.</w:t>
      </w:r>
    </w:p>
    <w:p w14:paraId="7286F28F" w14:textId="35EA40C2" w:rsidR="003A37A2"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lastRenderedPageBreak/>
        <w:t xml:space="preserve">El proyecto no crea un nuevo incentivo ni altera la estructura contributiva general; simplemente </w:t>
      </w:r>
      <w:r w:rsidRPr="00667E00">
        <w:rPr>
          <w:rFonts w:ascii="Book Antiqua" w:eastAsia="Times New Roman" w:hAnsi="Book Antiqua" w:cs="Times New Roman"/>
          <w:kern w:val="0"/>
          <w14:ligatures w14:val="none"/>
        </w:rPr>
        <w:t>amplía el alcance de una exención existente</w:t>
      </w:r>
      <w:r w:rsidRPr="00667E00">
        <w:rPr>
          <w:rFonts w:ascii="Book Antiqua" w:eastAsia="Times New Roman" w:hAnsi="Book Antiqua" w:cs="Times New Roman"/>
          <w:bCs/>
          <w:kern w:val="0"/>
          <w14:ligatures w14:val="none"/>
        </w:rPr>
        <w:t>.</w:t>
      </w:r>
      <w:r w:rsidR="003A37A2">
        <w:rPr>
          <w:rFonts w:ascii="Book Antiqua" w:eastAsia="Times New Roman" w:hAnsi="Book Antiqua" w:cs="Times New Roman"/>
          <w:bCs/>
          <w:kern w:val="0"/>
          <w14:ligatures w14:val="none"/>
        </w:rPr>
        <w:t xml:space="preserve">  </w:t>
      </w:r>
      <w:r w:rsidR="003A37A2" w:rsidRPr="00667E00">
        <w:rPr>
          <w:rFonts w:ascii="Book Antiqua" w:eastAsia="Times New Roman" w:hAnsi="Book Antiqua" w:cs="Times New Roman"/>
          <w:bCs/>
          <w:kern w:val="0"/>
          <w14:ligatures w14:val="none"/>
        </w:rPr>
        <w:t>La medida no altera los mecanismos de administración contributiva ni requiere procesos adicionales de certificación más allá de los ya aplicables al Patronato de Monumentos de San Juan.</w:t>
      </w:r>
      <w:r w:rsidR="003A37A2" w:rsidRPr="003A37A2">
        <w:rPr>
          <w:rFonts w:ascii="Book Antiqua" w:eastAsia="Times New Roman" w:hAnsi="Book Antiqua" w:cs="Times New Roman"/>
          <w:bCs/>
          <w:kern w:val="0"/>
          <w14:ligatures w14:val="none"/>
        </w:rPr>
        <w:t xml:space="preserve">  </w:t>
      </w:r>
      <w:r w:rsidR="003A37A2" w:rsidRPr="00667E00">
        <w:rPr>
          <w:rFonts w:ascii="Book Antiqua" w:eastAsia="Times New Roman" w:hAnsi="Book Antiqua" w:cs="Times New Roman"/>
          <w:bCs/>
          <w:kern w:val="0"/>
          <w14:ligatures w14:val="none"/>
        </w:rPr>
        <w:t xml:space="preserve">La exención solo aplica a obligaciones emitidas </w:t>
      </w:r>
      <w:r w:rsidR="003A37A2" w:rsidRPr="00724D7D">
        <w:rPr>
          <w:rFonts w:ascii="Book Antiqua" w:eastAsia="Times New Roman" w:hAnsi="Book Antiqua" w:cs="Times New Roman"/>
          <w:kern w:val="0"/>
          <w14:ligatures w14:val="none"/>
        </w:rPr>
        <w:t>a partir del 1 de julio de 2025</w:t>
      </w:r>
      <w:r w:rsidR="003A37A2" w:rsidRPr="00667E00">
        <w:rPr>
          <w:rFonts w:ascii="Book Antiqua" w:eastAsia="Times New Roman" w:hAnsi="Book Antiqua" w:cs="Times New Roman"/>
          <w:bCs/>
          <w:kern w:val="0"/>
          <w14:ligatures w14:val="none"/>
        </w:rPr>
        <w:t>, lo cual permite planificación adecuada y evita efectos retroactivos.</w:t>
      </w:r>
      <w:r w:rsidR="003A37A2">
        <w:rPr>
          <w:rFonts w:ascii="Book Antiqua" w:eastAsia="Times New Roman" w:hAnsi="Book Antiqua" w:cs="Times New Roman"/>
          <w:bCs/>
          <w:kern w:val="0"/>
          <w14:ligatures w14:val="none"/>
        </w:rPr>
        <w:t xml:space="preserve"> </w:t>
      </w:r>
    </w:p>
    <w:p w14:paraId="4E11E783" w14:textId="3E144A24" w:rsidR="00667E00" w:rsidRPr="00667E00"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t>El Informe OPAL 2025</w:t>
      </w:r>
      <w:r w:rsidRPr="00667E00">
        <w:rPr>
          <w:rFonts w:ascii="Book Antiqua" w:eastAsia="Times New Roman" w:hAnsi="Book Antiqua" w:cs="Times New Roman"/>
          <w:bCs/>
          <w:kern w:val="0"/>
          <w14:ligatures w14:val="none"/>
        </w:rPr>
        <w:noBreakHyphen/>
        <w:t>131 explica que el inciso (L) agrupa entidades sin fines de lucro cuyas obligaciones generan intereses exentos, con el fin de “incentivar la canalización de inversión privada hacia actividades que promuevan el interés público y sociocultural”</w:t>
      </w:r>
      <w:r w:rsidR="003A37A2">
        <w:rPr>
          <w:rFonts w:ascii="Book Antiqua" w:eastAsia="Times New Roman" w:hAnsi="Book Antiqua" w:cs="Times New Roman"/>
          <w:bCs/>
          <w:kern w:val="0"/>
          <w14:ligatures w14:val="none"/>
        </w:rPr>
        <w:t>.</w:t>
      </w:r>
      <w:r w:rsidRPr="00667E00">
        <w:rPr>
          <w:rFonts w:ascii="Book Antiqua" w:eastAsia="Times New Roman" w:hAnsi="Book Antiqua" w:cs="Times New Roman"/>
          <w:bCs/>
          <w:kern w:val="0"/>
          <w14:ligatures w14:val="none"/>
        </w:rPr>
        <w:t xml:space="preserve"> (Informe OPAL 2025</w:t>
      </w:r>
      <w:r w:rsidRPr="00667E00">
        <w:rPr>
          <w:rFonts w:ascii="Book Antiqua" w:eastAsia="Times New Roman" w:hAnsi="Book Antiqua" w:cs="Times New Roman"/>
          <w:bCs/>
          <w:kern w:val="0"/>
          <w14:ligatures w14:val="none"/>
        </w:rPr>
        <w:noBreakHyphen/>
        <w:t>131, pág. 3).</w:t>
      </w:r>
    </w:p>
    <w:p w14:paraId="1FEB7E68" w14:textId="048DE42E" w:rsidR="00667E00" w:rsidRPr="00667E00"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t>La inclusión de la Catedral de San Juan Bautista es consistente con este propósito</w:t>
      </w:r>
      <w:r w:rsidR="005A25A5">
        <w:rPr>
          <w:rFonts w:ascii="Book Antiqua" w:eastAsia="Times New Roman" w:hAnsi="Book Antiqua" w:cs="Times New Roman"/>
          <w:bCs/>
          <w:kern w:val="0"/>
          <w14:ligatures w14:val="none"/>
        </w:rPr>
        <w:t xml:space="preserve"> y </w:t>
      </w:r>
      <w:r w:rsidR="005A25A5" w:rsidRPr="00C42681">
        <w:rPr>
          <w:rFonts w:ascii="Book Antiqua" w:eastAsia="Times New Roman" w:hAnsi="Book Antiqua" w:cs="Times New Roman"/>
          <w:bCs/>
          <w:kern w:val="0"/>
          <w:lang w:val="es-ES"/>
          <w14:ligatures w14:val="none"/>
        </w:rPr>
        <w:t xml:space="preserve">garantiza que la Catedral Metropolitana Basílica de San Juan Bautista siga siendo un legado histórico para las </w:t>
      </w:r>
      <w:r w:rsidR="005A25A5">
        <w:rPr>
          <w:rFonts w:ascii="Book Antiqua" w:eastAsia="Times New Roman" w:hAnsi="Book Antiqua" w:cs="Times New Roman"/>
          <w:bCs/>
          <w:kern w:val="0"/>
          <w:lang w:val="es-ES"/>
          <w14:ligatures w14:val="none"/>
        </w:rPr>
        <w:t xml:space="preserve">futuras </w:t>
      </w:r>
      <w:r w:rsidR="005A25A5" w:rsidRPr="00C42681">
        <w:rPr>
          <w:rFonts w:ascii="Book Antiqua" w:eastAsia="Times New Roman" w:hAnsi="Book Antiqua" w:cs="Times New Roman"/>
          <w:bCs/>
          <w:kern w:val="0"/>
          <w:lang w:val="es-ES"/>
          <w14:ligatures w14:val="none"/>
        </w:rPr>
        <w:t>generaciones</w:t>
      </w:r>
      <w:r w:rsidR="005A25A5">
        <w:rPr>
          <w:rFonts w:ascii="Book Antiqua" w:eastAsia="Times New Roman" w:hAnsi="Book Antiqua" w:cs="Times New Roman"/>
          <w:bCs/>
          <w:kern w:val="0"/>
          <w:lang w:val="es-ES"/>
          <w14:ligatures w14:val="none"/>
        </w:rPr>
        <w:t>.</w:t>
      </w:r>
    </w:p>
    <w:p w14:paraId="03866696" w14:textId="43FF5328" w:rsidR="00667E00" w:rsidRPr="00667E00" w:rsidRDefault="00653B53" w:rsidP="003A37A2">
      <w:pPr>
        <w:spacing w:before="100" w:beforeAutospacing="1" w:after="120" w:line="276" w:lineRule="auto"/>
        <w:jc w:val="center"/>
        <w:rPr>
          <w:rFonts w:ascii="Book Antiqua" w:eastAsia="Times New Roman" w:hAnsi="Book Antiqua" w:cs="Times New Roman"/>
          <w:b/>
          <w:bCs/>
          <w:kern w:val="0"/>
          <w14:ligatures w14:val="none"/>
        </w:rPr>
      </w:pPr>
      <w:r>
        <w:rPr>
          <w:rFonts w:ascii="Book Antiqua" w:eastAsia="Times New Roman" w:hAnsi="Book Antiqua" w:cs="Times New Roman"/>
          <w:b/>
          <w:bCs/>
          <w:kern w:val="0"/>
          <w14:ligatures w14:val="none"/>
        </w:rPr>
        <w:t>Informe OPAL</w:t>
      </w:r>
    </w:p>
    <w:p w14:paraId="4573ADD3" w14:textId="6F2886C1" w:rsidR="00667E00" w:rsidRPr="00667E00"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t>La Comisión evaluó el Informe OPAL 2025</w:t>
      </w:r>
      <w:r w:rsidRPr="00667E00">
        <w:rPr>
          <w:rFonts w:ascii="Book Antiqua" w:eastAsia="Times New Roman" w:hAnsi="Book Antiqua" w:cs="Times New Roman"/>
          <w:bCs/>
          <w:kern w:val="0"/>
          <w14:ligatures w14:val="none"/>
        </w:rPr>
        <w:noBreakHyphen/>
        <w:t>131,</w:t>
      </w:r>
      <w:r w:rsidR="003A37A2" w:rsidRPr="000A4497">
        <w:rPr>
          <w:rFonts w:ascii="Book Antiqua" w:eastAsia="Times New Roman" w:hAnsi="Book Antiqua" w:cs="Times New Roman"/>
          <w:bCs/>
          <w:kern w:val="0"/>
          <w14:ligatures w14:val="none"/>
        </w:rPr>
        <w:t xml:space="preserve"> este i</w:t>
      </w:r>
      <w:r w:rsidRPr="00667E00">
        <w:rPr>
          <w:rFonts w:ascii="Book Antiqua" w:eastAsia="Times New Roman" w:hAnsi="Book Antiqua" w:cs="Times New Roman"/>
          <w:bCs/>
          <w:kern w:val="0"/>
          <w14:ligatures w14:val="none"/>
        </w:rPr>
        <w:t xml:space="preserve">nforme concluye que el efecto fiscal del P. del S. 389 </w:t>
      </w:r>
      <w:r w:rsidRPr="004B3505">
        <w:rPr>
          <w:rFonts w:ascii="Book Antiqua" w:eastAsia="Times New Roman" w:hAnsi="Book Antiqua" w:cs="Times New Roman"/>
          <w:kern w:val="0"/>
          <w14:ligatures w14:val="none"/>
        </w:rPr>
        <w:t>“no se puede precisar”,</w:t>
      </w:r>
      <w:r w:rsidRPr="00667E00">
        <w:rPr>
          <w:rFonts w:ascii="Book Antiqua" w:eastAsia="Times New Roman" w:hAnsi="Book Antiqua" w:cs="Times New Roman"/>
          <w:bCs/>
          <w:kern w:val="0"/>
          <w14:ligatures w14:val="none"/>
        </w:rPr>
        <w:t xml:space="preserve"> debido a que depende de un hecho incierto: la cantidad de obligaciones que el Patronato emitirá para financiar la restauración de la Catedral.</w:t>
      </w:r>
    </w:p>
    <w:p w14:paraId="01E03EEA" w14:textId="505CC3A3" w:rsidR="00667E00" w:rsidRPr="00667E00" w:rsidRDefault="00667E00" w:rsidP="00667E00">
      <w:pPr>
        <w:spacing w:before="100" w:beforeAutospacing="1" w:after="120" w:line="276" w:lineRule="auto"/>
        <w:jc w:val="both"/>
        <w:rPr>
          <w:rFonts w:ascii="Book Antiqua" w:eastAsia="Times New Roman" w:hAnsi="Book Antiqua" w:cs="Times New Roman"/>
          <w:bCs/>
          <w:kern w:val="0"/>
          <w14:ligatures w14:val="none"/>
        </w:rPr>
      </w:pPr>
      <w:r w:rsidRPr="00667E00">
        <w:rPr>
          <w:rFonts w:ascii="Book Antiqua" w:eastAsia="Times New Roman" w:hAnsi="Book Antiqua" w:cs="Times New Roman"/>
          <w:bCs/>
          <w:kern w:val="0"/>
          <w14:ligatures w14:val="none"/>
        </w:rPr>
        <w:t>OPAL señala además que el gasto tributario actual bajo el inciso (L) es reducido</w:t>
      </w:r>
      <w:r w:rsidR="000A4497">
        <w:rPr>
          <w:rFonts w:ascii="Book Antiqua" w:eastAsia="Times New Roman" w:hAnsi="Book Antiqua" w:cs="Times New Roman"/>
          <w:bCs/>
          <w:kern w:val="0"/>
          <w14:ligatures w14:val="none"/>
        </w:rPr>
        <w:t xml:space="preserve"> (</w:t>
      </w:r>
      <w:r w:rsidRPr="00667E00">
        <w:rPr>
          <w:rFonts w:ascii="Book Antiqua" w:eastAsia="Times New Roman" w:hAnsi="Book Antiqua" w:cs="Times New Roman"/>
          <w:bCs/>
          <w:kern w:val="0"/>
          <w14:ligatures w14:val="none"/>
        </w:rPr>
        <w:t>aproximadamente $1 millón anual para individuos</w:t>
      </w:r>
      <w:r w:rsidR="000A4497">
        <w:rPr>
          <w:rFonts w:ascii="Book Antiqua" w:eastAsia="Times New Roman" w:hAnsi="Book Antiqua" w:cs="Times New Roman"/>
          <w:bCs/>
          <w:kern w:val="0"/>
          <w14:ligatures w14:val="none"/>
        </w:rPr>
        <w:t xml:space="preserve">), </w:t>
      </w:r>
      <w:r w:rsidRPr="00667E00">
        <w:rPr>
          <w:rFonts w:ascii="Book Antiqua" w:eastAsia="Times New Roman" w:hAnsi="Book Antiqua" w:cs="Times New Roman"/>
          <w:bCs/>
          <w:kern w:val="0"/>
          <w14:ligatures w14:val="none"/>
        </w:rPr>
        <w:t>pero no se desglosa por entidad, lo que limita la capacidad de proyectar el impacto marginal de añadir un nuevo propósito.</w:t>
      </w:r>
    </w:p>
    <w:p w14:paraId="23BBCB2A" w14:textId="313CAFD4" w:rsidR="000A4497" w:rsidRPr="00667E00" w:rsidRDefault="000A4497" w:rsidP="00667E00">
      <w:pPr>
        <w:spacing w:before="100" w:beforeAutospacing="1" w:after="120" w:line="276"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No empecé a este señalamiento, la Comisión</w:t>
      </w:r>
      <w:r w:rsidR="00667E00" w:rsidRPr="00667E00">
        <w:rPr>
          <w:rFonts w:ascii="Book Antiqua" w:eastAsia="Times New Roman" w:hAnsi="Book Antiqua" w:cs="Times New Roman"/>
          <w:bCs/>
          <w:kern w:val="0"/>
          <w14:ligatures w14:val="none"/>
        </w:rPr>
        <w:t xml:space="preserve"> reconoce que la medida opera dentro de un marco contributivo ya existente</w:t>
      </w:r>
      <w:r w:rsidR="00B80CD0">
        <w:rPr>
          <w:rFonts w:ascii="Book Antiqua" w:eastAsia="Times New Roman" w:hAnsi="Book Antiqua" w:cs="Times New Roman"/>
          <w:bCs/>
          <w:kern w:val="0"/>
          <w14:ligatures w14:val="none"/>
        </w:rPr>
        <w:t>,</w:t>
      </w:r>
      <w:r w:rsidR="003A37A2" w:rsidRPr="000A4497">
        <w:rPr>
          <w:rFonts w:ascii="Book Antiqua" w:eastAsia="Times New Roman" w:hAnsi="Book Antiqua" w:cs="Times New Roman"/>
          <w:bCs/>
          <w:kern w:val="0"/>
          <w14:ligatures w14:val="none"/>
        </w:rPr>
        <w:t xml:space="preserve"> el cual no crea una </w:t>
      </w:r>
      <w:r w:rsidRPr="000A4497">
        <w:rPr>
          <w:rFonts w:ascii="Book Antiqua" w:eastAsia="Times New Roman" w:hAnsi="Book Antiqua" w:cs="Times New Roman"/>
          <w:bCs/>
          <w:kern w:val="0"/>
          <w14:ligatures w14:val="none"/>
        </w:rPr>
        <w:t>obligación</w:t>
      </w:r>
      <w:r w:rsidR="003A37A2" w:rsidRPr="000A4497">
        <w:rPr>
          <w:rFonts w:ascii="Book Antiqua" w:eastAsia="Times New Roman" w:hAnsi="Book Antiqua" w:cs="Times New Roman"/>
          <w:bCs/>
          <w:kern w:val="0"/>
          <w14:ligatures w14:val="none"/>
        </w:rPr>
        <w:t xml:space="preserve"> adicional al erario</w:t>
      </w:r>
      <w:r w:rsidR="005A25A5" w:rsidRPr="000A4497">
        <w:rPr>
          <w:rFonts w:ascii="Book Antiqua" w:eastAsia="Times New Roman" w:hAnsi="Book Antiqua" w:cs="Times New Roman"/>
          <w:bCs/>
          <w:kern w:val="0"/>
          <w14:ligatures w14:val="none"/>
        </w:rPr>
        <w:t>.</w:t>
      </w:r>
    </w:p>
    <w:p w14:paraId="48C85DEB" w14:textId="77777777" w:rsidR="00175199" w:rsidRPr="00175199" w:rsidRDefault="00175199" w:rsidP="00175199">
      <w:pPr>
        <w:spacing w:before="100" w:beforeAutospacing="1" w:after="120" w:line="276" w:lineRule="auto"/>
        <w:jc w:val="center"/>
        <w:rPr>
          <w:rFonts w:ascii="Book Antiqua" w:eastAsia="Times New Roman" w:hAnsi="Book Antiqua" w:cs="Times New Roman"/>
          <w:b/>
          <w:kern w:val="0"/>
          <w14:ligatures w14:val="none"/>
        </w:rPr>
      </w:pPr>
      <w:r w:rsidRPr="00175199">
        <w:rPr>
          <w:rFonts w:ascii="Book Antiqua" w:eastAsia="Times New Roman" w:hAnsi="Book Antiqua" w:cs="Times New Roman"/>
          <w:b/>
          <w:kern w:val="0"/>
          <w14:ligatures w14:val="none"/>
        </w:rPr>
        <w:t>IMPACTO FISCAL</w:t>
      </w:r>
    </w:p>
    <w:p w14:paraId="11461E1D" w14:textId="77777777" w:rsidR="00770C78" w:rsidRPr="00770C78" w:rsidRDefault="00770C78" w:rsidP="005A25A5">
      <w:p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El análisis fiscal del P. del S. 389 se fundamenta principalmente en el Informe OPAL 2025</w:t>
      </w:r>
      <w:r w:rsidRPr="00770C78">
        <w:rPr>
          <w:rFonts w:ascii="Book Antiqua" w:eastAsia="Times New Roman" w:hAnsi="Book Antiqua" w:cs="Times New Roman"/>
          <w:kern w:val="0"/>
          <w14:ligatures w14:val="none"/>
        </w:rPr>
        <w:noBreakHyphen/>
        <w:t>131.</w:t>
      </w:r>
    </w:p>
    <w:p w14:paraId="49FE0ABD" w14:textId="77777777" w:rsidR="00770C78" w:rsidRPr="00770C78" w:rsidRDefault="00770C78" w:rsidP="005A25A5">
      <w:p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 xml:space="preserve">OPAL concluye que el efecto fiscal </w:t>
      </w:r>
      <w:r w:rsidRPr="00B80CD0">
        <w:rPr>
          <w:rFonts w:ascii="Book Antiqua" w:eastAsia="Times New Roman" w:hAnsi="Book Antiqua" w:cs="Times New Roman"/>
          <w:kern w:val="0"/>
          <w14:ligatures w14:val="none"/>
        </w:rPr>
        <w:t>no se puede precisar</w:t>
      </w:r>
      <w:r w:rsidRPr="00770C78">
        <w:rPr>
          <w:rFonts w:ascii="Book Antiqua" w:eastAsia="Times New Roman" w:hAnsi="Book Antiqua" w:cs="Times New Roman"/>
          <w:kern w:val="0"/>
          <w14:ligatures w14:val="none"/>
        </w:rPr>
        <w:t>, señalando:</w:t>
      </w:r>
    </w:p>
    <w:p w14:paraId="31EEC416" w14:textId="77777777" w:rsidR="00770C78" w:rsidRPr="00770C78" w:rsidRDefault="00770C78" w:rsidP="005A25A5">
      <w:p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“La OPAL concluye que, al momento, el efecto fiscal del P. del S. 389 no se puede precisar, pues depende de un hecho incierto.” (Informe OPAL 2025</w:t>
      </w:r>
      <w:r w:rsidRPr="00770C78">
        <w:rPr>
          <w:rFonts w:ascii="Book Antiqua" w:eastAsia="Times New Roman" w:hAnsi="Book Antiqua" w:cs="Times New Roman"/>
          <w:kern w:val="0"/>
          <w14:ligatures w14:val="none"/>
        </w:rPr>
        <w:noBreakHyphen/>
        <w:t>131, pág. 5)</w:t>
      </w:r>
    </w:p>
    <w:p w14:paraId="2FE54826" w14:textId="77777777" w:rsidR="00770C78" w:rsidRPr="00770C78" w:rsidRDefault="00770C78" w:rsidP="005A25A5">
      <w:p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lastRenderedPageBreak/>
        <w:t>La Comisión coincide en que la ausencia de información sobre el volumen de obligaciones futuras impide una cuantificación exacta. No obstante:</w:t>
      </w:r>
    </w:p>
    <w:p w14:paraId="0A0DB093" w14:textId="77777777" w:rsidR="00770C78" w:rsidRPr="00770C78" w:rsidRDefault="00770C78" w:rsidP="005A25A5">
      <w:pPr>
        <w:numPr>
          <w:ilvl w:val="0"/>
          <w:numId w:val="1"/>
        </w:num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La medida no crea un nuevo incentivo, sino que amplía un propósito dentro de un esquema ya existente.</w:t>
      </w:r>
    </w:p>
    <w:p w14:paraId="4A3BB7EA" w14:textId="77777777" w:rsidR="00770C78" w:rsidRPr="00770C78" w:rsidRDefault="00770C78" w:rsidP="005A25A5">
      <w:pPr>
        <w:numPr>
          <w:ilvl w:val="0"/>
          <w:numId w:val="1"/>
        </w:num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El gasto tributario histórico bajo este inciso es mínimo y estable.</w:t>
      </w:r>
    </w:p>
    <w:p w14:paraId="700B74E8" w14:textId="48B8138B" w:rsidR="00770C78" w:rsidRPr="00770C78" w:rsidRDefault="00770C78" w:rsidP="005A25A5">
      <w:pPr>
        <w:numPr>
          <w:ilvl w:val="0"/>
          <w:numId w:val="1"/>
        </w:num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La restauración de la Catedral puede generar actividad económica indirecta en el Viejo San Juan (turismo, servicios, empleos temporeros</w:t>
      </w:r>
      <w:r w:rsidR="005A25A5" w:rsidRPr="005A25A5">
        <w:rPr>
          <w:rFonts w:ascii="Book Antiqua" w:eastAsia="Times New Roman" w:hAnsi="Book Antiqua" w:cs="Times New Roman"/>
          <w:kern w:val="0"/>
          <w14:ligatures w14:val="none"/>
        </w:rPr>
        <w:t>)</w:t>
      </w:r>
    </w:p>
    <w:p w14:paraId="6BBE3F56" w14:textId="438B9E5B" w:rsidR="000A4497" w:rsidRPr="00770C78" w:rsidRDefault="00770C78" w:rsidP="005A25A5">
      <w:pPr>
        <w:spacing w:before="100" w:beforeAutospacing="1" w:after="120" w:line="276" w:lineRule="auto"/>
        <w:jc w:val="both"/>
        <w:rPr>
          <w:rFonts w:ascii="Book Antiqua" w:eastAsia="Times New Roman" w:hAnsi="Book Antiqua" w:cs="Times New Roman"/>
          <w:kern w:val="0"/>
          <w14:ligatures w14:val="none"/>
        </w:rPr>
      </w:pPr>
      <w:r w:rsidRPr="00770C78">
        <w:rPr>
          <w:rFonts w:ascii="Book Antiqua" w:eastAsia="Times New Roman" w:hAnsi="Book Antiqua" w:cs="Times New Roman"/>
          <w:kern w:val="0"/>
          <w14:ligatures w14:val="none"/>
        </w:rPr>
        <w:t>En consecuencia, la Comisión entiende que la medida no compromete la neutralidad fiscal ni afecta adversamente las proyecciones del Plan Fiscal certificado</w:t>
      </w:r>
      <w:r w:rsidR="005A25A5">
        <w:rPr>
          <w:rFonts w:ascii="Book Antiqua" w:eastAsia="Times New Roman" w:hAnsi="Book Antiqua" w:cs="Times New Roman"/>
          <w:kern w:val="0"/>
          <w14:ligatures w14:val="none"/>
        </w:rPr>
        <w:t xml:space="preserve">, no crea un incentivo nuevo y opera bajo </w:t>
      </w:r>
      <w:r w:rsidR="000A4497">
        <w:rPr>
          <w:rFonts w:ascii="Book Antiqua" w:eastAsia="Times New Roman" w:hAnsi="Book Antiqua" w:cs="Times New Roman"/>
          <w:kern w:val="0"/>
          <w14:ligatures w14:val="none"/>
        </w:rPr>
        <w:t>los</w:t>
      </w:r>
      <w:r w:rsidR="005A25A5">
        <w:rPr>
          <w:rFonts w:ascii="Book Antiqua" w:eastAsia="Times New Roman" w:hAnsi="Book Antiqua" w:cs="Times New Roman"/>
          <w:kern w:val="0"/>
          <w14:ligatures w14:val="none"/>
        </w:rPr>
        <w:t xml:space="preserve"> limites fiscales actuales</w:t>
      </w:r>
      <w:r w:rsidR="000A4497">
        <w:rPr>
          <w:rFonts w:ascii="Book Antiqua" w:eastAsia="Times New Roman" w:hAnsi="Book Antiqua" w:cs="Times New Roman"/>
          <w:kern w:val="0"/>
          <w14:ligatures w14:val="none"/>
        </w:rPr>
        <w:t>,</w:t>
      </w:r>
      <w:r w:rsidR="005A25A5">
        <w:rPr>
          <w:rFonts w:ascii="Book Antiqua" w:eastAsia="Times New Roman" w:hAnsi="Book Antiqua" w:cs="Times New Roman"/>
          <w:kern w:val="0"/>
          <w14:ligatures w14:val="none"/>
        </w:rPr>
        <w:t xml:space="preserve"> ya que opera bajo los esquemas </w:t>
      </w:r>
      <w:r w:rsidR="000D58E6">
        <w:rPr>
          <w:rFonts w:ascii="Book Antiqua" w:eastAsia="Times New Roman" w:hAnsi="Book Antiqua" w:cs="Times New Roman"/>
          <w:kern w:val="0"/>
          <w14:ligatures w14:val="none"/>
        </w:rPr>
        <w:t xml:space="preserve">contributivos ya </w:t>
      </w:r>
      <w:r w:rsidR="005A25A5">
        <w:rPr>
          <w:rFonts w:ascii="Book Antiqua" w:eastAsia="Times New Roman" w:hAnsi="Book Antiqua" w:cs="Times New Roman"/>
          <w:kern w:val="0"/>
          <w14:ligatures w14:val="none"/>
        </w:rPr>
        <w:t xml:space="preserve">existentes. </w:t>
      </w:r>
    </w:p>
    <w:p w14:paraId="133BF918" w14:textId="77777777" w:rsidR="00175199" w:rsidRPr="00175199" w:rsidRDefault="00175199" w:rsidP="00175199">
      <w:pPr>
        <w:spacing w:before="100" w:beforeAutospacing="1" w:after="120" w:line="276" w:lineRule="auto"/>
        <w:jc w:val="center"/>
        <w:rPr>
          <w:rFonts w:ascii="Book Antiqua" w:eastAsia="Times New Roman" w:hAnsi="Book Antiqua" w:cs="Times New Roman"/>
          <w:b/>
          <w:kern w:val="0"/>
          <w14:ligatures w14:val="none"/>
        </w:rPr>
      </w:pPr>
      <w:r w:rsidRPr="00175199">
        <w:rPr>
          <w:rFonts w:ascii="Book Antiqua" w:eastAsia="Times New Roman" w:hAnsi="Book Antiqua" w:cs="Times New Roman"/>
          <w:b/>
          <w:kern w:val="0"/>
          <w14:ligatures w14:val="none"/>
        </w:rPr>
        <w:t>CONCLUSIÓN</w:t>
      </w:r>
    </w:p>
    <w:p w14:paraId="1A4C40EC" w14:textId="1C4B60C5" w:rsidR="005A25A5" w:rsidRDefault="005A25A5" w:rsidP="000A4497">
      <w:pPr>
        <w:jc w:val="both"/>
        <w:rPr>
          <w:kern w:val="0"/>
          <w14:ligatures w14:val="none"/>
        </w:rPr>
      </w:pPr>
      <w:r>
        <w:rPr>
          <w:rFonts w:ascii="Book Antiqua" w:hAnsi="Book Antiqua"/>
        </w:rPr>
        <w:t xml:space="preserve">Luego de llevar a cabo el análisis y evaluación sobre toda la información concerniente al P. del S. </w:t>
      </w:r>
      <w:r w:rsidR="000A4497">
        <w:rPr>
          <w:rFonts w:ascii="Book Antiqua" w:hAnsi="Book Antiqua"/>
        </w:rPr>
        <w:t>389, la</w:t>
      </w:r>
      <w:r>
        <w:rPr>
          <w:rFonts w:ascii="Book Antiqua" w:hAnsi="Book Antiqua"/>
        </w:rPr>
        <w:t xml:space="preserve"> Comisión de Hacienda concluye que la medida promueve la preservación del patrimonio histórico y cultural de Puerto Rico, es consistente con el marco contributivo vigente y no altera la estructura</w:t>
      </w:r>
      <w:r w:rsidR="001247E3">
        <w:rPr>
          <w:rFonts w:ascii="Book Antiqua" w:hAnsi="Book Antiqua"/>
        </w:rPr>
        <w:t xml:space="preserve"> actual</w:t>
      </w:r>
      <w:r>
        <w:rPr>
          <w:rFonts w:ascii="Book Antiqua" w:hAnsi="Book Antiqua"/>
        </w:rPr>
        <w:t xml:space="preserve"> del sistema. Además, no genera un impacto fiscal adverso</w:t>
      </w:r>
      <w:r w:rsidR="0029616C">
        <w:rPr>
          <w:rFonts w:ascii="Book Antiqua" w:hAnsi="Book Antiqua"/>
        </w:rPr>
        <w:t xml:space="preserve"> </w:t>
      </w:r>
      <w:r>
        <w:rPr>
          <w:rFonts w:ascii="Book Antiqua" w:hAnsi="Book Antiqua"/>
        </w:rPr>
        <w:t xml:space="preserve">y fortalece la capacidad del Patronato de Monumentos de San Juan para financiar proyectos de alto valor cultural y turístico. </w:t>
      </w:r>
    </w:p>
    <w:p w14:paraId="1DD8B407" w14:textId="15D0E6E6" w:rsidR="005A25A5" w:rsidRPr="005A25A5" w:rsidRDefault="005A25A5" w:rsidP="00D27D27">
      <w:pPr>
        <w:spacing w:before="100" w:beforeAutospacing="1" w:after="120" w:line="276" w:lineRule="auto"/>
        <w:jc w:val="both"/>
        <w:rPr>
          <w:rFonts w:ascii="Book Antiqua" w:eastAsia="Times New Roman" w:hAnsi="Book Antiqua" w:cs="Times New Roman"/>
          <w:bCs/>
          <w:kern w:val="0"/>
          <w14:ligatures w14:val="none"/>
        </w:rPr>
      </w:pPr>
      <w:r w:rsidRPr="005A25A5">
        <w:rPr>
          <w:rFonts w:ascii="Book Antiqua" w:eastAsia="Times New Roman" w:hAnsi="Book Antiqua" w:cs="Times New Roman"/>
          <w:bCs/>
          <w:kern w:val="0"/>
          <w14:ligatures w14:val="none"/>
        </w:rPr>
        <w:t xml:space="preserve">Por todo lo anterior, la Comisión de Hacienda recomienda la </w:t>
      </w:r>
      <w:r w:rsidRPr="005A25A5">
        <w:rPr>
          <w:rFonts w:ascii="Book Antiqua" w:eastAsia="Times New Roman" w:hAnsi="Book Antiqua" w:cs="Times New Roman"/>
          <w:kern w:val="0"/>
          <w14:ligatures w14:val="none"/>
        </w:rPr>
        <w:t>aprobación del P. del S. 389</w:t>
      </w:r>
      <w:r w:rsidR="00F15BBF">
        <w:rPr>
          <w:rFonts w:ascii="Book Antiqua" w:eastAsia="Times New Roman" w:hAnsi="Book Antiqua" w:cs="Times New Roman"/>
          <w:kern w:val="0"/>
          <w14:ligatures w14:val="none"/>
        </w:rPr>
        <w:t xml:space="preserve"> sin enmiendas</w:t>
      </w:r>
      <w:r w:rsidRPr="005A25A5">
        <w:rPr>
          <w:rFonts w:ascii="Book Antiqua" w:eastAsia="Times New Roman" w:hAnsi="Book Antiqua" w:cs="Times New Roman"/>
          <w:bCs/>
          <w:kern w:val="0"/>
          <w14:ligatures w14:val="none"/>
        </w:rPr>
        <w:t>.</w:t>
      </w:r>
    </w:p>
    <w:p w14:paraId="540289BB" w14:textId="77777777" w:rsidR="00175199" w:rsidRDefault="00175199" w:rsidP="00D27D27">
      <w:pPr>
        <w:spacing w:before="120" w:after="240" w:line="240" w:lineRule="auto"/>
        <w:jc w:val="both"/>
        <w:rPr>
          <w:rFonts w:ascii="Book Antiqua" w:eastAsia="Times New Roman" w:hAnsi="Book Antiqua" w:cs="Times New Roman"/>
          <w:bCs/>
          <w:kern w:val="0"/>
          <w:lang w:val="it-IT"/>
          <w14:ligatures w14:val="none"/>
        </w:rPr>
      </w:pPr>
      <w:r w:rsidRPr="00F15BBF">
        <w:rPr>
          <w:rFonts w:ascii="Book Antiqua" w:eastAsia="Times New Roman" w:hAnsi="Book Antiqua" w:cs="Times New Roman"/>
          <w:bCs/>
          <w:kern w:val="0"/>
          <w:lang w:val="it-IT"/>
          <w14:ligatures w14:val="none"/>
        </w:rPr>
        <w:t>Respetuosamente sometido,</w:t>
      </w:r>
    </w:p>
    <w:p w14:paraId="228B360B" w14:textId="77777777" w:rsidR="00F15BBF" w:rsidRPr="00F15BBF" w:rsidRDefault="00F15BBF" w:rsidP="00D27D27">
      <w:pPr>
        <w:spacing w:before="120" w:after="240" w:line="240" w:lineRule="auto"/>
        <w:jc w:val="both"/>
        <w:rPr>
          <w:rFonts w:ascii="Book Antiqua" w:eastAsia="Times New Roman" w:hAnsi="Book Antiqua" w:cs="Times New Roman"/>
          <w:bCs/>
          <w:kern w:val="0"/>
          <w:lang w:val="it-IT"/>
          <w14:ligatures w14:val="none"/>
        </w:rPr>
      </w:pPr>
    </w:p>
    <w:p w14:paraId="006AAA52" w14:textId="77777777" w:rsidR="00175199" w:rsidRPr="00F15BBF" w:rsidRDefault="00175199" w:rsidP="00175199">
      <w:pPr>
        <w:spacing w:after="0" w:line="240" w:lineRule="auto"/>
        <w:ind w:left="720"/>
        <w:jc w:val="both"/>
        <w:rPr>
          <w:rFonts w:ascii="Book Antiqua" w:eastAsia="Times New Roman" w:hAnsi="Book Antiqua" w:cs="Times New Roman"/>
          <w:bCs/>
          <w:kern w:val="0"/>
          <w:lang w:val="it-IT"/>
          <w14:ligatures w14:val="none"/>
        </w:rPr>
      </w:pPr>
    </w:p>
    <w:p w14:paraId="1714C809" w14:textId="77777777" w:rsidR="00175199" w:rsidRPr="00D27D27" w:rsidRDefault="00175199" w:rsidP="00175199">
      <w:pPr>
        <w:spacing w:after="0" w:line="240" w:lineRule="auto"/>
        <w:ind w:left="720"/>
        <w:jc w:val="both"/>
        <w:rPr>
          <w:rFonts w:ascii="Book Antiqua" w:eastAsia="Times New Roman" w:hAnsi="Book Antiqua" w:cs="Times New Roman"/>
          <w:kern w:val="0"/>
          <w:lang w:val="it-IT"/>
          <w14:ligatures w14:val="none"/>
        </w:rPr>
      </w:pPr>
    </w:p>
    <w:p w14:paraId="0ADD88F8" w14:textId="77777777" w:rsidR="00F15BBF" w:rsidRDefault="00175199" w:rsidP="00D27D27">
      <w:pPr>
        <w:spacing w:after="0" w:line="240" w:lineRule="auto"/>
        <w:jc w:val="both"/>
        <w:rPr>
          <w:rFonts w:ascii="Book Antiqua" w:eastAsia="Times New Roman" w:hAnsi="Book Antiqua" w:cs="Times New Roman"/>
          <w:kern w:val="0"/>
          <w:lang w:val="it-IT"/>
          <w14:ligatures w14:val="none"/>
        </w:rPr>
      </w:pPr>
      <w:r w:rsidRPr="00D27D27">
        <w:rPr>
          <w:rFonts w:ascii="Book Antiqua" w:eastAsia="Times New Roman" w:hAnsi="Book Antiqua" w:cs="Times New Roman"/>
          <w:kern w:val="0"/>
          <w:lang w:val="it-IT"/>
          <w14:ligatures w14:val="none"/>
        </w:rPr>
        <w:t>Hon. Eddie Charbonier Chinea</w:t>
      </w:r>
    </w:p>
    <w:p w14:paraId="109F1B67" w14:textId="77777777" w:rsidR="00F15BBF" w:rsidRDefault="00F15BBF" w:rsidP="00D27D27">
      <w:pPr>
        <w:spacing w:after="0" w:line="240" w:lineRule="auto"/>
        <w:jc w:val="both"/>
        <w:rPr>
          <w:rFonts w:ascii="Book Antiqua" w:eastAsia="Times New Roman" w:hAnsi="Book Antiqua" w:cs="Times New Roman"/>
          <w:kern w:val="0"/>
          <w:lang w:val="it-IT"/>
          <w14:ligatures w14:val="none"/>
        </w:rPr>
      </w:pPr>
      <w:r>
        <w:rPr>
          <w:rFonts w:ascii="Book Antiqua" w:eastAsia="Times New Roman" w:hAnsi="Book Antiqua" w:cs="Times New Roman"/>
          <w:kern w:val="0"/>
          <w:lang w:val="it-IT"/>
          <w14:ligatures w14:val="none"/>
        </w:rPr>
        <w:t>Presidente</w:t>
      </w:r>
    </w:p>
    <w:p w14:paraId="57A7FBCD" w14:textId="044434ED" w:rsidR="00175199" w:rsidRPr="00D27D27" w:rsidRDefault="00F15BBF" w:rsidP="00D27D27">
      <w:pPr>
        <w:spacing w:after="0" w:line="240" w:lineRule="auto"/>
        <w:jc w:val="both"/>
        <w:rPr>
          <w:rFonts w:ascii="Book Antiqua" w:eastAsia="Times New Roman" w:hAnsi="Book Antiqua" w:cs="Times New Roman"/>
          <w:kern w:val="0"/>
          <w:lang w:val="it-IT"/>
          <w14:ligatures w14:val="none"/>
        </w:rPr>
      </w:pPr>
      <w:r>
        <w:rPr>
          <w:rFonts w:ascii="Book Antiqua" w:eastAsia="Times New Roman" w:hAnsi="Book Antiqua" w:cs="Times New Roman"/>
          <w:kern w:val="0"/>
          <w:lang w:val="it-IT"/>
          <w14:ligatures w14:val="none"/>
        </w:rPr>
        <w:t>Comisión de Hacienda</w:t>
      </w:r>
      <w:r w:rsidR="00175199" w:rsidRPr="00D27D27">
        <w:rPr>
          <w:rFonts w:ascii="Book Antiqua" w:eastAsia="Times New Roman" w:hAnsi="Book Antiqua" w:cs="Times New Roman"/>
          <w:kern w:val="0"/>
          <w:lang w:val="it-IT"/>
          <w14:ligatures w14:val="none"/>
        </w:rPr>
        <w:tab/>
      </w:r>
    </w:p>
    <w:p w14:paraId="204B4855" w14:textId="77777777" w:rsidR="00701A84" w:rsidRPr="00F15BBF" w:rsidRDefault="00701A84">
      <w:pPr>
        <w:rPr>
          <w:lang w:val="it-IT"/>
        </w:rPr>
      </w:pPr>
    </w:p>
    <w:sectPr w:rsidR="00701A84" w:rsidRPr="00F15BBF" w:rsidSect="00F15BBF">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1233F" w14:textId="77777777" w:rsidR="003D740E" w:rsidRDefault="003D740E" w:rsidP="00F15BBF">
      <w:pPr>
        <w:spacing w:after="0" w:line="240" w:lineRule="auto"/>
      </w:pPr>
      <w:r>
        <w:separator/>
      </w:r>
    </w:p>
  </w:endnote>
  <w:endnote w:type="continuationSeparator" w:id="0">
    <w:p w14:paraId="0D5C0913" w14:textId="77777777" w:rsidR="003D740E" w:rsidRDefault="003D740E" w:rsidP="00F15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AEFFB" w14:textId="77777777" w:rsidR="003D740E" w:rsidRDefault="003D740E" w:rsidP="00F15BBF">
      <w:pPr>
        <w:spacing w:after="0" w:line="240" w:lineRule="auto"/>
      </w:pPr>
      <w:r>
        <w:separator/>
      </w:r>
    </w:p>
  </w:footnote>
  <w:footnote w:type="continuationSeparator" w:id="0">
    <w:p w14:paraId="501D67F7" w14:textId="77777777" w:rsidR="003D740E" w:rsidRDefault="003D740E" w:rsidP="00F15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560748"/>
      <w:docPartObj>
        <w:docPartGallery w:val="Page Numbers (Top of Page)"/>
        <w:docPartUnique/>
      </w:docPartObj>
    </w:sdtPr>
    <w:sdtEndPr>
      <w:rPr>
        <w:noProof/>
      </w:rPr>
    </w:sdtEndPr>
    <w:sdtContent>
      <w:p w14:paraId="25363600" w14:textId="79FAD6E7" w:rsidR="00F15BBF" w:rsidRDefault="00F15BB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709446" w14:textId="77777777" w:rsidR="00F15BBF" w:rsidRDefault="00F15B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93D32"/>
    <w:multiLevelType w:val="multilevel"/>
    <w:tmpl w:val="F2E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4305E1"/>
    <w:multiLevelType w:val="multilevel"/>
    <w:tmpl w:val="7CF0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484192">
    <w:abstractNumId w:val="0"/>
  </w:num>
  <w:num w:numId="2" w16cid:durableId="194584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199"/>
    <w:rsid w:val="0001494E"/>
    <w:rsid w:val="00037A76"/>
    <w:rsid w:val="000A4497"/>
    <w:rsid w:val="000D58E6"/>
    <w:rsid w:val="001247E3"/>
    <w:rsid w:val="00147F28"/>
    <w:rsid w:val="00175199"/>
    <w:rsid w:val="001A0C38"/>
    <w:rsid w:val="0029616C"/>
    <w:rsid w:val="00306D1F"/>
    <w:rsid w:val="0031283C"/>
    <w:rsid w:val="00347D85"/>
    <w:rsid w:val="003728F5"/>
    <w:rsid w:val="00397D6C"/>
    <w:rsid w:val="003A37A2"/>
    <w:rsid w:val="003D740E"/>
    <w:rsid w:val="0041202C"/>
    <w:rsid w:val="004966B2"/>
    <w:rsid w:val="004B3505"/>
    <w:rsid w:val="004D0F0C"/>
    <w:rsid w:val="004F0FF1"/>
    <w:rsid w:val="005A25A5"/>
    <w:rsid w:val="005A614C"/>
    <w:rsid w:val="005A7DD9"/>
    <w:rsid w:val="00645C25"/>
    <w:rsid w:val="00653B53"/>
    <w:rsid w:val="00667E00"/>
    <w:rsid w:val="006B4E5C"/>
    <w:rsid w:val="00701A84"/>
    <w:rsid w:val="0071641C"/>
    <w:rsid w:val="00724D7D"/>
    <w:rsid w:val="00751DC4"/>
    <w:rsid w:val="00770C78"/>
    <w:rsid w:val="007800F1"/>
    <w:rsid w:val="007A399B"/>
    <w:rsid w:val="00802788"/>
    <w:rsid w:val="00846D3C"/>
    <w:rsid w:val="008F1B99"/>
    <w:rsid w:val="009F0E30"/>
    <w:rsid w:val="00A936E6"/>
    <w:rsid w:val="00B6548E"/>
    <w:rsid w:val="00B80CD0"/>
    <w:rsid w:val="00BA7703"/>
    <w:rsid w:val="00C42681"/>
    <w:rsid w:val="00CC2AE4"/>
    <w:rsid w:val="00CC38A8"/>
    <w:rsid w:val="00D043F3"/>
    <w:rsid w:val="00D27D27"/>
    <w:rsid w:val="00D753F5"/>
    <w:rsid w:val="00D84FCD"/>
    <w:rsid w:val="00E075D3"/>
    <w:rsid w:val="00E111C3"/>
    <w:rsid w:val="00E74272"/>
    <w:rsid w:val="00EC209F"/>
    <w:rsid w:val="00EF6724"/>
    <w:rsid w:val="00F15BBF"/>
    <w:rsid w:val="00F5699D"/>
    <w:rsid w:val="00FD2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EE26"/>
  <w15:chartTrackingRefBased/>
  <w15:docId w15:val="{667F381B-A74F-4FB2-897D-3A8C01B9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175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199"/>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175199"/>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175199"/>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175199"/>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175199"/>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175199"/>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175199"/>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175199"/>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175199"/>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175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199"/>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175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199"/>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175199"/>
    <w:pPr>
      <w:spacing w:before="160"/>
      <w:jc w:val="center"/>
    </w:pPr>
    <w:rPr>
      <w:i/>
      <w:iCs/>
      <w:color w:val="404040" w:themeColor="text1" w:themeTint="BF"/>
    </w:rPr>
  </w:style>
  <w:style w:type="character" w:customStyle="1" w:styleId="QuoteChar">
    <w:name w:val="Quote Char"/>
    <w:basedOn w:val="DefaultParagraphFont"/>
    <w:link w:val="Quote"/>
    <w:uiPriority w:val="29"/>
    <w:rsid w:val="00175199"/>
    <w:rPr>
      <w:i/>
      <w:iCs/>
      <w:color w:val="404040" w:themeColor="text1" w:themeTint="BF"/>
      <w:lang w:val="es-PR"/>
    </w:rPr>
  </w:style>
  <w:style w:type="paragraph" w:styleId="ListParagraph">
    <w:name w:val="List Paragraph"/>
    <w:basedOn w:val="Normal"/>
    <w:uiPriority w:val="34"/>
    <w:qFormat/>
    <w:rsid w:val="00175199"/>
    <w:pPr>
      <w:ind w:left="720"/>
      <w:contextualSpacing/>
    </w:pPr>
  </w:style>
  <w:style w:type="character" w:styleId="IntenseEmphasis">
    <w:name w:val="Intense Emphasis"/>
    <w:basedOn w:val="DefaultParagraphFont"/>
    <w:uiPriority w:val="21"/>
    <w:qFormat/>
    <w:rsid w:val="00175199"/>
    <w:rPr>
      <w:i/>
      <w:iCs/>
      <w:color w:val="0F4761" w:themeColor="accent1" w:themeShade="BF"/>
    </w:rPr>
  </w:style>
  <w:style w:type="paragraph" w:styleId="IntenseQuote">
    <w:name w:val="Intense Quote"/>
    <w:basedOn w:val="Normal"/>
    <w:next w:val="Normal"/>
    <w:link w:val="IntenseQuoteChar"/>
    <w:uiPriority w:val="30"/>
    <w:qFormat/>
    <w:rsid w:val="00175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199"/>
    <w:rPr>
      <w:i/>
      <w:iCs/>
      <w:color w:val="0F4761" w:themeColor="accent1" w:themeShade="BF"/>
      <w:lang w:val="es-PR"/>
    </w:rPr>
  </w:style>
  <w:style w:type="character" w:styleId="IntenseReference">
    <w:name w:val="Intense Reference"/>
    <w:basedOn w:val="DefaultParagraphFont"/>
    <w:uiPriority w:val="32"/>
    <w:qFormat/>
    <w:rsid w:val="00175199"/>
    <w:rPr>
      <w:b/>
      <w:bCs/>
      <w:smallCaps/>
      <w:color w:val="0F4761" w:themeColor="accent1" w:themeShade="BF"/>
      <w:spacing w:val="5"/>
    </w:rPr>
  </w:style>
  <w:style w:type="paragraph" w:styleId="Header">
    <w:name w:val="header"/>
    <w:basedOn w:val="Normal"/>
    <w:link w:val="HeaderChar"/>
    <w:uiPriority w:val="99"/>
    <w:unhideWhenUsed/>
    <w:rsid w:val="00F15B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BBF"/>
    <w:rPr>
      <w:lang w:val="es-PR"/>
    </w:rPr>
  </w:style>
  <w:style w:type="paragraph" w:styleId="Footer">
    <w:name w:val="footer"/>
    <w:basedOn w:val="Normal"/>
    <w:link w:val="FooterChar"/>
    <w:uiPriority w:val="99"/>
    <w:unhideWhenUsed/>
    <w:rsid w:val="00F15B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BBF"/>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755</Words>
  <Characters>4308</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J. Pérez Méndez</dc:creator>
  <cp:keywords/>
  <dc:description/>
  <cp:lastModifiedBy>Camyl Moreno Pantojas</cp:lastModifiedBy>
  <cp:revision>2</cp:revision>
  <cp:lastPrinted>2026-04-24T17:24:00Z</cp:lastPrinted>
  <dcterms:created xsi:type="dcterms:W3CDTF">2026-04-28T18:54:00Z</dcterms:created>
  <dcterms:modified xsi:type="dcterms:W3CDTF">2026-04-28T18:54:00Z</dcterms:modified>
</cp:coreProperties>
</file>