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19727011" w:rsidR="007535BB" w:rsidRPr="00C17181" w:rsidRDefault="007535BB" w:rsidP="00D95836">
            <w:pPr>
              <w:rPr>
                <w:rFonts w:ascii="Book Antiqua" w:hAnsi="Book Antiqua"/>
                <w:lang w:val="es-ES"/>
              </w:rPr>
            </w:pPr>
            <w:r w:rsidRPr="00C17181">
              <w:rPr>
                <w:rFonts w:ascii="Book Antiqua" w:hAnsi="Book Antiqua"/>
                <w:lang w:val="es-ES"/>
              </w:rPr>
              <w:tab/>
            </w:r>
            <w:r w:rsidR="0022401B">
              <w:rPr>
                <w:rFonts w:ascii="Book Antiqua" w:hAnsi="Book Antiqua"/>
                <w:lang w:val="es-ES"/>
              </w:rPr>
              <w:t>3</w:t>
            </w:r>
            <w:r w:rsidR="0022401B" w:rsidRPr="0022401B">
              <w:rPr>
                <w:rFonts w:ascii="Book Antiqua" w:hAnsi="Book Antiqua"/>
                <w:vertAlign w:val="superscript"/>
                <w:lang w:val="es-ES"/>
              </w:rPr>
              <w:t>r</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27F56FD3"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A43827">
        <w:rPr>
          <w:rFonts w:ascii="Book Antiqua" w:hAnsi="Book Antiqua"/>
          <w:b/>
          <w:sz w:val="52"/>
          <w:lang w:val="es-ES"/>
        </w:rPr>
        <w:t>390</w:t>
      </w:r>
    </w:p>
    <w:p w14:paraId="1443CA0F" w14:textId="0DCFC593"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w:t>
      </w:r>
      <w:r w:rsidR="003546F5" w:rsidRPr="00C17181">
        <w:rPr>
          <w:rFonts w:ascii="Book Antiqua" w:hAnsi="Book Antiqua"/>
          <w:b/>
          <w:bCs/>
          <w:sz w:val="28"/>
          <w:szCs w:val="22"/>
          <w:lang w:val="es-ES"/>
        </w:rPr>
        <w:t>NEGATIVO</w:t>
      </w:r>
    </w:p>
    <w:p w14:paraId="07AB4BDD" w14:textId="21F9D777" w:rsidR="001B5218" w:rsidRPr="00C17181" w:rsidRDefault="00EF780D" w:rsidP="0027212A">
      <w:pPr>
        <w:spacing w:line="360" w:lineRule="auto"/>
        <w:jc w:val="center"/>
        <w:rPr>
          <w:rFonts w:ascii="Book Antiqua" w:hAnsi="Book Antiqua"/>
          <w:lang w:val="es-ES"/>
        </w:rPr>
      </w:pPr>
      <w:r>
        <w:rPr>
          <w:rFonts w:ascii="Book Antiqua" w:hAnsi="Book Antiqua"/>
          <w:lang w:val="es-ES"/>
        </w:rPr>
        <w:t xml:space="preserve">23 </w:t>
      </w:r>
      <w:r w:rsidR="006239E8" w:rsidRPr="00C17181">
        <w:rPr>
          <w:rFonts w:ascii="Book Antiqua" w:hAnsi="Book Antiqua"/>
          <w:lang w:val="es-ES"/>
        </w:rPr>
        <w:t xml:space="preserve">de </w:t>
      </w:r>
      <w:r w:rsidR="007528A6">
        <w:rPr>
          <w:rFonts w:ascii="Book Antiqua" w:hAnsi="Book Antiqua"/>
          <w:lang w:val="es-ES"/>
        </w:rPr>
        <w:t>enero</w:t>
      </w:r>
      <w:r w:rsidR="006239E8" w:rsidRPr="00C17181">
        <w:rPr>
          <w:rFonts w:ascii="Book Antiqua" w:hAnsi="Book Antiqua"/>
          <w:lang w:val="es-ES"/>
        </w:rPr>
        <w:t xml:space="preserve"> </w:t>
      </w:r>
      <w:r w:rsidR="00D13D23" w:rsidRPr="00C17181">
        <w:rPr>
          <w:rFonts w:ascii="Book Antiqua" w:hAnsi="Book Antiqua"/>
          <w:lang w:val="es-ES"/>
        </w:rPr>
        <w:t>de 202</w:t>
      </w:r>
      <w:r w:rsidR="007528A6">
        <w:rPr>
          <w:rFonts w:ascii="Book Antiqua" w:hAnsi="Book Antiqua"/>
          <w:lang w:val="es-ES"/>
        </w:rPr>
        <w:t>6</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3F882167"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w:t>
      </w:r>
      <w:r w:rsidR="00634977">
        <w:rPr>
          <w:rFonts w:ascii="Book Antiqua" w:hAnsi="Book Antiqua"/>
          <w:spacing w:val="-3"/>
          <w:lang w:val="es-ES"/>
        </w:rPr>
        <w:t xml:space="preserve"> Gobierno </w:t>
      </w:r>
      <w:r w:rsidR="00E17E3B" w:rsidRPr="00C17181">
        <w:rPr>
          <w:rFonts w:ascii="Book Antiqua" w:hAnsi="Book Antiqua"/>
          <w:spacing w:val="-3"/>
          <w:lang w:val="es-ES"/>
        </w:rPr>
        <w:t>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600F3E" w:rsidRPr="00C17181">
        <w:rPr>
          <w:rFonts w:ascii="Book Antiqua" w:hAnsi="Book Antiqua"/>
          <w:lang w:val="es-ES"/>
        </w:rPr>
        <w:t>Proyecto del Senado</w:t>
      </w:r>
      <w:r w:rsidR="00600F3E">
        <w:rPr>
          <w:rFonts w:ascii="Book Antiqua" w:hAnsi="Book Antiqua"/>
          <w:lang w:val="es-ES"/>
        </w:rPr>
        <w:t xml:space="preserve"> </w:t>
      </w:r>
      <w:r w:rsidR="00A43827">
        <w:rPr>
          <w:rFonts w:ascii="Book Antiqua" w:hAnsi="Book Antiqua"/>
          <w:lang w:val="es-ES"/>
        </w:rPr>
        <w:t>390,</w:t>
      </w:r>
      <w:r w:rsidR="00600F3E">
        <w:rPr>
          <w:rFonts w:ascii="Book Antiqua" w:hAnsi="Book Antiqua"/>
          <w:lang w:val="es-ES"/>
        </w:rPr>
        <w:t xml:space="preserve"> </w:t>
      </w:r>
      <w:r w:rsidR="00A43827">
        <w:rPr>
          <w:rFonts w:ascii="Book Antiqua" w:hAnsi="Book Antiqua"/>
          <w:lang w:val="es-ES"/>
        </w:rPr>
        <w:t xml:space="preserve">no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aprobación</w:t>
      </w:r>
      <w:r w:rsidR="00A43827">
        <w:rPr>
          <w:rFonts w:ascii="Book Antiqua" w:hAnsi="Book Antiqua"/>
          <w:spacing w:val="-3"/>
          <w:lang w:val="es-ES"/>
        </w:rPr>
        <w:t>.</w:t>
      </w:r>
      <w:r w:rsidR="002C402D" w:rsidRPr="00C17181">
        <w:rPr>
          <w:rFonts w:ascii="Book Antiqua" w:hAnsi="Book Antiqua"/>
          <w:spacing w:val="-3"/>
          <w:lang w:val="es-ES"/>
        </w:rPr>
        <w:t xml:space="preserve"> </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426BCD31"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w:t>
      </w:r>
      <w:r w:rsidR="00600F3E" w:rsidRPr="00C17181">
        <w:rPr>
          <w:rFonts w:ascii="Book Antiqua" w:hAnsi="Book Antiqua"/>
          <w:lang w:val="es-ES"/>
        </w:rPr>
        <w:t>Proyecto del Senado</w:t>
      </w:r>
      <w:r w:rsidR="00600F3E">
        <w:rPr>
          <w:rFonts w:ascii="Book Antiqua" w:hAnsi="Book Antiqua"/>
          <w:lang w:val="es-ES"/>
        </w:rPr>
        <w:t xml:space="preserve"> </w:t>
      </w:r>
      <w:r w:rsidR="002B798E">
        <w:rPr>
          <w:rFonts w:ascii="Book Antiqua" w:hAnsi="Book Antiqua"/>
          <w:lang w:val="es-ES"/>
        </w:rPr>
        <w:t>390</w:t>
      </w:r>
      <w:r w:rsidR="00600F3E" w:rsidRPr="00C17181">
        <w:rPr>
          <w:rFonts w:ascii="Book Antiqua" w:hAnsi="Book Antiqua"/>
          <w:lang w:val="es-ES"/>
        </w:rPr>
        <w:t xml:space="preserve"> </w:t>
      </w:r>
      <w:r w:rsidRPr="00C17181">
        <w:rPr>
          <w:rFonts w:ascii="Book Antiqua" w:hAnsi="Book Antiqua"/>
          <w:lang w:val="es-ES"/>
        </w:rPr>
        <w:t xml:space="preserve">(en adelante, P. del S. </w:t>
      </w:r>
      <w:r w:rsidR="002B798E">
        <w:rPr>
          <w:rFonts w:ascii="Book Antiqua" w:hAnsi="Book Antiqua"/>
          <w:lang w:val="es-ES"/>
        </w:rPr>
        <w:t>390)</w:t>
      </w:r>
      <w:r w:rsidR="001B5218" w:rsidRPr="00C17181">
        <w:rPr>
          <w:rFonts w:ascii="Book Antiqua" w:hAnsi="Book Antiqua"/>
          <w:lang w:val="es-ES"/>
        </w:rPr>
        <w:t xml:space="preserve"> tiene como propósito</w:t>
      </w:r>
      <w:r w:rsidR="00D97E51">
        <w:rPr>
          <w:rFonts w:ascii="Book Antiqua" w:hAnsi="Book Antiqua"/>
          <w:lang w:val="es-ES"/>
        </w:rPr>
        <w:t xml:space="preserve"> </w:t>
      </w:r>
      <w:bookmarkStart w:id="4" w:name="_Hlk194438498"/>
      <w:r w:rsidR="00D06030" w:rsidRPr="00D06030">
        <w:rPr>
          <w:rFonts w:ascii="Book Antiqua" w:hAnsi="Book Antiqua"/>
          <w:lang w:val="es-ES"/>
        </w:rPr>
        <w:t>enmendar el 6.16 de la Ley 57-2014, según enmendada, conocida como la “Ley de Transformación y ALIVIO Energético” a los fines de devolver a la Asamblea Legislativa y al Gobernador la facultad de aprobar el presupuesto del Negociado de Energía de Puerto Rico</w:t>
      </w:r>
      <w:r w:rsidR="00D06030">
        <w:rPr>
          <w:rFonts w:ascii="Book Antiqua" w:hAnsi="Book Antiqua"/>
          <w:lang w:val="es-ES"/>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75A306AC" w14:textId="1A1FB944" w:rsidR="00BD79AF" w:rsidRPr="00BD79AF" w:rsidRDefault="009F524F" w:rsidP="00BD79AF">
      <w:pPr>
        <w:tabs>
          <w:tab w:val="left" w:pos="-720"/>
        </w:tabs>
        <w:suppressAutoHyphens/>
        <w:ind w:firstLine="360"/>
        <w:jc w:val="both"/>
        <w:rPr>
          <w:rFonts w:ascii="Book Antiqua" w:hAnsi="Book Antiqua"/>
          <w:lang w:val="es-ES"/>
        </w:rPr>
      </w:pPr>
      <w:r w:rsidRPr="00C17181">
        <w:rPr>
          <w:rFonts w:ascii="Book Antiqua" w:hAnsi="Book Antiqua"/>
          <w:lang w:val="es-ES"/>
        </w:rPr>
        <w:tab/>
      </w:r>
      <w:r w:rsidR="00BD79AF" w:rsidRPr="00BD79AF">
        <w:rPr>
          <w:rFonts w:ascii="Book Antiqua" w:hAnsi="Book Antiqua"/>
          <w:lang w:val="es-ES"/>
        </w:rPr>
        <w:t>El proceso presupuestario del Negociado de Energía, según actualmente dispuesto en el Artículo 6.16 de la Ley 57-2014, fue concebido como un esquema de autofinanciamiento que garantiza su operación independiente mediante la imposición y cobro de cargos a las entidades bajo su jurisdicción. Este modelo persigue asegurar estabilidad operacional, previsibilidad y continuidad regulatoria, al desligar el funcionamiento del Negociado del vaivén político y del proceso ordinario de asignaciones presupuestarias del Gobierno Central. A tales fines, la ley establece un sistema detallado y autosuficiente de cargos regulatorios, pagos escalonados, fondos restrictos y obligaciones de cumplimiento que permiten sufragar, de manera directa, los gastos administrativos y operacionales del ente regulador.</w:t>
      </w:r>
    </w:p>
    <w:p w14:paraId="0A43DF7C" w14:textId="0185D4AE" w:rsidR="00BD79AF" w:rsidRPr="00BD79AF" w:rsidRDefault="00BD79AF" w:rsidP="00BD79AF">
      <w:pPr>
        <w:tabs>
          <w:tab w:val="left" w:pos="-720"/>
        </w:tabs>
        <w:suppressAutoHyphens/>
        <w:ind w:firstLine="360"/>
        <w:jc w:val="both"/>
        <w:rPr>
          <w:rFonts w:ascii="Book Antiqua" w:hAnsi="Book Antiqua"/>
          <w:lang w:val="es-ES"/>
        </w:rPr>
      </w:pPr>
      <w:r w:rsidRPr="00BD79AF">
        <w:rPr>
          <w:rFonts w:ascii="Book Antiqua" w:hAnsi="Book Antiqua"/>
          <w:lang w:val="es-ES"/>
        </w:rPr>
        <w:lastRenderedPageBreak/>
        <w:t>Dentro de este esquema, el Negociado fija cargos proporcionales basados en los ingresos brutos de las compañías reguladas, impone contribuciones específicas a la Autoridad de Energía Eléctrica, establece límites para cargos adicionales vinculados a procesos de reestructuración y define un presupuesto anual financiado exclusivamente mediante cargos regulatorios. Los fondos recaudados se depositan en cuentas especiales de uso restrictivo y están legalmente obligados a sufragar únicamente los gastos del Negociado. A su vez, la ley impone obligaciones de información, términos de pago definidos, penalidades por incumplimiento y deberes de transparencia pública, configurando así un sistema de control financiero interno que no depende de asignaciones del Fondo General ni de aprobaciones externas.</w:t>
      </w:r>
    </w:p>
    <w:p w14:paraId="68E15A35" w14:textId="063CD0D6" w:rsidR="00BD79AF" w:rsidRPr="00BD79AF" w:rsidRDefault="00937388" w:rsidP="00BD79AF">
      <w:pPr>
        <w:tabs>
          <w:tab w:val="left" w:pos="-720"/>
        </w:tabs>
        <w:suppressAutoHyphens/>
        <w:ind w:firstLine="360"/>
        <w:jc w:val="both"/>
        <w:rPr>
          <w:rFonts w:ascii="Book Antiqua" w:hAnsi="Book Antiqua"/>
          <w:lang w:val="es-ES"/>
        </w:rPr>
      </w:pPr>
      <w:r>
        <w:rPr>
          <w:rFonts w:ascii="Book Antiqua" w:hAnsi="Book Antiqua"/>
          <w:lang w:val="es-ES"/>
        </w:rPr>
        <w:tab/>
      </w:r>
      <w:r w:rsidR="00BD79AF" w:rsidRPr="00BD79AF">
        <w:rPr>
          <w:rFonts w:ascii="Book Antiqua" w:hAnsi="Book Antiqua"/>
          <w:lang w:val="es-ES"/>
        </w:rPr>
        <w:t>Este diseño culmina con una disposición expresa que garantiza la independencia presupuestaria del Negociado frente al Presupuesto General del Gobierno de Puerto Rico y frente a la aprobación del Ejecutivo y de la Asamblea Legislativa, precisamente para salvaguardar su autonomía regulatoria, evitar interferencias políticas indebidas y preservar la objetividad técnica en la fiscalización del sistema eléctrico. No obstante, dicha independencia no excluye la rendición de cuentas, ya que el Negociado permanece obligado a responder requerimientos de información y a publicar su presupuesto y gastos para escrutinio público.</w:t>
      </w:r>
    </w:p>
    <w:p w14:paraId="32AC063F" w14:textId="5E2F6C3A" w:rsidR="00A0511A" w:rsidRDefault="00285638" w:rsidP="00BD79AF">
      <w:pPr>
        <w:tabs>
          <w:tab w:val="left" w:pos="-720"/>
        </w:tabs>
        <w:suppressAutoHyphens/>
        <w:ind w:firstLine="360"/>
        <w:jc w:val="both"/>
        <w:rPr>
          <w:rFonts w:ascii="Book Antiqua" w:hAnsi="Book Antiqua"/>
          <w:lang w:val="es-ES"/>
        </w:rPr>
      </w:pPr>
      <w:r>
        <w:rPr>
          <w:rFonts w:ascii="Book Antiqua" w:hAnsi="Book Antiqua"/>
          <w:lang w:val="es-ES"/>
        </w:rPr>
        <w:tab/>
      </w:r>
      <w:r w:rsidR="00BD79AF" w:rsidRPr="00BD79AF">
        <w:rPr>
          <w:rFonts w:ascii="Book Antiqua" w:hAnsi="Book Antiqua"/>
          <w:lang w:val="es-ES"/>
        </w:rPr>
        <w:t>El Proyecto del Senado 390 pretende alterar sustancialmente este balance institucional al enmendar el Artículo 6.16 con el propósito de devolver al Ejecutivo y a la Asamblea Legislativa la facultad de evaluar y aprobar anualmente el presupuesto del Negociado de Energía. Aunque el proyecto mantiene formalmente la independencia del Negociado respecto al Presupuesto General y no modifica las fuentes de financiamiento ni los cargos regulatorios existentes, introduce un cambio estructural que reabre el proceso presupuestario a la intervención directa de las ramas políticas.</w:t>
      </w:r>
    </w:p>
    <w:p w14:paraId="7F093D7F" w14:textId="123A47FE"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52C2DF19" w14:textId="38B750B5" w:rsidR="00634977" w:rsidRPr="00C17181" w:rsidRDefault="009F524F" w:rsidP="00C708B3">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0C5B91" w:rsidRPr="00C17181">
        <w:rPr>
          <w:rFonts w:ascii="Book Antiqua" w:hAnsi="Book Antiqua"/>
          <w:spacing w:val="-3"/>
          <w:lang w:val="es-ES"/>
        </w:rPr>
        <w:t>del Senado de Puerto Rico</w:t>
      </w:r>
      <w:r w:rsidR="009154BD" w:rsidRPr="00C17181">
        <w:rPr>
          <w:rFonts w:ascii="Book Antiqua" w:hAnsi="Book Antiqua"/>
          <w:spacing w:val="-3"/>
          <w:lang w:val="es-ES"/>
        </w:rPr>
        <w:t xml:space="preserve">, como parte del estudio y evaluación del </w:t>
      </w:r>
      <w:r w:rsidR="00091427" w:rsidRPr="00C17181">
        <w:rPr>
          <w:rFonts w:ascii="Book Antiqua" w:hAnsi="Book Antiqua"/>
          <w:lang w:val="es-ES"/>
        </w:rPr>
        <w:t xml:space="preserve">P. del S. </w:t>
      </w:r>
      <w:r w:rsidR="00B85B00">
        <w:rPr>
          <w:rFonts w:ascii="Book Antiqua" w:hAnsi="Book Antiqua"/>
          <w:lang w:val="es-ES"/>
        </w:rPr>
        <w:t>390,</w:t>
      </w:r>
      <w:r w:rsidR="00091427">
        <w:rPr>
          <w:rFonts w:ascii="Book Antiqua" w:hAnsi="Book Antiqua"/>
          <w:lang w:val="es-ES"/>
        </w:rPr>
        <w:t xml:space="preserve"> solicitó</w:t>
      </w:r>
      <w:r w:rsidR="006D5838" w:rsidRPr="00C17181">
        <w:rPr>
          <w:rFonts w:ascii="Book Antiqua" w:hAnsi="Book Antiqua"/>
          <w:lang w:val="es-ES"/>
        </w:rPr>
        <w:t xml:space="preserve"> memoriales explicativos</w:t>
      </w:r>
      <w:r w:rsidR="009154BD" w:rsidRPr="00C17181">
        <w:rPr>
          <w:rFonts w:ascii="Book Antiqua" w:hAnsi="Book Antiqua"/>
          <w:lang w:val="es-ES"/>
        </w:rPr>
        <w:t xml:space="preserve"> a las siguientes agencias y entidades</w:t>
      </w:r>
      <w:r w:rsidR="009313EE" w:rsidRPr="00C17181">
        <w:rPr>
          <w:rFonts w:ascii="Book Antiqua" w:hAnsi="Book Antiqua"/>
          <w:lang w:val="es-ES"/>
        </w:rPr>
        <w:t>:</w:t>
      </w:r>
      <w:r w:rsidR="00393CA6" w:rsidRPr="00C17181">
        <w:rPr>
          <w:rFonts w:ascii="Book Antiqua" w:hAnsi="Book Antiqua"/>
          <w:lang w:val="es-ES"/>
        </w:rPr>
        <w:t xml:space="preserve"> </w:t>
      </w:r>
      <w:r w:rsidR="00C708B3">
        <w:rPr>
          <w:rFonts w:ascii="Book Antiqua" w:hAnsi="Book Antiqua"/>
          <w:lang w:val="es-ES"/>
        </w:rPr>
        <w:t>Autoridad Energía Eléctrica, Negociado de Energía y oficina del Zar de Energía.</w:t>
      </w:r>
      <w:r w:rsidR="006D5838" w:rsidRPr="00C17181">
        <w:rPr>
          <w:rFonts w:ascii="Book Antiqua" w:hAnsi="Book Antiqua"/>
          <w:lang w:val="es-ES"/>
        </w:rPr>
        <w:t xml:space="preserve"> </w:t>
      </w:r>
    </w:p>
    <w:p w14:paraId="7D81C205" w14:textId="79A551E8" w:rsidR="006D5838" w:rsidRPr="00C17181"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A continuación, se expone </w:t>
      </w:r>
      <w:r w:rsidR="004F6E72" w:rsidRPr="00C17181">
        <w:rPr>
          <w:rFonts w:ascii="Book Antiqua" w:hAnsi="Book Antiqua"/>
          <w:lang w:val="es-ES"/>
        </w:rPr>
        <w:t xml:space="preserve">lo expresado por </w:t>
      </w:r>
      <w:r w:rsidR="00634977">
        <w:rPr>
          <w:rFonts w:ascii="Book Antiqua" w:hAnsi="Book Antiqua"/>
          <w:lang w:val="es-ES"/>
        </w:rPr>
        <w:t>las</w:t>
      </w:r>
      <w:r w:rsidR="00334935" w:rsidRPr="00C17181">
        <w:rPr>
          <w:rFonts w:ascii="Book Antiqua" w:hAnsi="Book Antiqua"/>
          <w:lang w:val="es-ES"/>
        </w:rPr>
        <w:t xml:space="preserve"> </w:t>
      </w:r>
      <w:r w:rsidR="00186AB6" w:rsidRPr="00C17181">
        <w:rPr>
          <w:rFonts w:ascii="Book Antiqua" w:hAnsi="Book Antiqua"/>
          <w:lang w:val="es-ES"/>
        </w:rPr>
        <w:t xml:space="preserve">entidades </w:t>
      </w:r>
      <w:r w:rsidR="00634977">
        <w:rPr>
          <w:rFonts w:ascii="Book Antiqua" w:hAnsi="Book Antiqua"/>
          <w:lang w:val="es-ES"/>
        </w:rPr>
        <w:t>que comparecieron por escrito</w:t>
      </w:r>
      <w:r w:rsidR="004F6E72" w:rsidRPr="00C17181">
        <w:rPr>
          <w:rFonts w:ascii="Book Antiqua" w:hAnsi="Book Antiqua"/>
          <w:lang w:val="es-ES"/>
        </w:rPr>
        <w:t>.</w:t>
      </w:r>
    </w:p>
    <w:p w14:paraId="645A7A37" w14:textId="77777777" w:rsidR="00A52CD9" w:rsidRPr="00C17181" w:rsidRDefault="00A52CD9" w:rsidP="00592B05">
      <w:pPr>
        <w:tabs>
          <w:tab w:val="left" w:pos="-720"/>
        </w:tabs>
        <w:suppressAutoHyphens/>
        <w:spacing w:line="276" w:lineRule="auto"/>
        <w:jc w:val="both"/>
        <w:rPr>
          <w:rFonts w:ascii="Book Antiqua" w:hAnsi="Book Antiqua"/>
          <w:b/>
          <w:bCs/>
          <w:u w:val="single"/>
          <w:lang w:val="es-ES"/>
        </w:rPr>
      </w:pPr>
    </w:p>
    <w:p w14:paraId="506697A3" w14:textId="221446D6" w:rsidR="00CA1098" w:rsidRPr="00C17181" w:rsidRDefault="002A1475" w:rsidP="00867243">
      <w:pPr>
        <w:tabs>
          <w:tab w:val="left" w:pos="-720"/>
        </w:tabs>
        <w:suppressAutoHyphens/>
        <w:jc w:val="center"/>
        <w:rPr>
          <w:rFonts w:ascii="Book Antiqua" w:hAnsi="Book Antiqua"/>
          <w:b/>
          <w:bCs/>
          <w:lang w:val="es-ES"/>
        </w:rPr>
      </w:pPr>
      <w:r>
        <w:rPr>
          <w:rFonts w:ascii="Book Antiqua" w:hAnsi="Book Antiqua"/>
          <w:b/>
          <w:bCs/>
          <w:lang w:val="es-ES"/>
        </w:rPr>
        <w:t>AUTORIDAD DE ENERGÍA ELÉCTRICA</w:t>
      </w:r>
    </w:p>
    <w:p w14:paraId="471B5547" w14:textId="77777777" w:rsidR="00867243" w:rsidRPr="00C17181" w:rsidRDefault="00867243" w:rsidP="00011E09">
      <w:pPr>
        <w:tabs>
          <w:tab w:val="left" w:pos="-720"/>
        </w:tabs>
        <w:suppressAutoHyphens/>
        <w:jc w:val="both"/>
        <w:rPr>
          <w:rFonts w:ascii="Book Antiqua" w:hAnsi="Book Antiqua"/>
          <w:lang w:val="es-ES"/>
        </w:rPr>
      </w:pPr>
    </w:p>
    <w:p w14:paraId="3E805DE7" w14:textId="77DF96EE" w:rsidR="000F6A01" w:rsidRDefault="00867243" w:rsidP="00011E09">
      <w:pPr>
        <w:tabs>
          <w:tab w:val="left" w:pos="-720"/>
        </w:tabs>
        <w:suppressAutoHyphens/>
        <w:jc w:val="both"/>
        <w:rPr>
          <w:rFonts w:ascii="Book Antiqua" w:hAnsi="Book Antiqua"/>
          <w:lang w:val="es-ES"/>
        </w:rPr>
      </w:pPr>
      <w:r w:rsidRPr="00C17181">
        <w:rPr>
          <w:rFonts w:ascii="Book Antiqua" w:hAnsi="Book Antiqua"/>
          <w:lang w:val="es-ES"/>
        </w:rPr>
        <w:tab/>
      </w:r>
      <w:r w:rsidR="002A1475">
        <w:rPr>
          <w:rFonts w:ascii="Book Antiqua" w:hAnsi="Book Antiqua"/>
          <w:lang w:val="es-ES"/>
        </w:rPr>
        <w:t xml:space="preserve">La </w:t>
      </w:r>
      <w:r w:rsidR="000F6A01">
        <w:rPr>
          <w:rFonts w:ascii="Book Antiqua" w:hAnsi="Book Antiqua"/>
          <w:lang w:val="es-ES"/>
        </w:rPr>
        <w:t>Autoridad de Energía Eléctrica (</w:t>
      </w:r>
      <w:r w:rsidR="002A1475">
        <w:rPr>
          <w:rFonts w:ascii="Book Antiqua" w:hAnsi="Book Antiqua"/>
          <w:lang w:val="es-ES"/>
        </w:rPr>
        <w:t>AEE</w:t>
      </w:r>
      <w:r w:rsidR="000F6A01">
        <w:rPr>
          <w:rFonts w:ascii="Book Antiqua" w:hAnsi="Book Antiqua"/>
          <w:lang w:val="es-ES"/>
        </w:rPr>
        <w:t>)</w:t>
      </w:r>
      <w:r w:rsidR="002A1475">
        <w:rPr>
          <w:rFonts w:ascii="Book Antiqua" w:hAnsi="Book Antiqua"/>
          <w:lang w:val="es-ES"/>
        </w:rPr>
        <w:t xml:space="preserve"> </w:t>
      </w:r>
      <w:r w:rsidR="00813A1A">
        <w:rPr>
          <w:rFonts w:ascii="Book Antiqua" w:hAnsi="Book Antiqua"/>
          <w:lang w:val="es-ES"/>
        </w:rPr>
        <w:t xml:space="preserve">favorece la aprobación de la medida. Exponen que la medida contribuirá a que existe mayor transparencia en el uso del presupuesto del Negociado de Energía y a la maximización de los recursos operacionales. </w:t>
      </w:r>
    </w:p>
    <w:p w14:paraId="3E2B8AB0" w14:textId="77777777" w:rsidR="000F6A01" w:rsidRDefault="000F6A01" w:rsidP="00011E09">
      <w:pPr>
        <w:tabs>
          <w:tab w:val="left" w:pos="-720"/>
        </w:tabs>
        <w:suppressAutoHyphens/>
        <w:jc w:val="both"/>
        <w:rPr>
          <w:rFonts w:ascii="Book Antiqua" w:hAnsi="Book Antiqua"/>
          <w:lang w:val="es-ES"/>
        </w:rPr>
      </w:pPr>
    </w:p>
    <w:p w14:paraId="5D1F58DF" w14:textId="77777777" w:rsidR="000F6A01" w:rsidRPr="000F6A01" w:rsidRDefault="000F6A01" w:rsidP="000F6A01">
      <w:pPr>
        <w:tabs>
          <w:tab w:val="left" w:pos="-720"/>
        </w:tabs>
        <w:suppressAutoHyphens/>
        <w:jc w:val="center"/>
        <w:rPr>
          <w:rFonts w:ascii="Book Antiqua" w:hAnsi="Book Antiqua"/>
          <w:b/>
          <w:bCs/>
          <w:lang w:val="es-ES"/>
        </w:rPr>
      </w:pPr>
      <w:r w:rsidRPr="000F6A01">
        <w:rPr>
          <w:rFonts w:ascii="Book Antiqua" w:hAnsi="Book Antiqua"/>
          <w:b/>
          <w:bCs/>
          <w:lang w:val="es-ES"/>
        </w:rPr>
        <w:lastRenderedPageBreak/>
        <w:t>NEGOCIADO DE ENERGÍA</w:t>
      </w:r>
    </w:p>
    <w:p w14:paraId="4648BF18" w14:textId="77777777" w:rsidR="000F6A01" w:rsidRDefault="000F6A01" w:rsidP="00011E09">
      <w:pPr>
        <w:tabs>
          <w:tab w:val="left" w:pos="-720"/>
        </w:tabs>
        <w:suppressAutoHyphens/>
        <w:jc w:val="both"/>
        <w:rPr>
          <w:rFonts w:ascii="Book Antiqua" w:hAnsi="Book Antiqua"/>
          <w:lang w:val="es-ES"/>
        </w:rPr>
      </w:pPr>
    </w:p>
    <w:p w14:paraId="59FCBAD8" w14:textId="36CB8AC5" w:rsidR="00867243" w:rsidRDefault="009351B6" w:rsidP="00F30C4D">
      <w:pPr>
        <w:tabs>
          <w:tab w:val="left" w:pos="-720"/>
        </w:tabs>
        <w:suppressAutoHyphens/>
        <w:jc w:val="both"/>
        <w:rPr>
          <w:rFonts w:ascii="Book Antiqua" w:hAnsi="Book Antiqua"/>
          <w:lang w:val="es-ES"/>
        </w:rPr>
      </w:pPr>
      <w:r w:rsidRPr="00C17181">
        <w:rPr>
          <w:rFonts w:ascii="Book Antiqua" w:hAnsi="Book Antiqua"/>
          <w:lang w:val="es-ES"/>
        </w:rPr>
        <w:t xml:space="preserve"> </w:t>
      </w:r>
      <w:r w:rsidR="00867243" w:rsidRPr="00C17181">
        <w:rPr>
          <w:rFonts w:ascii="Book Antiqua" w:hAnsi="Book Antiqua"/>
          <w:lang w:val="es-ES"/>
        </w:rPr>
        <w:t xml:space="preserve"> </w:t>
      </w:r>
      <w:r w:rsidR="000F6A01">
        <w:rPr>
          <w:rFonts w:ascii="Book Antiqua" w:hAnsi="Book Antiqua"/>
          <w:lang w:val="es-ES"/>
        </w:rPr>
        <w:t>El Negociado de Energía de Puerto Rico (NEPR) no favorece la aprobación de la medida.</w:t>
      </w:r>
      <w:r w:rsidR="00DC2BFD">
        <w:rPr>
          <w:rFonts w:ascii="Book Antiqua" w:hAnsi="Book Antiqua"/>
          <w:lang w:val="es-ES"/>
        </w:rPr>
        <w:t xml:space="preserve"> El NEPR nos recuerda que </w:t>
      </w:r>
      <w:r w:rsidR="00DC2BFD" w:rsidRPr="00DC2BFD">
        <w:rPr>
          <w:rFonts w:ascii="Book Antiqua" w:hAnsi="Book Antiqua"/>
          <w:lang w:val="es-ES"/>
        </w:rPr>
        <w:t>es el ente independiente y especializado,</w:t>
      </w:r>
      <w:r w:rsidR="00DC2BFD">
        <w:rPr>
          <w:rFonts w:ascii="Book Antiqua" w:hAnsi="Book Antiqua"/>
          <w:lang w:val="es-ES"/>
        </w:rPr>
        <w:t xml:space="preserve"> </w:t>
      </w:r>
      <w:r w:rsidR="00DC2BFD" w:rsidRPr="00DC2BFD">
        <w:rPr>
          <w:rFonts w:ascii="Book Antiqua" w:hAnsi="Book Antiqua"/>
          <w:lang w:val="es-ES"/>
        </w:rPr>
        <w:t xml:space="preserve">creado bajo </w:t>
      </w:r>
      <w:r w:rsidR="00DC2BFD">
        <w:rPr>
          <w:rFonts w:ascii="Book Antiqua" w:hAnsi="Book Antiqua"/>
          <w:lang w:val="es-ES"/>
        </w:rPr>
        <w:t>la</w:t>
      </w:r>
      <w:r w:rsidR="00DC2BFD" w:rsidRPr="00DC2BFD">
        <w:rPr>
          <w:rFonts w:ascii="Book Antiqua" w:hAnsi="Book Antiqua"/>
          <w:lang w:val="es-ES"/>
        </w:rPr>
        <w:t xml:space="preserve"> Ley 57-2014, para servir como componente </w:t>
      </w:r>
      <w:r w:rsidR="00DC2BFD">
        <w:rPr>
          <w:rFonts w:ascii="Book Antiqua" w:hAnsi="Book Antiqua"/>
          <w:lang w:val="es-ES"/>
        </w:rPr>
        <w:t>clave</w:t>
      </w:r>
      <w:r w:rsidR="00DC2BFD" w:rsidRPr="00DC2BFD">
        <w:rPr>
          <w:rFonts w:ascii="Book Antiqua" w:hAnsi="Book Antiqua"/>
          <w:lang w:val="es-ES"/>
        </w:rPr>
        <w:t xml:space="preserve"> para </w:t>
      </w:r>
      <w:r w:rsidR="00DC2BFD">
        <w:rPr>
          <w:rFonts w:ascii="Book Antiqua" w:hAnsi="Book Antiqua"/>
          <w:lang w:val="es-ES"/>
        </w:rPr>
        <w:t>la</w:t>
      </w:r>
      <w:r w:rsidR="00DC2BFD" w:rsidRPr="00DC2BFD">
        <w:rPr>
          <w:rFonts w:ascii="Book Antiqua" w:hAnsi="Book Antiqua"/>
          <w:lang w:val="es-ES"/>
        </w:rPr>
        <w:t xml:space="preserve"> cabal y</w:t>
      </w:r>
      <w:r w:rsidR="00DC2BFD">
        <w:rPr>
          <w:rFonts w:ascii="Book Antiqua" w:hAnsi="Book Antiqua"/>
          <w:lang w:val="es-ES"/>
        </w:rPr>
        <w:t xml:space="preserve"> </w:t>
      </w:r>
      <w:r w:rsidR="00DC2BFD" w:rsidRPr="00DC2BFD">
        <w:rPr>
          <w:rFonts w:ascii="Book Antiqua" w:hAnsi="Book Antiqua"/>
          <w:lang w:val="es-ES"/>
        </w:rPr>
        <w:t xml:space="preserve">transparente ejecución de </w:t>
      </w:r>
      <w:r w:rsidR="00DC2BFD">
        <w:rPr>
          <w:rFonts w:ascii="Book Antiqua" w:hAnsi="Book Antiqua"/>
          <w:lang w:val="es-ES"/>
        </w:rPr>
        <w:t>la</w:t>
      </w:r>
      <w:r w:rsidR="00DC2BFD" w:rsidRPr="00DC2BFD">
        <w:rPr>
          <w:rFonts w:ascii="Book Antiqua" w:hAnsi="Book Antiqua"/>
          <w:lang w:val="es-ES"/>
        </w:rPr>
        <w:t xml:space="preserve"> Reforma Energética. En específico, el NEPR tiene </w:t>
      </w:r>
      <w:r w:rsidR="00DC2BFD">
        <w:rPr>
          <w:rFonts w:ascii="Book Antiqua" w:hAnsi="Book Antiqua"/>
          <w:lang w:val="es-ES"/>
        </w:rPr>
        <w:t xml:space="preserve">la </w:t>
      </w:r>
      <w:r w:rsidR="00DC2BFD" w:rsidRPr="00DC2BFD">
        <w:rPr>
          <w:rFonts w:ascii="Book Antiqua" w:hAnsi="Book Antiqua"/>
          <w:lang w:val="es-ES"/>
        </w:rPr>
        <w:t xml:space="preserve">responsabilidad de reglamentar, supervisar y hacer cumplir </w:t>
      </w:r>
      <w:r w:rsidR="00DC2BFD">
        <w:rPr>
          <w:rFonts w:ascii="Book Antiqua" w:hAnsi="Book Antiqua"/>
          <w:lang w:val="es-ES"/>
        </w:rPr>
        <w:t>la</w:t>
      </w:r>
      <w:r w:rsidR="00DC2BFD" w:rsidRPr="00DC2BFD">
        <w:rPr>
          <w:rFonts w:ascii="Book Antiqua" w:hAnsi="Book Antiqua"/>
          <w:lang w:val="es-ES"/>
        </w:rPr>
        <w:t xml:space="preserve"> política</w:t>
      </w:r>
      <w:r w:rsidR="00DC2BFD">
        <w:rPr>
          <w:rFonts w:ascii="Book Antiqua" w:hAnsi="Book Antiqua"/>
          <w:lang w:val="es-ES"/>
        </w:rPr>
        <w:t xml:space="preserve"> </w:t>
      </w:r>
      <w:r w:rsidR="00DC2BFD" w:rsidRPr="00DC2BFD">
        <w:rPr>
          <w:rFonts w:ascii="Book Antiqua" w:hAnsi="Book Antiqua"/>
          <w:lang w:val="es-ES"/>
        </w:rPr>
        <w:t>energética del Gobierno de Puerto Rico.</w:t>
      </w:r>
      <w:r w:rsidR="00F30C4D">
        <w:rPr>
          <w:rFonts w:ascii="Book Antiqua" w:hAnsi="Book Antiqua"/>
          <w:lang w:val="es-ES"/>
        </w:rPr>
        <w:t xml:space="preserve"> Como</w:t>
      </w:r>
      <w:r w:rsidR="00F30C4D" w:rsidRPr="00F30C4D">
        <w:rPr>
          <w:rFonts w:ascii="Book Antiqua" w:hAnsi="Book Antiqua"/>
          <w:lang w:val="es-ES"/>
        </w:rPr>
        <w:t xml:space="preserve"> ente independiente, tiene como misión lograr un sistema eléctrico</w:t>
      </w:r>
      <w:r w:rsidR="00F30C4D">
        <w:rPr>
          <w:rFonts w:ascii="Book Antiqua" w:hAnsi="Book Antiqua"/>
          <w:lang w:val="es-ES"/>
        </w:rPr>
        <w:t xml:space="preserve"> </w:t>
      </w:r>
      <w:r w:rsidR="00F30C4D" w:rsidRPr="00F30C4D">
        <w:rPr>
          <w:rFonts w:ascii="Book Antiqua" w:hAnsi="Book Antiqua"/>
          <w:lang w:val="es-ES"/>
        </w:rPr>
        <w:t>confiable, eficiente y transparente, y que provea servicios eléctricos a precios</w:t>
      </w:r>
      <w:r w:rsidR="00F30C4D">
        <w:rPr>
          <w:rFonts w:ascii="Book Antiqua" w:hAnsi="Book Antiqua"/>
          <w:lang w:val="es-ES"/>
        </w:rPr>
        <w:t xml:space="preserve"> </w:t>
      </w:r>
      <w:r w:rsidR="00F30C4D" w:rsidRPr="00F30C4D">
        <w:rPr>
          <w:rFonts w:ascii="Book Antiqua" w:hAnsi="Book Antiqua"/>
          <w:lang w:val="es-ES"/>
        </w:rPr>
        <w:t xml:space="preserve">razonables, salvaguardando </w:t>
      </w:r>
      <w:r w:rsidR="00F30C4D">
        <w:rPr>
          <w:rFonts w:ascii="Book Antiqua" w:hAnsi="Book Antiqua"/>
          <w:lang w:val="es-ES"/>
        </w:rPr>
        <w:t>la</w:t>
      </w:r>
      <w:r w:rsidR="00F30C4D" w:rsidRPr="00F30C4D">
        <w:rPr>
          <w:rFonts w:ascii="Book Antiqua" w:hAnsi="Book Antiqua"/>
          <w:lang w:val="es-ES"/>
        </w:rPr>
        <w:t xml:space="preserve"> objetividad y </w:t>
      </w:r>
      <w:r w:rsidR="00F30C4D">
        <w:rPr>
          <w:rFonts w:ascii="Book Antiqua" w:hAnsi="Book Antiqua"/>
          <w:lang w:val="es-ES"/>
        </w:rPr>
        <w:t>la</w:t>
      </w:r>
      <w:r w:rsidR="00F30C4D" w:rsidRPr="00F30C4D">
        <w:rPr>
          <w:rFonts w:ascii="Book Antiqua" w:hAnsi="Book Antiqua"/>
          <w:lang w:val="es-ES"/>
        </w:rPr>
        <w:t xml:space="preserve"> transparencia en todas las</w:t>
      </w:r>
      <w:r w:rsidR="00F30C4D">
        <w:rPr>
          <w:rFonts w:ascii="Book Antiqua" w:hAnsi="Book Antiqua"/>
          <w:lang w:val="es-ES"/>
        </w:rPr>
        <w:t xml:space="preserve"> </w:t>
      </w:r>
      <w:r w:rsidR="00F30C4D" w:rsidRPr="00F30C4D">
        <w:rPr>
          <w:rFonts w:ascii="Book Antiqua" w:hAnsi="Book Antiqua"/>
          <w:lang w:val="es-ES"/>
        </w:rPr>
        <w:t>funciones delegadas mediante legislación.</w:t>
      </w:r>
    </w:p>
    <w:p w14:paraId="1B652508" w14:textId="77777777" w:rsidR="00921967" w:rsidRDefault="00921967" w:rsidP="00921967">
      <w:pPr>
        <w:tabs>
          <w:tab w:val="left" w:pos="-720"/>
        </w:tabs>
        <w:suppressAutoHyphens/>
        <w:jc w:val="both"/>
        <w:rPr>
          <w:rFonts w:ascii="Book Antiqua" w:hAnsi="Book Antiqua"/>
          <w:lang w:val="es-ES"/>
        </w:rPr>
      </w:pPr>
      <w:r>
        <w:rPr>
          <w:rFonts w:ascii="Book Antiqua" w:hAnsi="Book Antiqua"/>
          <w:lang w:val="es-ES"/>
        </w:rPr>
        <w:tab/>
      </w:r>
      <w:r w:rsidRPr="00921967">
        <w:rPr>
          <w:rFonts w:ascii="Book Antiqua" w:hAnsi="Book Antiqua"/>
          <w:lang w:val="es-ES"/>
        </w:rPr>
        <w:t xml:space="preserve">A esos fines, y </w:t>
      </w:r>
      <w:r>
        <w:rPr>
          <w:rFonts w:ascii="Book Antiqua" w:hAnsi="Book Antiqua"/>
          <w:lang w:val="es-ES"/>
        </w:rPr>
        <w:t>para</w:t>
      </w:r>
      <w:r w:rsidRPr="00921967">
        <w:rPr>
          <w:rFonts w:ascii="Book Antiqua" w:hAnsi="Book Antiqua"/>
          <w:lang w:val="es-ES"/>
        </w:rPr>
        <w:t xml:space="preserve"> garantizar </w:t>
      </w:r>
      <w:r>
        <w:rPr>
          <w:rFonts w:ascii="Book Antiqua" w:hAnsi="Book Antiqua"/>
          <w:lang w:val="es-ES"/>
        </w:rPr>
        <w:t>la</w:t>
      </w:r>
      <w:r w:rsidRPr="00921967">
        <w:rPr>
          <w:rFonts w:ascii="Book Antiqua" w:hAnsi="Book Antiqua"/>
          <w:lang w:val="es-ES"/>
        </w:rPr>
        <w:t xml:space="preserve"> independencia de criterio, </w:t>
      </w:r>
      <w:r>
        <w:rPr>
          <w:rFonts w:ascii="Book Antiqua" w:hAnsi="Book Antiqua"/>
          <w:lang w:val="es-ES"/>
        </w:rPr>
        <w:t>la</w:t>
      </w:r>
      <w:r w:rsidRPr="00921967">
        <w:rPr>
          <w:rFonts w:ascii="Book Antiqua" w:hAnsi="Book Antiqua"/>
          <w:lang w:val="es-ES"/>
        </w:rPr>
        <w:t xml:space="preserve"> Asamblea</w:t>
      </w:r>
      <w:r>
        <w:rPr>
          <w:rFonts w:ascii="Book Antiqua" w:hAnsi="Book Antiqua"/>
          <w:lang w:val="es-ES"/>
        </w:rPr>
        <w:t xml:space="preserve"> </w:t>
      </w:r>
      <w:r w:rsidRPr="00921967">
        <w:rPr>
          <w:rFonts w:ascii="Book Antiqua" w:hAnsi="Book Antiqua"/>
          <w:lang w:val="es-ES"/>
        </w:rPr>
        <w:t>Legislativa proveyó al NEPR independencia fiscal total. De hecho, los fondos del</w:t>
      </w:r>
      <w:r>
        <w:rPr>
          <w:rFonts w:ascii="Book Antiqua" w:hAnsi="Book Antiqua"/>
          <w:lang w:val="es-ES"/>
        </w:rPr>
        <w:t xml:space="preserve"> </w:t>
      </w:r>
      <w:r w:rsidRPr="00921967">
        <w:rPr>
          <w:rFonts w:ascii="Book Antiqua" w:hAnsi="Book Antiqua"/>
          <w:lang w:val="es-ES"/>
        </w:rPr>
        <w:t>NEPR se depositan en una cuenta especial y se utilizan exclusivamente para las</w:t>
      </w:r>
      <w:r>
        <w:rPr>
          <w:rFonts w:ascii="Book Antiqua" w:hAnsi="Book Antiqua"/>
          <w:lang w:val="es-ES"/>
        </w:rPr>
        <w:t xml:space="preserve"> </w:t>
      </w:r>
      <w:r w:rsidRPr="00921967">
        <w:rPr>
          <w:rFonts w:ascii="Book Antiqua" w:hAnsi="Book Antiqua"/>
          <w:lang w:val="es-ES"/>
        </w:rPr>
        <w:t>operaciones del Negociado.</w:t>
      </w:r>
      <w:r>
        <w:rPr>
          <w:rFonts w:ascii="Book Antiqua" w:hAnsi="Book Antiqua"/>
          <w:lang w:val="es-ES"/>
        </w:rPr>
        <w:t xml:space="preserve"> </w:t>
      </w:r>
      <w:r w:rsidRPr="00921967">
        <w:rPr>
          <w:rFonts w:ascii="Book Antiqua" w:hAnsi="Book Antiqua"/>
          <w:lang w:val="es-ES"/>
        </w:rPr>
        <w:t>Asimismo, el NEPR financia su operación mediante cargos regulatorios</w:t>
      </w:r>
      <w:r>
        <w:rPr>
          <w:rFonts w:ascii="Book Antiqua" w:hAnsi="Book Antiqua"/>
          <w:lang w:val="es-ES"/>
        </w:rPr>
        <w:t xml:space="preserve"> </w:t>
      </w:r>
      <w:r w:rsidRPr="00921967">
        <w:rPr>
          <w:rFonts w:ascii="Book Antiqua" w:hAnsi="Book Antiqua"/>
          <w:lang w:val="es-ES"/>
        </w:rPr>
        <w:t>recaudados en una cuenta restringida. Este mecanismo, como en cualquier otra</w:t>
      </w:r>
      <w:r>
        <w:rPr>
          <w:rFonts w:ascii="Book Antiqua" w:hAnsi="Book Antiqua"/>
          <w:lang w:val="es-ES"/>
        </w:rPr>
        <w:t xml:space="preserve"> </w:t>
      </w:r>
      <w:r w:rsidRPr="00921967">
        <w:rPr>
          <w:rFonts w:ascii="Book Antiqua" w:hAnsi="Book Antiqua"/>
          <w:lang w:val="es-ES"/>
        </w:rPr>
        <w:t>agencia estatal regulatoria en los estados, asegura separación financiera real</w:t>
      </w:r>
      <w:r>
        <w:rPr>
          <w:rFonts w:ascii="Book Antiqua" w:hAnsi="Book Antiqua"/>
          <w:lang w:val="es-ES"/>
        </w:rPr>
        <w:t xml:space="preserve"> </w:t>
      </w:r>
      <w:r w:rsidRPr="00921967">
        <w:rPr>
          <w:rFonts w:ascii="Book Antiqua" w:hAnsi="Book Antiqua"/>
          <w:lang w:val="es-ES"/>
        </w:rPr>
        <w:t>y evita influencias políticas o de sus regulados sobre su</w:t>
      </w:r>
      <w:r>
        <w:rPr>
          <w:rFonts w:ascii="Book Antiqua" w:hAnsi="Book Antiqua"/>
          <w:lang w:val="es-ES"/>
        </w:rPr>
        <w:t xml:space="preserve"> presupuesto. </w:t>
      </w:r>
    </w:p>
    <w:p w14:paraId="763FD6E3" w14:textId="72B13B7A" w:rsidR="00921967" w:rsidRDefault="00921967" w:rsidP="00921967">
      <w:pPr>
        <w:tabs>
          <w:tab w:val="left" w:pos="-720"/>
        </w:tabs>
        <w:suppressAutoHyphens/>
        <w:jc w:val="both"/>
        <w:rPr>
          <w:rFonts w:ascii="Book Antiqua" w:hAnsi="Book Antiqua"/>
          <w:lang w:val="es-ES"/>
        </w:rPr>
      </w:pPr>
      <w:r>
        <w:rPr>
          <w:rFonts w:ascii="Book Antiqua" w:hAnsi="Book Antiqua"/>
          <w:lang w:val="es-ES"/>
        </w:rPr>
        <w:tab/>
        <w:t>El NEPR menciona</w:t>
      </w:r>
      <w:r w:rsidRPr="00921967">
        <w:rPr>
          <w:rFonts w:ascii="Book Antiqua" w:hAnsi="Book Antiqua"/>
          <w:lang w:val="es-ES"/>
        </w:rPr>
        <w:t xml:space="preserve"> que, durante el mes de Julio de 2024, </w:t>
      </w:r>
      <w:r>
        <w:rPr>
          <w:rFonts w:ascii="Book Antiqua" w:hAnsi="Book Antiqua"/>
          <w:lang w:val="es-ES"/>
        </w:rPr>
        <w:t>la</w:t>
      </w:r>
      <w:r w:rsidRPr="00921967">
        <w:rPr>
          <w:rFonts w:ascii="Book Antiqua" w:hAnsi="Book Antiqua"/>
          <w:lang w:val="es-ES"/>
        </w:rPr>
        <w:t xml:space="preserve"> Junta de</w:t>
      </w:r>
      <w:r>
        <w:rPr>
          <w:rFonts w:ascii="Book Antiqua" w:hAnsi="Book Antiqua"/>
          <w:lang w:val="es-ES"/>
        </w:rPr>
        <w:t xml:space="preserve"> </w:t>
      </w:r>
      <w:r w:rsidRPr="00921967">
        <w:rPr>
          <w:rFonts w:ascii="Book Antiqua" w:hAnsi="Book Antiqua"/>
          <w:lang w:val="es-ES"/>
        </w:rPr>
        <w:t>Supervisión Fiscal de Puerto Rico objetó e impugn</w:t>
      </w:r>
      <w:r>
        <w:rPr>
          <w:rFonts w:ascii="Book Antiqua" w:hAnsi="Book Antiqua"/>
          <w:lang w:val="es-ES"/>
        </w:rPr>
        <w:t>ó la</w:t>
      </w:r>
      <w:r w:rsidRPr="00921967">
        <w:rPr>
          <w:rFonts w:ascii="Book Antiqua" w:hAnsi="Book Antiqua"/>
          <w:lang w:val="es-ES"/>
        </w:rPr>
        <w:t xml:space="preserve"> efectividad de </w:t>
      </w:r>
      <w:r>
        <w:rPr>
          <w:rFonts w:ascii="Book Antiqua" w:hAnsi="Book Antiqua"/>
          <w:lang w:val="es-ES"/>
        </w:rPr>
        <w:t>la</w:t>
      </w:r>
      <w:r w:rsidRPr="00921967">
        <w:rPr>
          <w:rFonts w:ascii="Book Antiqua" w:hAnsi="Book Antiqua"/>
          <w:lang w:val="es-ES"/>
        </w:rPr>
        <w:t xml:space="preserve"> Ley 10-2024, que buscaba restringir </w:t>
      </w:r>
      <w:r>
        <w:rPr>
          <w:rFonts w:ascii="Book Antiqua" w:hAnsi="Book Antiqua"/>
          <w:lang w:val="es-ES"/>
        </w:rPr>
        <w:t>la</w:t>
      </w:r>
      <w:r w:rsidRPr="00921967">
        <w:rPr>
          <w:rFonts w:ascii="Book Antiqua" w:hAnsi="Book Antiqua"/>
          <w:lang w:val="es-ES"/>
        </w:rPr>
        <w:t xml:space="preserve"> autoridad regulatoria del NEPR. El argumento</w:t>
      </w:r>
      <w:r>
        <w:rPr>
          <w:rFonts w:ascii="Book Antiqua" w:hAnsi="Book Antiqua"/>
          <w:lang w:val="es-ES"/>
        </w:rPr>
        <w:t xml:space="preserve"> </w:t>
      </w:r>
      <w:r w:rsidRPr="00921967">
        <w:rPr>
          <w:rFonts w:ascii="Book Antiqua" w:hAnsi="Book Antiqua"/>
          <w:lang w:val="es-ES"/>
        </w:rPr>
        <w:t xml:space="preserve">central de </w:t>
      </w:r>
      <w:r>
        <w:rPr>
          <w:rFonts w:ascii="Book Antiqua" w:hAnsi="Book Antiqua"/>
          <w:lang w:val="es-ES"/>
        </w:rPr>
        <w:t>la</w:t>
      </w:r>
      <w:r w:rsidRPr="00921967">
        <w:rPr>
          <w:rFonts w:ascii="Book Antiqua" w:hAnsi="Book Antiqua"/>
          <w:lang w:val="es-ES"/>
        </w:rPr>
        <w:t xml:space="preserve"> determinación fue que </w:t>
      </w:r>
      <w:r>
        <w:rPr>
          <w:rFonts w:ascii="Book Antiqua" w:hAnsi="Book Antiqua"/>
          <w:lang w:val="es-ES"/>
        </w:rPr>
        <w:t>la</w:t>
      </w:r>
      <w:r w:rsidRPr="00921967">
        <w:rPr>
          <w:rFonts w:ascii="Book Antiqua" w:hAnsi="Book Antiqua"/>
          <w:lang w:val="es-ES"/>
        </w:rPr>
        <w:t xml:space="preserve"> independencia del NEPR era esencial para</w:t>
      </w:r>
      <w:r>
        <w:rPr>
          <w:rFonts w:ascii="Book Antiqua" w:hAnsi="Book Antiqua"/>
          <w:lang w:val="es-ES"/>
        </w:rPr>
        <w:t xml:space="preserve"> </w:t>
      </w:r>
      <w:r w:rsidRPr="00921967">
        <w:rPr>
          <w:rFonts w:ascii="Book Antiqua" w:hAnsi="Book Antiqua"/>
          <w:lang w:val="es-ES"/>
        </w:rPr>
        <w:t xml:space="preserve">lograr </w:t>
      </w:r>
      <w:r>
        <w:rPr>
          <w:rFonts w:ascii="Book Antiqua" w:hAnsi="Book Antiqua"/>
          <w:lang w:val="es-ES"/>
        </w:rPr>
        <w:t>la</w:t>
      </w:r>
      <w:r w:rsidRPr="00921967">
        <w:rPr>
          <w:rFonts w:ascii="Book Antiqua" w:hAnsi="Book Antiqua"/>
          <w:lang w:val="es-ES"/>
        </w:rPr>
        <w:t xml:space="preserve"> transformación energética.</w:t>
      </w:r>
    </w:p>
    <w:p w14:paraId="7E7F276F" w14:textId="152EACFB" w:rsidR="00F31D06" w:rsidRPr="00C17181" w:rsidRDefault="00F31D06" w:rsidP="00F31D06">
      <w:pPr>
        <w:tabs>
          <w:tab w:val="left" w:pos="-720"/>
        </w:tabs>
        <w:suppressAutoHyphens/>
        <w:jc w:val="both"/>
        <w:rPr>
          <w:rFonts w:ascii="Book Antiqua" w:hAnsi="Book Antiqua"/>
          <w:lang w:val="es-ES"/>
        </w:rPr>
      </w:pPr>
      <w:r>
        <w:rPr>
          <w:rFonts w:ascii="Book Antiqua" w:hAnsi="Book Antiqua"/>
          <w:lang w:val="es-ES"/>
        </w:rPr>
        <w:tab/>
      </w:r>
      <w:r w:rsidRPr="00F31D06">
        <w:rPr>
          <w:rFonts w:ascii="Book Antiqua" w:hAnsi="Book Antiqua"/>
          <w:lang w:val="es-ES"/>
        </w:rPr>
        <w:t xml:space="preserve">Por tanto, el NEPR considera que es crucial mantener </w:t>
      </w:r>
      <w:r>
        <w:rPr>
          <w:rFonts w:ascii="Book Antiqua" w:hAnsi="Book Antiqua"/>
          <w:lang w:val="es-ES"/>
        </w:rPr>
        <w:t>la</w:t>
      </w:r>
      <w:r w:rsidRPr="00F31D06">
        <w:rPr>
          <w:rFonts w:ascii="Book Antiqua" w:hAnsi="Book Antiqua"/>
          <w:lang w:val="es-ES"/>
        </w:rPr>
        <w:t xml:space="preserve"> autonomía fiscal que en</w:t>
      </w:r>
      <w:r>
        <w:rPr>
          <w:rFonts w:ascii="Book Antiqua" w:hAnsi="Book Antiqua"/>
          <w:lang w:val="es-ES"/>
        </w:rPr>
        <w:t xml:space="preserve"> </w:t>
      </w:r>
      <w:r w:rsidRPr="00F31D06">
        <w:rPr>
          <w:rFonts w:ascii="Book Antiqua" w:hAnsi="Book Antiqua"/>
          <w:lang w:val="es-ES"/>
        </w:rPr>
        <w:t xml:space="preserve">un principio </w:t>
      </w:r>
      <w:r>
        <w:rPr>
          <w:rFonts w:ascii="Book Antiqua" w:hAnsi="Book Antiqua"/>
          <w:lang w:val="es-ES"/>
        </w:rPr>
        <w:t>la</w:t>
      </w:r>
      <w:r w:rsidRPr="00F31D06">
        <w:rPr>
          <w:rFonts w:ascii="Book Antiqua" w:hAnsi="Book Antiqua"/>
          <w:lang w:val="es-ES"/>
        </w:rPr>
        <w:t xml:space="preserve"> Asamblea Legislativa consider</w:t>
      </w:r>
      <w:r>
        <w:rPr>
          <w:rFonts w:ascii="Book Antiqua" w:hAnsi="Book Antiqua"/>
          <w:lang w:val="es-ES"/>
        </w:rPr>
        <w:t xml:space="preserve">ó </w:t>
      </w:r>
      <w:r w:rsidRPr="00F31D06">
        <w:rPr>
          <w:rFonts w:ascii="Book Antiqua" w:hAnsi="Book Antiqua"/>
          <w:lang w:val="es-ES"/>
        </w:rPr>
        <w:t>necesaria para que el Negociado</w:t>
      </w:r>
      <w:r>
        <w:rPr>
          <w:rFonts w:ascii="Book Antiqua" w:hAnsi="Book Antiqua"/>
          <w:lang w:val="es-ES"/>
        </w:rPr>
        <w:t xml:space="preserve"> </w:t>
      </w:r>
      <w:r w:rsidRPr="00F31D06">
        <w:rPr>
          <w:rFonts w:ascii="Book Antiqua" w:hAnsi="Book Antiqua"/>
          <w:lang w:val="es-ES"/>
        </w:rPr>
        <w:t xml:space="preserve">pudiera ejercer sus funciones de forma independiente, como </w:t>
      </w:r>
      <w:r>
        <w:rPr>
          <w:rFonts w:ascii="Book Antiqua" w:hAnsi="Book Antiqua"/>
          <w:lang w:val="es-ES"/>
        </w:rPr>
        <w:t>la</w:t>
      </w:r>
      <w:r w:rsidRPr="00F31D06">
        <w:rPr>
          <w:rFonts w:ascii="Book Antiqua" w:hAnsi="Book Antiqua"/>
          <w:lang w:val="es-ES"/>
        </w:rPr>
        <w:t xml:space="preserve"> propia Ley lo</w:t>
      </w:r>
      <w:r>
        <w:rPr>
          <w:rFonts w:ascii="Book Antiqua" w:hAnsi="Book Antiqua"/>
          <w:lang w:val="es-ES"/>
        </w:rPr>
        <w:t xml:space="preserve"> </w:t>
      </w:r>
      <w:r w:rsidRPr="00F31D06">
        <w:rPr>
          <w:rFonts w:ascii="Book Antiqua" w:hAnsi="Book Antiqua"/>
          <w:lang w:val="es-ES"/>
        </w:rPr>
        <w:t>establece.</w:t>
      </w:r>
    </w:p>
    <w:p w14:paraId="35931FC5" w14:textId="77777777" w:rsidR="00940E84" w:rsidRPr="00C17181"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506C695A"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01B8C" w:rsidRPr="00D01B8C">
        <w:rPr>
          <w:lang w:val="es-ES"/>
        </w:rPr>
        <w:t>​</w:t>
      </w:r>
      <w:r w:rsidR="00D01B8C" w:rsidRPr="00D01B8C">
        <w:rPr>
          <w:rFonts w:ascii="Book Antiqua" w:hAnsi="Book Antiqua"/>
          <w:lang w:val="es-ES"/>
        </w:rPr>
        <w:t xml:space="preserve">En cumplimiento con el Artículo 1.007 de la Ley 107-2020, según enmendada, conocida como “Código Municipal de Puerto Rico”, la Comisión de Gobierno señala que, al no recomendar la aprobación del P. del S. </w:t>
      </w:r>
      <w:r w:rsidR="00F17402">
        <w:rPr>
          <w:rFonts w:ascii="Book Antiqua" w:hAnsi="Book Antiqua"/>
          <w:lang w:val="es-ES"/>
        </w:rPr>
        <w:t>390</w:t>
      </w:r>
      <w:r w:rsidR="00D01B8C" w:rsidRPr="00D01B8C">
        <w:rPr>
          <w:rFonts w:ascii="Book Antiqua" w:hAnsi="Book Antiqua"/>
          <w:lang w:val="es-ES"/>
        </w:rPr>
        <w:t>, no corresponde emitir una certificación afirmativa sobre la ausencia de impacto fiscal en los gobiernos municipales.</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0E44985E"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F86C0C" w:rsidRPr="00C17181">
        <w:rPr>
          <w:rFonts w:ascii="Book Antiqua" w:hAnsi="Book Antiqua"/>
          <w:spacing w:val="-3"/>
          <w:lang w:val="es-ES"/>
        </w:rPr>
        <w:t>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P. del S. </w:t>
      </w:r>
      <w:r w:rsidR="00F17402">
        <w:rPr>
          <w:rFonts w:ascii="Book Antiqua" w:hAnsi="Book Antiqua"/>
          <w:lang w:val="es-ES"/>
        </w:rPr>
        <w:t>390</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F17402">
        <w:rPr>
          <w:rFonts w:ascii="Book Antiqua" w:hAnsi="Book Antiqua"/>
          <w:lang w:val="es-ES"/>
        </w:rPr>
        <w:t>la Ley 57-2014 y los comentarios recibidos.</w:t>
      </w:r>
    </w:p>
    <w:p w14:paraId="6874D32F" w14:textId="4D2267C2" w:rsidR="00D97BC6" w:rsidRPr="00D97BC6" w:rsidRDefault="005A0F6C" w:rsidP="00D97BC6">
      <w:pPr>
        <w:tabs>
          <w:tab w:val="left" w:pos="-720"/>
        </w:tabs>
        <w:suppressAutoHyphens/>
        <w:ind w:firstLine="360"/>
        <w:jc w:val="both"/>
        <w:rPr>
          <w:rFonts w:ascii="Book Antiqua" w:hAnsi="Book Antiqua"/>
          <w:lang w:val="es-ES"/>
        </w:rPr>
      </w:pPr>
      <w:r>
        <w:rPr>
          <w:rFonts w:ascii="Book Antiqua" w:hAnsi="Book Antiqua"/>
          <w:lang w:val="es-ES"/>
        </w:rPr>
        <w:tab/>
      </w:r>
      <w:r w:rsidR="00F17402">
        <w:rPr>
          <w:rFonts w:ascii="Book Antiqua" w:hAnsi="Book Antiqua"/>
          <w:lang w:val="es-ES"/>
        </w:rPr>
        <w:t>Esta C</w:t>
      </w:r>
      <w:r w:rsidR="007528A6" w:rsidRPr="00C17181">
        <w:rPr>
          <w:rFonts w:ascii="Book Antiqua" w:hAnsi="Book Antiqua"/>
          <w:spacing w:val="-3"/>
          <w:lang w:val="es-ES"/>
        </w:rPr>
        <w:t xml:space="preserve">omisión </w:t>
      </w:r>
      <w:r w:rsidR="00552B8A" w:rsidRPr="00C17181">
        <w:rPr>
          <w:rFonts w:ascii="Book Antiqua" w:hAnsi="Book Antiqua"/>
          <w:lang w:val="es-ES"/>
        </w:rPr>
        <w:t>coincide en que</w:t>
      </w:r>
      <w:r w:rsidR="00D97BC6">
        <w:rPr>
          <w:rFonts w:ascii="Book Antiqua" w:hAnsi="Book Antiqua"/>
          <w:lang w:val="es-ES"/>
        </w:rPr>
        <w:t xml:space="preserve"> </w:t>
      </w:r>
      <w:r w:rsidR="00A4143C">
        <w:rPr>
          <w:rFonts w:ascii="Book Antiqua" w:hAnsi="Book Antiqua"/>
          <w:lang w:val="es-ES"/>
        </w:rPr>
        <w:t>el P. del S. 390</w:t>
      </w:r>
      <w:r w:rsidR="00D97BC6" w:rsidRPr="00D97BC6">
        <w:rPr>
          <w:rFonts w:ascii="Book Antiqua" w:hAnsi="Book Antiqua"/>
          <w:lang w:val="es-ES"/>
        </w:rPr>
        <w:t xml:space="preserve"> representa un retroceso en la política pública que dio origen al actual modelo regulatorio. Al someter el presupuesto </w:t>
      </w:r>
      <w:r w:rsidR="00D97BC6" w:rsidRPr="00D97BC6">
        <w:rPr>
          <w:rFonts w:ascii="Book Antiqua" w:hAnsi="Book Antiqua"/>
          <w:lang w:val="es-ES"/>
        </w:rPr>
        <w:lastRenderedPageBreak/>
        <w:t>del Negociado a la aprobación anual del Ejecutivo y del Poder Legislativo, se debilita su autonomía funcional y se expone su operación a consideraciones políticas ajenas a los criterios técnicos y regulatorios que deben regir la fiscalización del sistema eléctrico. Más aún, la medida resulta innecesaria desde la perspectiva de la transparencia y la rendición de cuentas, toda vez que el marco vigente ya contempla mecanismos suficientes de divulgación pública, requerimientos de información y controles financieros internos.</w:t>
      </w:r>
    </w:p>
    <w:p w14:paraId="12984714" w14:textId="67834D8B" w:rsidR="000B071A" w:rsidRDefault="003A1DBC" w:rsidP="00D97BC6">
      <w:pPr>
        <w:tabs>
          <w:tab w:val="left" w:pos="-720"/>
        </w:tabs>
        <w:suppressAutoHyphens/>
        <w:ind w:firstLine="360"/>
        <w:jc w:val="both"/>
        <w:rPr>
          <w:rFonts w:ascii="Book Antiqua" w:hAnsi="Book Antiqua"/>
          <w:lang w:val="es-ES"/>
        </w:rPr>
      </w:pPr>
      <w:r>
        <w:rPr>
          <w:rFonts w:ascii="Book Antiqua" w:hAnsi="Book Antiqua"/>
          <w:lang w:val="es-ES"/>
        </w:rPr>
        <w:tab/>
      </w:r>
      <w:r w:rsidR="00D97BC6" w:rsidRPr="00D97BC6">
        <w:rPr>
          <w:rFonts w:ascii="Book Antiqua" w:hAnsi="Book Antiqua"/>
          <w:lang w:val="es-ES"/>
        </w:rPr>
        <w:t>En consecuencia, el proyecto introduce un elemento de incertidumbre institucional que podría afectar la continuidad operacional del Negociado, comprometer su independencia decisional y menoscabar su capacidad para ejercer una regulación firme y objetiva sobre un sector altamente sensible para el interés público. Por tales razones, la enmienda propuesta no fortalece el marco regulatorio existente, sino que lo debilita, al reinsertar al Negociado de Energía en un proceso presupuestario político del cual deliberadamente fue separado para garantizar su eficacia, estabilidad y credibilidad institucional.</w:t>
      </w:r>
    </w:p>
    <w:p w14:paraId="4423805C" w14:textId="77777777" w:rsidR="00D97BC6" w:rsidRPr="00C17181" w:rsidRDefault="00D97BC6" w:rsidP="006D5838">
      <w:pPr>
        <w:tabs>
          <w:tab w:val="left" w:pos="-720"/>
        </w:tabs>
        <w:suppressAutoHyphens/>
        <w:ind w:firstLine="360"/>
        <w:jc w:val="both"/>
        <w:rPr>
          <w:rFonts w:ascii="Book Antiqua" w:hAnsi="Book Antiqua"/>
          <w:b/>
          <w:bCs/>
          <w:lang w:val="es-ES"/>
        </w:rPr>
      </w:pPr>
    </w:p>
    <w:p w14:paraId="7885E90D" w14:textId="62213BFE" w:rsidR="00DF45DC" w:rsidRPr="00C17181" w:rsidRDefault="0096171F" w:rsidP="005A0F6C">
      <w:pPr>
        <w:tabs>
          <w:tab w:val="left" w:pos="-720"/>
        </w:tabs>
        <w:suppressAutoHyphens/>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la </w:t>
      </w:r>
      <w:r w:rsidR="007528A6" w:rsidRPr="00C17181">
        <w:rPr>
          <w:rFonts w:ascii="Book Antiqua" w:hAnsi="Book Antiqua"/>
          <w:spacing w:val="-3"/>
          <w:lang w:val="es-ES"/>
        </w:rPr>
        <w:t>Comisión de</w:t>
      </w:r>
      <w:r w:rsidR="007528A6">
        <w:rPr>
          <w:rFonts w:ascii="Book Antiqua" w:hAnsi="Book Antiqua"/>
          <w:spacing w:val="-3"/>
          <w:lang w:val="es-ES"/>
        </w:rPr>
        <w:t xml:space="preserve"> Gobierno </w:t>
      </w:r>
      <w:r w:rsidR="001D12A7" w:rsidRPr="00C17181">
        <w:rPr>
          <w:rFonts w:ascii="Book Antiqua" w:hAnsi="Book Antiqua"/>
          <w:spacing w:val="-3"/>
          <w:lang w:val="es-ES"/>
        </w:rPr>
        <w:t>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w:t>
      </w:r>
      <w:r w:rsidR="00FA75AB">
        <w:rPr>
          <w:rFonts w:ascii="Book Antiqua" w:hAnsi="Book Antiqua"/>
          <w:lang w:val="es-ES"/>
        </w:rPr>
        <w:t>a</w:t>
      </w:r>
      <w:r w:rsidR="00006DDC" w:rsidRPr="00C17181">
        <w:rPr>
          <w:rFonts w:ascii="Book Antiqua" w:hAnsi="Book Antiqua"/>
          <w:lang w:val="es-ES"/>
        </w:rPr>
        <w:t xml:space="preserve"> este Alto Cuerpo el Informe </w:t>
      </w:r>
      <w:r w:rsidR="00B962BD">
        <w:rPr>
          <w:rFonts w:ascii="Book Antiqua" w:hAnsi="Book Antiqua"/>
          <w:lang w:val="es-ES"/>
        </w:rPr>
        <w:t>Negativo</w:t>
      </w:r>
      <w:r w:rsidR="00006DDC" w:rsidRPr="00C17181">
        <w:rPr>
          <w:rFonts w:ascii="Book Antiqua" w:hAnsi="Book Antiqua"/>
          <w:lang w:val="es-ES"/>
        </w:rPr>
        <w:t xml:space="preserve"> sobre el </w:t>
      </w:r>
      <w:r w:rsidR="0091564A" w:rsidRPr="0091564A">
        <w:rPr>
          <w:rFonts w:ascii="Book Antiqua" w:hAnsi="Book Antiqua"/>
          <w:b/>
          <w:bCs/>
          <w:lang w:val="es-ES"/>
        </w:rPr>
        <w:t xml:space="preserve">Proyecto del Senado </w:t>
      </w:r>
      <w:r w:rsidR="00A4143C">
        <w:rPr>
          <w:rFonts w:ascii="Book Antiqua" w:hAnsi="Book Antiqua"/>
          <w:b/>
          <w:bCs/>
          <w:lang w:val="es-ES"/>
        </w:rPr>
        <w:t>390, no</w:t>
      </w:r>
      <w:r w:rsidR="0091564A">
        <w:rPr>
          <w:rFonts w:ascii="Book Antiqua" w:hAnsi="Book Antiqua"/>
          <w:lang w:val="es-ES"/>
        </w:rPr>
        <w:t xml:space="preserve"> </w:t>
      </w:r>
      <w:r w:rsidR="00006DDC" w:rsidRPr="00C17181">
        <w:rPr>
          <w:rFonts w:ascii="Book Antiqua" w:hAnsi="Book Antiqua"/>
          <w:lang w:val="es-ES"/>
        </w:rPr>
        <w:t xml:space="preserve">recomendando su aprobación. </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r w:rsidRPr="00C17181">
        <w:rPr>
          <w:rFonts w:ascii="Book Antiqua" w:hAnsi="Book Antiqua"/>
          <w:b/>
          <w:bCs/>
          <w:lang w:val="es-ES"/>
        </w:rPr>
        <w:t xml:space="preserve">Hon.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793118FD" w14:textId="118381D7" w:rsidR="007528A6" w:rsidRDefault="007528A6" w:rsidP="001D12A7">
      <w:pPr>
        <w:tabs>
          <w:tab w:val="left" w:pos="-720"/>
        </w:tabs>
        <w:suppressAutoHyphens/>
        <w:rPr>
          <w:rFonts w:ascii="Book Antiqua" w:hAnsi="Book Antiqua"/>
          <w:spacing w:val="-3"/>
          <w:lang w:val="es-ES"/>
        </w:rPr>
      </w:pPr>
      <w:r w:rsidRPr="00C17181">
        <w:rPr>
          <w:rFonts w:ascii="Book Antiqua" w:hAnsi="Book Antiqua"/>
          <w:spacing w:val="-3"/>
          <w:lang w:val="es-ES"/>
        </w:rPr>
        <w:t>Comisión de</w:t>
      </w:r>
      <w:r>
        <w:rPr>
          <w:rFonts w:ascii="Book Antiqua" w:hAnsi="Book Antiqua"/>
          <w:spacing w:val="-3"/>
          <w:lang w:val="es-ES"/>
        </w:rPr>
        <w:t xml:space="preserve"> Gobierno </w:t>
      </w:r>
    </w:p>
    <w:p w14:paraId="13BD9EC9" w14:textId="636E175F" w:rsidR="000B3411" w:rsidRPr="00FA75AB" w:rsidRDefault="001D12A7" w:rsidP="00FA75AB">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FA75AB"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E952C" w14:textId="77777777" w:rsidR="004168F6" w:rsidRDefault="004168F6">
      <w:r>
        <w:separator/>
      </w:r>
    </w:p>
  </w:endnote>
  <w:endnote w:type="continuationSeparator" w:id="0">
    <w:p w14:paraId="0149C1C6" w14:textId="77777777" w:rsidR="004168F6" w:rsidRDefault="0041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5BD5C" w14:textId="77777777" w:rsidR="004168F6" w:rsidRDefault="004168F6">
      <w:r>
        <w:separator/>
      </w:r>
    </w:p>
  </w:footnote>
  <w:footnote w:type="continuationSeparator" w:id="0">
    <w:p w14:paraId="726336C6" w14:textId="77777777" w:rsidR="004168F6" w:rsidRDefault="00416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643B86E"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3546F5">
      <w:rPr>
        <w:rFonts w:ascii="Book Antiqua" w:hAnsi="Book Antiqua"/>
        <w:i/>
        <w:iCs/>
        <w:sz w:val="20"/>
        <w:lang w:val="es-PR"/>
      </w:rPr>
      <w:t xml:space="preserve">Negativo </w:t>
    </w:r>
    <w:r w:rsidRPr="007B4C52">
      <w:rPr>
        <w:rFonts w:ascii="Book Antiqua" w:hAnsi="Book Antiqua"/>
        <w:i/>
        <w:iCs/>
        <w:sz w:val="20"/>
        <w:lang w:val="es-PR"/>
      </w:rPr>
      <w:t xml:space="preserve">sobre el </w:t>
    </w:r>
    <w:r w:rsidR="00D51E80">
      <w:rPr>
        <w:rFonts w:ascii="Book Antiqua" w:hAnsi="Book Antiqua"/>
        <w:i/>
        <w:iCs/>
        <w:sz w:val="20"/>
        <w:lang w:val="es-PR"/>
      </w:rPr>
      <w:t xml:space="preserve">P. del S. </w:t>
    </w:r>
    <w:r w:rsidR="009D59AB">
      <w:rPr>
        <w:rFonts w:ascii="Book Antiqua" w:hAnsi="Book Antiqua"/>
        <w:i/>
        <w:iCs/>
        <w:sz w:val="20"/>
        <w:lang w:val="es-PR"/>
      </w:rPr>
      <w:t>390</w:t>
    </w:r>
  </w:p>
  <w:p w14:paraId="72EEB13C" w14:textId="77475642" w:rsidR="00634977" w:rsidRDefault="00634977" w:rsidP="007B4C52">
    <w:pPr>
      <w:pStyle w:val="Header"/>
      <w:jc w:val="right"/>
      <w:rPr>
        <w:rFonts w:ascii="Book Antiqua" w:hAnsi="Book Antiqua"/>
        <w:i/>
        <w:iCs/>
        <w:sz w:val="20"/>
        <w:lang w:val="es-PR"/>
      </w:rPr>
    </w:pPr>
    <w:r w:rsidRPr="00634977">
      <w:rPr>
        <w:rFonts w:ascii="Book Antiqua" w:hAnsi="Book Antiqua"/>
        <w:i/>
        <w:iCs/>
        <w:sz w:val="20"/>
        <w:lang w:val="es-PR"/>
      </w:rPr>
      <w:t xml:space="preserve">Comisión de Gobierno </w:t>
    </w:r>
  </w:p>
  <w:p w14:paraId="1D642E09" w14:textId="42347EBB"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0785" w14:textId="77777777" w:rsidR="009D59AB" w:rsidRPr="007B4C52" w:rsidRDefault="009D59AB" w:rsidP="009D59AB">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 xml:space="preserve">Negativo </w:t>
    </w:r>
    <w:r w:rsidRPr="007B4C52">
      <w:rPr>
        <w:rFonts w:ascii="Book Antiqua" w:hAnsi="Book Antiqua"/>
        <w:i/>
        <w:iCs/>
        <w:sz w:val="20"/>
        <w:lang w:val="es-PR"/>
      </w:rPr>
      <w:t xml:space="preserve">sobre el </w:t>
    </w:r>
    <w:r>
      <w:rPr>
        <w:rFonts w:ascii="Book Antiqua" w:hAnsi="Book Antiqua"/>
        <w:i/>
        <w:iCs/>
        <w:sz w:val="20"/>
        <w:lang w:val="es-PR"/>
      </w:rPr>
      <w:t>P. del S. 390</w:t>
    </w:r>
  </w:p>
  <w:p w14:paraId="3B4B0FF8" w14:textId="7EC0A3D2" w:rsidR="007528A6" w:rsidRDefault="009D59AB" w:rsidP="009D59AB">
    <w:pPr>
      <w:pStyle w:val="Header"/>
      <w:jc w:val="right"/>
      <w:rPr>
        <w:rFonts w:ascii="Book Antiqua" w:hAnsi="Book Antiqua"/>
        <w:i/>
        <w:iCs/>
        <w:sz w:val="20"/>
        <w:lang w:val="es-PR"/>
      </w:rPr>
    </w:pPr>
    <w:r w:rsidRPr="00634977">
      <w:rPr>
        <w:rFonts w:ascii="Book Antiqua" w:hAnsi="Book Antiqua"/>
        <w:i/>
        <w:iCs/>
        <w:sz w:val="20"/>
        <w:lang w:val="es-PR"/>
      </w:rPr>
      <w:t xml:space="preserve">Comisión de Gobierno </w:t>
    </w:r>
  </w:p>
  <w:p w14:paraId="58E13037" w14:textId="42A7D2B4"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1427"/>
    <w:rsid w:val="000945D3"/>
    <w:rsid w:val="000A0CEF"/>
    <w:rsid w:val="000A135C"/>
    <w:rsid w:val="000B071A"/>
    <w:rsid w:val="000B3411"/>
    <w:rsid w:val="000B39C5"/>
    <w:rsid w:val="000C18B9"/>
    <w:rsid w:val="000C52A1"/>
    <w:rsid w:val="000C5B91"/>
    <w:rsid w:val="000D3899"/>
    <w:rsid w:val="000E0D6C"/>
    <w:rsid w:val="000E4A6D"/>
    <w:rsid w:val="000E6B35"/>
    <w:rsid w:val="000F6A01"/>
    <w:rsid w:val="000F7663"/>
    <w:rsid w:val="0010073E"/>
    <w:rsid w:val="00104CF6"/>
    <w:rsid w:val="00107712"/>
    <w:rsid w:val="00111E71"/>
    <w:rsid w:val="00114F93"/>
    <w:rsid w:val="001312DC"/>
    <w:rsid w:val="00137DC9"/>
    <w:rsid w:val="00152956"/>
    <w:rsid w:val="00152AEE"/>
    <w:rsid w:val="00157BC8"/>
    <w:rsid w:val="00172EE0"/>
    <w:rsid w:val="00186AB6"/>
    <w:rsid w:val="001A4A02"/>
    <w:rsid w:val="001A7434"/>
    <w:rsid w:val="001B5218"/>
    <w:rsid w:val="001B77D6"/>
    <w:rsid w:val="001C0F9B"/>
    <w:rsid w:val="001C2FA8"/>
    <w:rsid w:val="001C31BA"/>
    <w:rsid w:val="001C4A07"/>
    <w:rsid w:val="001C5DEB"/>
    <w:rsid w:val="001D12A7"/>
    <w:rsid w:val="001D3C1D"/>
    <w:rsid w:val="001D70F5"/>
    <w:rsid w:val="001D79E5"/>
    <w:rsid w:val="001E78B4"/>
    <w:rsid w:val="001F7ABB"/>
    <w:rsid w:val="00200B6F"/>
    <w:rsid w:val="00201567"/>
    <w:rsid w:val="00201B8C"/>
    <w:rsid w:val="00213CAD"/>
    <w:rsid w:val="002214F8"/>
    <w:rsid w:val="0022401B"/>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85638"/>
    <w:rsid w:val="002A1475"/>
    <w:rsid w:val="002B0B9E"/>
    <w:rsid w:val="002B62DE"/>
    <w:rsid w:val="002B798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553FE"/>
    <w:rsid w:val="00381F18"/>
    <w:rsid w:val="0038390D"/>
    <w:rsid w:val="003857EC"/>
    <w:rsid w:val="00386D32"/>
    <w:rsid w:val="0039037B"/>
    <w:rsid w:val="003906D8"/>
    <w:rsid w:val="00393CA6"/>
    <w:rsid w:val="003A1DBC"/>
    <w:rsid w:val="003A201A"/>
    <w:rsid w:val="003B0348"/>
    <w:rsid w:val="003D7045"/>
    <w:rsid w:val="00402413"/>
    <w:rsid w:val="004076B9"/>
    <w:rsid w:val="00412A61"/>
    <w:rsid w:val="004168F6"/>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0F6C"/>
    <w:rsid w:val="005A24EF"/>
    <w:rsid w:val="005A4787"/>
    <w:rsid w:val="005B2884"/>
    <w:rsid w:val="005C5E81"/>
    <w:rsid w:val="005D2E57"/>
    <w:rsid w:val="005D4AA7"/>
    <w:rsid w:val="005E150B"/>
    <w:rsid w:val="005E7E85"/>
    <w:rsid w:val="00600F3E"/>
    <w:rsid w:val="0061550A"/>
    <w:rsid w:val="00615AB1"/>
    <w:rsid w:val="00615E64"/>
    <w:rsid w:val="00622333"/>
    <w:rsid w:val="006239E8"/>
    <w:rsid w:val="00634977"/>
    <w:rsid w:val="00650D8E"/>
    <w:rsid w:val="0066129F"/>
    <w:rsid w:val="00661BC9"/>
    <w:rsid w:val="00662809"/>
    <w:rsid w:val="006807C0"/>
    <w:rsid w:val="006861CE"/>
    <w:rsid w:val="006A24A9"/>
    <w:rsid w:val="006B3D07"/>
    <w:rsid w:val="006B6346"/>
    <w:rsid w:val="006B7E26"/>
    <w:rsid w:val="006C283C"/>
    <w:rsid w:val="006C51D3"/>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28A6"/>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3A1A"/>
    <w:rsid w:val="00815BF2"/>
    <w:rsid w:val="00820C41"/>
    <w:rsid w:val="008235BE"/>
    <w:rsid w:val="00825070"/>
    <w:rsid w:val="00855CD6"/>
    <w:rsid w:val="0086515A"/>
    <w:rsid w:val="00865634"/>
    <w:rsid w:val="00867243"/>
    <w:rsid w:val="008A154B"/>
    <w:rsid w:val="008A40E0"/>
    <w:rsid w:val="008C18B2"/>
    <w:rsid w:val="008C331F"/>
    <w:rsid w:val="008C39D5"/>
    <w:rsid w:val="008D4B94"/>
    <w:rsid w:val="008E051A"/>
    <w:rsid w:val="008F717C"/>
    <w:rsid w:val="00904165"/>
    <w:rsid w:val="00905655"/>
    <w:rsid w:val="00907E93"/>
    <w:rsid w:val="009133CF"/>
    <w:rsid w:val="009154BD"/>
    <w:rsid w:val="0091564A"/>
    <w:rsid w:val="0092080B"/>
    <w:rsid w:val="00921967"/>
    <w:rsid w:val="009313EE"/>
    <w:rsid w:val="009351B6"/>
    <w:rsid w:val="00937388"/>
    <w:rsid w:val="009374E4"/>
    <w:rsid w:val="00940E84"/>
    <w:rsid w:val="00946BB4"/>
    <w:rsid w:val="00946E55"/>
    <w:rsid w:val="0096171F"/>
    <w:rsid w:val="009645CD"/>
    <w:rsid w:val="00970DEB"/>
    <w:rsid w:val="00981A1F"/>
    <w:rsid w:val="00983939"/>
    <w:rsid w:val="00984F56"/>
    <w:rsid w:val="009A08E8"/>
    <w:rsid w:val="009A4A2C"/>
    <w:rsid w:val="009A4FB3"/>
    <w:rsid w:val="009B5669"/>
    <w:rsid w:val="009B619C"/>
    <w:rsid w:val="009C455C"/>
    <w:rsid w:val="009D59AB"/>
    <w:rsid w:val="009E20DD"/>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4143C"/>
    <w:rsid w:val="00A43827"/>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85B00"/>
    <w:rsid w:val="00B962BD"/>
    <w:rsid w:val="00BA0F95"/>
    <w:rsid w:val="00BA43F4"/>
    <w:rsid w:val="00BB20A7"/>
    <w:rsid w:val="00BB6946"/>
    <w:rsid w:val="00BB7826"/>
    <w:rsid w:val="00BC7625"/>
    <w:rsid w:val="00BD3BEF"/>
    <w:rsid w:val="00BD79AF"/>
    <w:rsid w:val="00BE1535"/>
    <w:rsid w:val="00BE3E24"/>
    <w:rsid w:val="00BE6740"/>
    <w:rsid w:val="00BF358A"/>
    <w:rsid w:val="00C0210B"/>
    <w:rsid w:val="00C17181"/>
    <w:rsid w:val="00C20997"/>
    <w:rsid w:val="00C21A5A"/>
    <w:rsid w:val="00C22AFC"/>
    <w:rsid w:val="00C32ECE"/>
    <w:rsid w:val="00C41CC9"/>
    <w:rsid w:val="00C4275E"/>
    <w:rsid w:val="00C6071A"/>
    <w:rsid w:val="00C65A5F"/>
    <w:rsid w:val="00C708B3"/>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01B8C"/>
    <w:rsid w:val="00D06030"/>
    <w:rsid w:val="00D13D23"/>
    <w:rsid w:val="00D16947"/>
    <w:rsid w:val="00D51E80"/>
    <w:rsid w:val="00D5351E"/>
    <w:rsid w:val="00D61B6F"/>
    <w:rsid w:val="00D759DB"/>
    <w:rsid w:val="00D8699D"/>
    <w:rsid w:val="00D9263A"/>
    <w:rsid w:val="00D93BA6"/>
    <w:rsid w:val="00D95836"/>
    <w:rsid w:val="00D96D40"/>
    <w:rsid w:val="00D97BC6"/>
    <w:rsid w:val="00D97E51"/>
    <w:rsid w:val="00DA0051"/>
    <w:rsid w:val="00DA1E64"/>
    <w:rsid w:val="00DB25BF"/>
    <w:rsid w:val="00DB3451"/>
    <w:rsid w:val="00DB4C88"/>
    <w:rsid w:val="00DC2909"/>
    <w:rsid w:val="00DC2BFD"/>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37CF0"/>
    <w:rsid w:val="00E63FA4"/>
    <w:rsid w:val="00E722CA"/>
    <w:rsid w:val="00E73DB1"/>
    <w:rsid w:val="00E82357"/>
    <w:rsid w:val="00E930DD"/>
    <w:rsid w:val="00E9570B"/>
    <w:rsid w:val="00EA477A"/>
    <w:rsid w:val="00EA5757"/>
    <w:rsid w:val="00EB0B16"/>
    <w:rsid w:val="00EB1664"/>
    <w:rsid w:val="00EC5454"/>
    <w:rsid w:val="00EC56E8"/>
    <w:rsid w:val="00EE4536"/>
    <w:rsid w:val="00EF237A"/>
    <w:rsid w:val="00EF62F7"/>
    <w:rsid w:val="00EF780D"/>
    <w:rsid w:val="00F02F4A"/>
    <w:rsid w:val="00F042CB"/>
    <w:rsid w:val="00F13B64"/>
    <w:rsid w:val="00F17402"/>
    <w:rsid w:val="00F3003D"/>
    <w:rsid w:val="00F30C4D"/>
    <w:rsid w:val="00F315D1"/>
    <w:rsid w:val="00F31D06"/>
    <w:rsid w:val="00F44E24"/>
    <w:rsid w:val="00F4686E"/>
    <w:rsid w:val="00F566F4"/>
    <w:rsid w:val="00F60859"/>
    <w:rsid w:val="00F65FAA"/>
    <w:rsid w:val="00F816B8"/>
    <w:rsid w:val="00F85B37"/>
    <w:rsid w:val="00F86C0C"/>
    <w:rsid w:val="00F90AAD"/>
    <w:rsid w:val="00F969D4"/>
    <w:rsid w:val="00FA75AB"/>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4SQX5P7U7WPY-958212181-822685</_dlc_DocId>
    <_dlc_DocIdUrl xmlns="c890fddd-4e87-4e08-8b51-545f2a3f7b06">
      <Url>https://senpr.sharepoint.com/sites/obralegislativa/_layouts/15/DocIdRedir.aspx?ID=4SQX5P7U7WPY-958212181-822685</Url>
      <Description>4SQX5P7U7WPY-958212181-822685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146AE9-E1BD-42F0-B104-17339A44A8DD}"/>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EF8E1590-9D5F-4F78-A90C-4AC37A85E0E6}"/>
</file>

<file path=docProps/app.xml><?xml version="1.0" encoding="utf-8"?>
<Properties xmlns="http://schemas.openxmlformats.org/officeDocument/2006/extended-properties" xmlns:vt="http://schemas.openxmlformats.org/officeDocument/2006/docPropsVTypes">
  <Template>Medida-V2009</Template>
  <TotalTime>11</TotalTime>
  <Pages>4</Pages>
  <Words>1210</Words>
  <Characters>6948</Characters>
  <Application>Microsoft Office Word</Application>
  <DocSecurity>0</DocSecurity>
  <Lines>148</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2026-01-23T14:34:00Z</dcterms:created>
  <dcterms:modified xsi:type="dcterms:W3CDTF">2026-01-23T14:34:00Z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b75571b2-c9b3-47e5-9424-ec86a20be7f4</vt:lpwstr>
  </property>
</Properties>
</file>