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F5E321" w14:textId="43FD7837" w:rsidR="00FF6BD2" w:rsidRPr="00C55AE9" w:rsidRDefault="005075AF" w:rsidP="00BF0671">
      <w:pPr>
        <w:jc w:val="center"/>
        <w:rPr>
          <w:rFonts w:ascii="Book Antiqua" w:hAnsi="Book Antiqua"/>
          <w:sz w:val="28"/>
          <w:lang w:val="es-ES_tradnl"/>
        </w:rPr>
      </w:pPr>
      <w:r w:rsidRPr="00C55AE9">
        <w:rPr>
          <w:rFonts w:ascii="Book Antiqua" w:hAnsi="Book Antiqua"/>
          <w:sz w:val="28"/>
          <w:lang w:val="es-ES_tradnl"/>
        </w:rPr>
        <w:t>GOBIERNO</w:t>
      </w:r>
      <w:r w:rsidR="00585EFC" w:rsidRPr="00C55AE9">
        <w:rPr>
          <w:rFonts w:ascii="Book Antiqua" w:hAnsi="Book Antiqua"/>
          <w:sz w:val="28"/>
          <w:lang w:val="es-ES_tradnl"/>
        </w:rPr>
        <w:t xml:space="preserve"> DE PUERTO RICO</w:t>
      </w:r>
    </w:p>
    <w:p w14:paraId="53176631" w14:textId="77777777" w:rsidR="00585EFC" w:rsidRPr="00BF0671" w:rsidRDefault="00585EFC" w:rsidP="00BF0671">
      <w:pPr>
        <w:jc w:val="center"/>
        <w:rPr>
          <w:rFonts w:ascii="Book Antiqua" w:hAnsi="Book Antiqua"/>
          <w:szCs w:val="24"/>
          <w:lang w:val="es-ES_tradnl"/>
        </w:rPr>
      </w:pPr>
    </w:p>
    <w:p w14:paraId="43B853B8" w14:textId="6CD2D48E" w:rsidR="00585EFC" w:rsidRPr="00FD7C76" w:rsidRDefault="003233EB" w:rsidP="00BF0671">
      <w:pPr>
        <w:pStyle w:val="Title2"/>
        <w:tabs>
          <w:tab w:val="clear" w:pos="648"/>
          <w:tab w:val="clear" w:pos="7776"/>
          <w:tab w:val="clear" w:pos="7848"/>
        </w:tabs>
        <w:rPr>
          <w:rFonts w:ascii="Book Antiqua" w:hAnsi="Book Antiqua"/>
          <w:lang w:val="es-PR"/>
        </w:rPr>
      </w:pPr>
      <w:r w:rsidRPr="00FD7C76">
        <w:rPr>
          <w:rFonts w:ascii="Book Antiqua" w:hAnsi="Book Antiqua"/>
          <w:lang w:val="es-PR"/>
        </w:rPr>
        <w:t xml:space="preserve">20ma. </w:t>
      </w:r>
      <w:r w:rsidR="00585EFC" w:rsidRPr="00FD7C76">
        <w:rPr>
          <w:rFonts w:ascii="Book Antiqua" w:hAnsi="Book Antiqua"/>
          <w:lang w:val="es-PR"/>
        </w:rPr>
        <w:t>Asamblea</w:t>
      </w:r>
      <w:r w:rsidR="00585EFC" w:rsidRPr="00FD7C76">
        <w:rPr>
          <w:rFonts w:ascii="Book Antiqua" w:hAnsi="Book Antiqua"/>
          <w:lang w:val="es-PR"/>
        </w:rPr>
        <w:tab/>
      </w:r>
      <w:r w:rsidRPr="00FD7C76">
        <w:rPr>
          <w:rFonts w:ascii="Book Antiqua" w:hAnsi="Book Antiqua"/>
          <w:lang w:val="es-PR"/>
        </w:rPr>
        <w:tab/>
      </w:r>
      <w:r w:rsidRPr="00FD7C76">
        <w:rPr>
          <w:rFonts w:ascii="Book Antiqua" w:hAnsi="Book Antiqua"/>
          <w:lang w:val="es-PR"/>
        </w:rPr>
        <w:tab/>
      </w:r>
      <w:r w:rsidRPr="00FD7C76">
        <w:rPr>
          <w:rFonts w:ascii="Book Antiqua" w:hAnsi="Book Antiqua"/>
          <w:lang w:val="es-PR"/>
        </w:rPr>
        <w:tab/>
      </w:r>
      <w:r w:rsidRPr="00FD7C76">
        <w:rPr>
          <w:rFonts w:ascii="Book Antiqua" w:hAnsi="Book Antiqua"/>
          <w:lang w:val="es-PR"/>
        </w:rPr>
        <w:tab/>
      </w:r>
      <w:r w:rsidRPr="00FD7C76">
        <w:rPr>
          <w:rFonts w:ascii="Book Antiqua" w:hAnsi="Book Antiqua"/>
          <w:lang w:val="es-PR"/>
        </w:rPr>
        <w:tab/>
      </w:r>
      <w:r w:rsidRPr="00FD7C76">
        <w:rPr>
          <w:rFonts w:ascii="Book Antiqua" w:hAnsi="Book Antiqua"/>
          <w:lang w:val="es-PR"/>
        </w:rPr>
        <w:tab/>
      </w:r>
      <w:r w:rsidRPr="00FD7C76">
        <w:rPr>
          <w:rFonts w:ascii="Book Antiqua" w:hAnsi="Book Antiqua"/>
          <w:lang w:val="es-PR"/>
        </w:rPr>
        <w:tab/>
        <w:t xml:space="preserve">           1ra. </w:t>
      </w:r>
      <w:r w:rsidR="00585EFC" w:rsidRPr="00FD7C76">
        <w:rPr>
          <w:rFonts w:ascii="Book Antiqua" w:hAnsi="Book Antiqua"/>
          <w:lang w:val="es-PR"/>
        </w:rPr>
        <w:t>Sesión</w:t>
      </w:r>
    </w:p>
    <w:p w14:paraId="1170A598" w14:textId="430A5817" w:rsidR="00585EFC" w:rsidRPr="00FD7C76" w:rsidRDefault="00585EFC" w:rsidP="00BF0671">
      <w:pPr>
        <w:pStyle w:val="Title2"/>
        <w:tabs>
          <w:tab w:val="clear" w:pos="648"/>
          <w:tab w:val="clear" w:pos="7776"/>
          <w:tab w:val="clear" w:pos="7848"/>
        </w:tabs>
        <w:rPr>
          <w:rFonts w:ascii="Book Antiqua" w:hAnsi="Book Antiqua"/>
          <w:lang w:val="es-PR"/>
        </w:rPr>
      </w:pPr>
      <w:r w:rsidRPr="00FD7C76">
        <w:rPr>
          <w:rFonts w:ascii="Book Antiqua" w:hAnsi="Book Antiqua"/>
          <w:lang w:val="es-PR"/>
        </w:rPr>
        <w:tab/>
      </w:r>
      <w:r w:rsidR="003233EB" w:rsidRPr="00FD7C76">
        <w:rPr>
          <w:rFonts w:ascii="Book Antiqua" w:hAnsi="Book Antiqua"/>
          <w:lang w:val="es-PR"/>
        </w:rPr>
        <w:t xml:space="preserve"> </w:t>
      </w:r>
      <w:r w:rsidRPr="00FD7C76">
        <w:rPr>
          <w:rFonts w:ascii="Book Antiqua" w:hAnsi="Book Antiqua"/>
          <w:lang w:val="es-PR"/>
        </w:rPr>
        <w:t>Legislativa</w:t>
      </w:r>
      <w:r w:rsidRPr="00FD7C76">
        <w:rPr>
          <w:rFonts w:ascii="Book Antiqua" w:hAnsi="Book Antiqua"/>
          <w:lang w:val="es-PR"/>
        </w:rPr>
        <w:tab/>
      </w:r>
      <w:proofErr w:type="gramStart"/>
      <w:r w:rsidRPr="00FD7C76">
        <w:rPr>
          <w:rFonts w:ascii="Book Antiqua" w:hAnsi="Book Antiqua"/>
          <w:lang w:val="es-PR"/>
        </w:rPr>
        <w:tab/>
      </w:r>
      <w:r w:rsidR="003233EB" w:rsidRPr="00FD7C76">
        <w:rPr>
          <w:rFonts w:ascii="Book Antiqua" w:hAnsi="Book Antiqua"/>
          <w:lang w:val="es-PR"/>
        </w:rPr>
        <w:t xml:space="preserve">  </w:t>
      </w:r>
      <w:r w:rsidR="003233EB" w:rsidRPr="00FD7C76">
        <w:rPr>
          <w:rFonts w:ascii="Book Antiqua" w:hAnsi="Book Antiqua"/>
          <w:lang w:val="es-PR"/>
        </w:rPr>
        <w:tab/>
      </w:r>
      <w:proofErr w:type="gramEnd"/>
      <w:r w:rsidR="003233EB" w:rsidRPr="00FD7C76">
        <w:rPr>
          <w:rFonts w:ascii="Book Antiqua" w:hAnsi="Book Antiqua"/>
          <w:lang w:val="es-PR"/>
        </w:rPr>
        <w:tab/>
      </w:r>
      <w:r w:rsidR="003233EB" w:rsidRPr="00FD7C76">
        <w:rPr>
          <w:rFonts w:ascii="Book Antiqua" w:hAnsi="Book Antiqua"/>
          <w:lang w:val="es-PR"/>
        </w:rPr>
        <w:tab/>
      </w:r>
      <w:r w:rsidR="003233EB" w:rsidRPr="00FD7C76">
        <w:rPr>
          <w:rFonts w:ascii="Book Antiqua" w:hAnsi="Book Antiqua"/>
          <w:lang w:val="es-PR"/>
        </w:rPr>
        <w:tab/>
      </w:r>
      <w:r w:rsidR="003233EB" w:rsidRPr="00FD7C76">
        <w:rPr>
          <w:rFonts w:ascii="Book Antiqua" w:hAnsi="Book Antiqua"/>
          <w:lang w:val="es-PR"/>
        </w:rPr>
        <w:tab/>
      </w:r>
      <w:r w:rsidR="003233EB" w:rsidRPr="00FD7C76">
        <w:rPr>
          <w:rFonts w:ascii="Book Antiqua" w:hAnsi="Book Antiqua"/>
          <w:lang w:val="es-PR"/>
        </w:rPr>
        <w:tab/>
      </w:r>
      <w:r w:rsidR="003233EB" w:rsidRPr="00FD7C76">
        <w:rPr>
          <w:rFonts w:ascii="Book Antiqua" w:hAnsi="Book Antiqua"/>
          <w:lang w:val="es-PR"/>
        </w:rPr>
        <w:tab/>
        <w:t xml:space="preserve">      </w:t>
      </w:r>
      <w:r w:rsidRPr="00FD7C76">
        <w:rPr>
          <w:rFonts w:ascii="Book Antiqua" w:hAnsi="Book Antiqua"/>
          <w:lang w:val="es-PR"/>
        </w:rPr>
        <w:t>Ordinaria</w:t>
      </w:r>
    </w:p>
    <w:p w14:paraId="298D7357" w14:textId="77777777" w:rsidR="00585EFC" w:rsidRPr="00FD7C76" w:rsidRDefault="00585EFC" w:rsidP="00BF0671">
      <w:pPr>
        <w:rPr>
          <w:rFonts w:ascii="Book Antiqua" w:hAnsi="Book Antiqua"/>
          <w:lang w:val="es-PR"/>
        </w:rPr>
      </w:pPr>
    </w:p>
    <w:p w14:paraId="328E9025" w14:textId="77777777" w:rsidR="00585EFC" w:rsidRPr="00C55AE9" w:rsidRDefault="00585EFC" w:rsidP="00BF0671">
      <w:pPr>
        <w:jc w:val="center"/>
        <w:rPr>
          <w:rFonts w:ascii="Book Antiqua" w:hAnsi="Book Antiqua"/>
          <w:b/>
          <w:sz w:val="36"/>
          <w:lang w:val="es-ES_tradnl"/>
        </w:rPr>
      </w:pPr>
      <w:r w:rsidRPr="00C55AE9">
        <w:rPr>
          <w:rFonts w:ascii="Book Antiqua" w:hAnsi="Book Antiqua"/>
          <w:b/>
          <w:sz w:val="36"/>
          <w:lang w:val="es-ES_tradnl"/>
        </w:rPr>
        <w:t>CÁMARA DE REPRESENTANTES</w:t>
      </w:r>
    </w:p>
    <w:p w14:paraId="0E8FC90A" w14:textId="77777777" w:rsidR="00BF0671" w:rsidRPr="00BF0671" w:rsidRDefault="00BF0671" w:rsidP="00BF0671">
      <w:pPr>
        <w:jc w:val="center"/>
        <w:rPr>
          <w:rFonts w:ascii="Book Antiqua" w:hAnsi="Book Antiqua"/>
          <w:b/>
          <w:szCs w:val="24"/>
          <w:lang w:val="es-ES_tradnl"/>
        </w:rPr>
      </w:pPr>
    </w:p>
    <w:p w14:paraId="223CB67B" w14:textId="14EE21B5" w:rsidR="00585EFC" w:rsidRPr="00C55AE9" w:rsidRDefault="00585EFC" w:rsidP="00BF0671">
      <w:pPr>
        <w:jc w:val="center"/>
        <w:rPr>
          <w:rFonts w:ascii="Book Antiqua" w:hAnsi="Book Antiqua"/>
          <w:b/>
          <w:sz w:val="52"/>
          <w:lang w:val="es-ES_tradnl"/>
        </w:rPr>
      </w:pPr>
      <w:r w:rsidRPr="00C55AE9">
        <w:rPr>
          <w:rFonts w:ascii="Book Antiqua" w:hAnsi="Book Antiqua"/>
          <w:b/>
          <w:sz w:val="52"/>
          <w:lang w:val="es-ES_tradnl"/>
        </w:rPr>
        <w:t>P. de la C.</w:t>
      </w:r>
      <w:r w:rsidR="00EC29C6">
        <w:rPr>
          <w:rFonts w:ascii="Book Antiqua" w:hAnsi="Book Antiqua"/>
          <w:b/>
          <w:sz w:val="52"/>
          <w:lang w:val="es-ES_tradnl"/>
        </w:rPr>
        <w:t xml:space="preserve"> 390</w:t>
      </w:r>
      <w:r w:rsidRPr="00C55AE9">
        <w:rPr>
          <w:rFonts w:ascii="Book Antiqua" w:hAnsi="Book Antiqua"/>
          <w:b/>
          <w:sz w:val="52"/>
          <w:lang w:val="es-ES_tradnl"/>
        </w:rPr>
        <w:t xml:space="preserve"> </w:t>
      </w:r>
    </w:p>
    <w:p w14:paraId="098FAB34" w14:textId="77777777" w:rsidR="00BF0671" w:rsidRDefault="00BF0671" w:rsidP="00BF0671">
      <w:pPr>
        <w:jc w:val="center"/>
        <w:rPr>
          <w:rFonts w:ascii="Book Antiqua" w:hAnsi="Book Antiqua"/>
          <w:lang w:val="es-ES_tradnl"/>
        </w:rPr>
      </w:pPr>
    </w:p>
    <w:p w14:paraId="47141F25" w14:textId="5D4DB7C3" w:rsidR="00A65BF4" w:rsidRDefault="004F3403" w:rsidP="00BF0671">
      <w:pPr>
        <w:jc w:val="center"/>
        <w:rPr>
          <w:rFonts w:ascii="Book Antiqua" w:hAnsi="Book Antiqua"/>
          <w:lang w:val="es-ES_tradnl"/>
        </w:rPr>
      </w:pPr>
      <w:r>
        <w:rPr>
          <w:rFonts w:ascii="Book Antiqua" w:hAnsi="Book Antiqua"/>
          <w:lang w:val="es-ES_tradnl"/>
        </w:rPr>
        <w:t>10</w:t>
      </w:r>
      <w:r w:rsidR="005075AF" w:rsidRPr="00C55AE9">
        <w:rPr>
          <w:rFonts w:ascii="Book Antiqua" w:hAnsi="Book Antiqua"/>
          <w:lang w:val="es-ES_tradnl"/>
        </w:rPr>
        <w:t xml:space="preserve"> </w:t>
      </w:r>
      <w:r w:rsidR="00585EFC" w:rsidRPr="00C55AE9">
        <w:rPr>
          <w:rFonts w:ascii="Book Antiqua" w:hAnsi="Book Antiqua"/>
          <w:lang w:val="es-ES_tradnl"/>
        </w:rPr>
        <w:t xml:space="preserve">DE </w:t>
      </w:r>
      <w:r w:rsidR="006E418D" w:rsidRPr="00C55AE9">
        <w:rPr>
          <w:rFonts w:ascii="Book Antiqua" w:hAnsi="Book Antiqua"/>
          <w:lang w:val="es-ES_tradnl"/>
        </w:rPr>
        <w:t>MARZO</w:t>
      </w:r>
      <w:r w:rsidR="00585EFC" w:rsidRPr="00C55AE9">
        <w:rPr>
          <w:rFonts w:ascii="Book Antiqua" w:hAnsi="Book Antiqua"/>
          <w:lang w:val="es-ES_tradnl"/>
        </w:rPr>
        <w:t xml:space="preserve"> DE 202</w:t>
      </w:r>
      <w:r w:rsidR="008B32D3" w:rsidRPr="00C55AE9">
        <w:rPr>
          <w:rFonts w:ascii="Book Antiqua" w:hAnsi="Book Antiqua"/>
          <w:lang w:val="es-ES_tradnl"/>
        </w:rPr>
        <w:t>5</w:t>
      </w:r>
    </w:p>
    <w:p w14:paraId="36E9081D" w14:textId="77777777" w:rsidR="00BF0671" w:rsidRPr="00C55AE9" w:rsidRDefault="00BF0671" w:rsidP="00BF0671">
      <w:pPr>
        <w:jc w:val="center"/>
        <w:rPr>
          <w:rFonts w:ascii="Book Antiqua" w:hAnsi="Book Antiqua"/>
          <w:lang w:val="es-ES_tradnl"/>
        </w:rPr>
      </w:pPr>
    </w:p>
    <w:p w14:paraId="74CD16D6" w14:textId="05CF9E45" w:rsidR="00A65BF4" w:rsidRPr="00C55AE9" w:rsidRDefault="00A65BF4" w:rsidP="00BF0671">
      <w:pPr>
        <w:widowControl w:val="0"/>
        <w:ind w:left="450" w:hanging="450"/>
        <w:jc w:val="both"/>
        <w:rPr>
          <w:rFonts w:ascii="Book Antiqua" w:hAnsi="Book Antiqua"/>
          <w:i/>
          <w:lang w:val="es-ES_tradnl"/>
        </w:rPr>
      </w:pPr>
      <w:r w:rsidRPr="00C55AE9">
        <w:rPr>
          <w:rFonts w:ascii="Book Antiqua" w:hAnsi="Book Antiqua"/>
          <w:lang w:val="es-ES_tradnl"/>
        </w:rPr>
        <w:t>Presentado por l</w:t>
      </w:r>
      <w:r w:rsidR="003233EB">
        <w:rPr>
          <w:rFonts w:ascii="Book Antiqua" w:hAnsi="Book Antiqua"/>
          <w:lang w:val="es-ES_tradnl"/>
        </w:rPr>
        <w:t>a</w:t>
      </w:r>
      <w:r w:rsidRPr="00C55AE9">
        <w:rPr>
          <w:rFonts w:ascii="Book Antiqua" w:hAnsi="Book Antiqua"/>
          <w:lang w:val="es-ES_tradnl"/>
        </w:rPr>
        <w:t>s representantes</w:t>
      </w:r>
      <w:r w:rsidRPr="00C55AE9">
        <w:rPr>
          <w:rFonts w:ascii="Book Antiqua" w:hAnsi="Book Antiqua"/>
          <w:i/>
          <w:iCs/>
          <w:lang w:val="es-ES_tradnl"/>
        </w:rPr>
        <w:t xml:space="preserve"> </w:t>
      </w:r>
      <w:r w:rsidR="00925FB4" w:rsidRPr="00925FB4">
        <w:rPr>
          <w:rFonts w:ascii="Book Antiqua" w:hAnsi="Book Antiqua"/>
          <w:i/>
          <w:lang w:val="es-ES_tradnl"/>
        </w:rPr>
        <w:t>Hau, Higgins Cuadrado, Martínez Soto, Rosas Vargas, Vargas Laurean</w:t>
      </w:r>
      <w:r w:rsidR="00FD7C76">
        <w:rPr>
          <w:rFonts w:ascii="Book Antiqua" w:hAnsi="Book Antiqua"/>
          <w:i/>
          <w:lang w:val="es-ES_tradnl"/>
        </w:rPr>
        <w:t>o</w:t>
      </w:r>
      <w:r w:rsidR="00FD7C76" w:rsidRPr="00FD7C76">
        <w:rPr>
          <w:rFonts w:ascii="Book Antiqua" w:hAnsi="Book Antiqua"/>
          <w:i/>
          <w:lang w:val="es-PR"/>
        </w:rPr>
        <w:t>;</w:t>
      </w:r>
      <w:r w:rsidR="003233EB">
        <w:rPr>
          <w:rFonts w:ascii="Book Antiqua" w:hAnsi="Book Antiqua"/>
          <w:i/>
          <w:lang w:val="es-ES_tradnl"/>
        </w:rPr>
        <w:t xml:space="preserve"> </w:t>
      </w:r>
      <w:r w:rsidR="003233EB" w:rsidRPr="003233EB">
        <w:rPr>
          <w:rFonts w:ascii="Book Antiqua" w:hAnsi="Book Antiqua"/>
          <w:iCs/>
          <w:lang w:val="es-ES_tradnl"/>
        </w:rPr>
        <w:t>los representantes</w:t>
      </w:r>
      <w:r w:rsidR="003233EB">
        <w:rPr>
          <w:rFonts w:ascii="Book Antiqua" w:hAnsi="Book Antiqua"/>
          <w:i/>
          <w:lang w:val="es-ES_tradnl"/>
        </w:rPr>
        <w:t xml:space="preserve"> </w:t>
      </w:r>
      <w:r w:rsidRPr="00925FB4">
        <w:rPr>
          <w:rFonts w:ascii="Book Antiqua" w:hAnsi="Book Antiqua"/>
          <w:i/>
          <w:iCs/>
          <w:lang w:val="es-ES_tradnl"/>
        </w:rPr>
        <w:t>Ferrer Santiago</w:t>
      </w:r>
      <w:r w:rsidRPr="00925FB4">
        <w:rPr>
          <w:rFonts w:ascii="Book Antiqua" w:hAnsi="Book Antiqua"/>
          <w:i/>
          <w:lang w:val="es-ES_tradnl"/>
        </w:rPr>
        <w:t xml:space="preserve">, Torres García, Feliciano Sánchez, Figueroa Acevedo, </w:t>
      </w:r>
      <w:proofErr w:type="spellStart"/>
      <w:r w:rsidRPr="00925FB4">
        <w:rPr>
          <w:rFonts w:ascii="Book Antiqua" w:hAnsi="Book Antiqua"/>
          <w:i/>
          <w:lang w:val="es-ES_tradnl"/>
        </w:rPr>
        <w:t>Fourquet</w:t>
      </w:r>
      <w:proofErr w:type="spellEnd"/>
      <w:r w:rsidRPr="00925FB4">
        <w:rPr>
          <w:rFonts w:ascii="Book Antiqua" w:hAnsi="Book Antiqua"/>
          <w:i/>
          <w:lang w:val="es-ES_tradnl"/>
        </w:rPr>
        <w:t xml:space="preserve"> Cordero, </w:t>
      </w:r>
      <w:r w:rsidR="007B5FC3" w:rsidRPr="00925FB4">
        <w:rPr>
          <w:rFonts w:ascii="Book Antiqua" w:hAnsi="Book Antiqua"/>
          <w:i/>
          <w:lang w:val="es-ES_tradnl"/>
        </w:rPr>
        <w:t xml:space="preserve">Rivera </w:t>
      </w:r>
      <w:r w:rsidRPr="00925FB4">
        <w:rPr>
          <w:rFonts w:ascii="Book Antiqua" w:hAnsi="Book Antiqua"/>
          <w:i/>
          <w:lang w:val="es-ES_tradnl"/>
        </w:rPr>
        <w:t xml:space="preserve">Ruiz de Porras, Torres Cruz </w:t>
      </w:r>
      <w:r w:rsidR="00925FB4" w:rsidRPr="00925FB4">
        <w:rPr>
          <w:rFonts w:ascii="Book Antiqua" w:hAnsi="Book Antiqua"/>
          <w:i/>
          <w:lang w:val="es-ES_tradnl"/>
        </w:rPr>
        <w:t xml:space="preserve">y </w:t>
      </w:r>
      <w:r w:rsidRPr="00925FB4">
        <w:rPr>
          <w:rFonts w:ascii="Book Antiqua" w:hAnsi="Book Antiqua"/>
          <w:i/>
          <w:lang w:val="es-ES_tradnl"/>
        </w:rPr>
        <w:t>Varela Fernández</w:t>
      </w:r>
    </w:p>
    <w:p w14:paraId="10800D77" w14:textId="77777777" w:rsidR="00BF0671" w:rsidRDefault="00BF0671" w:rsidP="00BF0671">
      <w:pPr>
        <w:jc w:val="center"/>
        <w:rPr>
          <w:rFonts w:ascii="Book Antiqua" w:hAnsi="Book Antiqua"/>
          <w:lang w:val="es-ES_tradnl"/>
        </w:rPr>
      </w:pPr>
    </w:p>
    <w:p w14:paraId="6E1A0940" w14:textId="48DEA99B" w:rsidR="00585EFC" w:rsidRPr="00C55AE9" w:rsidRDefault="00585EFC" w:rsidP="00BF0671">
      <w:pPr>
        <w:jc w:val="center"/>
        <w:rPr>
          <w:rFonts w:ascii="Book Antiqua" w:hAnsi="Book Antiqua"/>
          <w:lang w:val="es-ES_tradnl"/>
        </w:rPr>
      </w:pPr>
      <w:r w:rsidRPr="00C55AE9">
        <w:rPr>
          <w:rFonts w:ascii="Book Antiqua" w:hAnsi="Book Antiqua"/>
          <w:lang w:val="es-ES_tradnl"/>
        </w:rPr>
        <w:t xml:space="preserve">Referido a </w:t>
      </w:r>
      <w:r w:rsidR="0015309F">
        <w:rPr>
          <w:rFonts w:ascii="Book Antiqua" w:hAnsi="Book Antiqua"/>
          <w:lang w:val="es-ES_tradnl"/>
        </w:rPr>
        <w:t>la Comisión del Trabajo y Asuntos Laborales</w:t>
      </w:r>
    </w:p>
    <w:p w14:paraId="77E1BC61" w14:textId="77777777" w:rsidR="00585EFC" w:rsidRPr="00C55AE9" w:rsidRDefault="00585EFC" w:rsidP="00BF0671">
      <w:pPr>
        <w:jc w:val="both"/>
        <w:rPr>
          <w:rFonts w:ascii="Book Antiqua" w:hAnsi="Book Antiqua"/>
          <w:lang w:val="es-ES_tradnl"/>
        </w:rPr>
      </w:pPr>
    </w:p>
    <w:p w14:paraId="2A04D73E" w14:textId="77777777" w:rsidR="00585EFC" w:rsidRPr="00C55AE9" w:rsidRDefault="00585EFC" w:rsidP="00BF0671">
      <w:pPr>
        <w:jc w:val="center"/>
        <w:rPr>
          <w:rFonts w:ascii="Book Antiqua" w:hAnsi="Book Antiqua"/>
          <w:b/>
          <w:sz w:val="28"/>
          <w:lang w:val="es-ES_tradnl"/>
        </w:rPr>
      </w:pPr>
      <w:r w:rsidRPr="00C55AE9">
        <w:rPr>
          <w:rFonts w:ascii="Book Antiqua" w:hAnsi="Book Antiqua"/>
          <w:b/>
          <w:sz w:val="28"/>
          <w:lang w:val="es-ES_tradnl"/>
        </w:rPr>
        <w:t>LEY</w:t>
      </w:r>
    </w:p>
    <w:p w14:paraId="16C21EB2" w14:textId="77777777" w:rsidR="00585EFC" w:rsidRPr="00C55AE9" w:rsidRDefault="00585EFC" w:rsidP="00BF0671">
      <w:pPr>
        <w:jc w:val="both"/>
        <w:rPr>
          <w:rFonts w:ascii="Book Antiqua" w:hAnsi="Book Antiqua"/>
          <w:lang w:val="es-ES_tradnl"/>
        </w:rPr>
      </w:pPr>
    </w:p>
    <w:p w14:paraId="64969D90" w14:textId="18795708" w:rsidR="00585EFC" w:rsidRDefault="00925FB4" w:rsidP="00BF0671">
      <w:pPr>
        <w:ind w:left="720" w:hanging="720"/>
        <w:jc w:val="both"/>
        <w:rPr>
          <w:rFonts w:ascii="Book Antiqua" w:hAnsi="Book Antiqua"/>
          <w:lang w:val="es-ES_tradnl"/>
        </w:rPr>
      </w:pPr>
      <w:r w:rsidRPr="00925FB4">
        <w:rPr>
          <w:rFonts w:ascii="Book Antiqua" w:hAnsi="Book Antiqua"/>
          <w:lang w:val="es-ES_tradnl"/>
        </w:rPr>
        <w:t>Para añadir un nuevo Artículo 8 y reenumerar los Artículos 8, 9, 10 y 11 como los nuevos Artículos 9, 10, 11 y 12, respectivamente, de la Ley 16-2017, según enmendada, conocida como "Ley de Igualdad Salarial de Puerto Rico"; añadir un nuevo inciso (j) al Artículo 10 de la Ley 73-2019, según enmendada, conocida como "Ley de la Administración de Servicios Generales para la Centralización de las Compras del Gobierno de Puerto Rico de 2019"; a los fines de crear el Programa de Auditoría de Igualdad Salarial, con el objetivo de establecer un mecanismo de fiscalización continua a los proveedores y contratistas del Gobierno de Puerto Rico que garantice el cumplimiento de la política pública de igualdad salarial entre mujeres y hombres, al tiempo que promueve la transparencia y la adopción de buenas prácticas laborales en las relaciones comerciales entre el gobierno y el sector privado; y para otros fines relacionados.</w:t>
      </w:r>
    </w:p>
    <w:p w14:paraId="6C09CA4F" w14:textId="77777777" w:rsidR="00BF0671" w:rsidRPr="00C55AE9" w:rsidRDefault="00BF0671" w:rsidP="00BF0671">
      <w:pPr>
        <w:ind w:left="720" w:hanging="720"/>
        <w:jc w:val="both"/>
        <w:rPr>
          <w:rFonts w:ascii="Book Antiqua" w:hAnsi="Book Antiqua"/>
          <w:lang w:val="es-ES_tradnl"/>
        </w:rPr>
      </w:pPr>
    </w:p>
    <w:p w14:paraId="01278804" w14:textId="77777777" w:rsidR="00585EFC" w:rsidRDefault="00585EFC" w:rsidP="00BF0671">
      <w:pPr>
        <w:ind w:firstLine="360"/>
        <w:jc w:val="center"/>
        <w:rPr>
          <w:rFonts w:ascii="Book Antiqua" w:hAnsi="Book Antiqua"/>
          <w:lang w:val="es-ES_tradnl"/>
        </w:rPr>
      </w:pPr>
      <w:r w:rsidRPr="00C55AE9">
        <w:rPr>
          <w:rFonts w:ascii="Book Antiqua" w:hAnsi="Book Antiqua"/>
          <w:lang w:val="es-ES_tradnl"/>
        </w:rPr>
        <w:t>EXPOSICIÓN DE MOTIVOS</w:t>
      </w:r>
    </w:p>
    <w:p w14:paraId="630AB2DC" w14:textId="77777777" w:rsidR="00BF0671" w:rsidRPr="00C55AE9" w:rsidRDefault="00BF0671" w:rsidP="00BF0671">
      <w:pPr>
        <w:ind w:firstLine="360"/>
        <w:jc w:val="center"/>
        <w:rPr>
          <w:rFonts w:ascii="Book Antiqua" w:hAnsi="Book Antiqua"/>
          <w:lang w:val="es-ES_tradnl"/>
        </w:rPr>
      </w:pPr>
    </w:p>
    <w:p w14:paraId="509E8019" w14:textId="24CC2A3C" w:rsidR="003A7EEE" w:rsidRDefault="003B497B" w:rsidP="00BF0671">
      <w:pPr>
        <w:widowControl w:val="0"/>
        <w:ind w:firstLine="720"/>
        <w:jc w:val="both"/>
        <w:rPr>
          <w:rFonts w:ascii="Book Antiqua" w:hAnsi="Book Antiqua"/>
          <w:color w:val="000000"/>
          <w:szCs w:val="24"/>
          <w:lang w:val="es-ES_tradnl"/>
        </w:rPr>
      </w:pPr>
      <w:r w:rsidRPr="003B497B">
        <w:rPr>
          <w:rFonts w:ascii="Book Antiqua" w:hAnsi="Book Antiqua"/>
          <w:color w:val="000000"/>
          <w:szCs w:val="24"/>
          <w:lang w:val="es-ES_tradnl"/>
        </w:rPr>
        <w:t>En pleno siglo XXI, Puerto Rico sigue enfrentando condiciones injustas para las mujeres en el ámbito laboral. A pesar de que la Sección 16 del Artículo II de la Constitución del Estado Libre Asociado de Puerto Rico establece que:  "El derecho de toda persona a recibir igual paga por igual trabajo será reconocido...", la realidad es que aún persisten amplias brechas salariales entre hombres y mujeres, incluso cuando realizan trabajo comparable que requiere las mismas destrezas, responsabilidades y esfuerzo bajo condiciones similares.</w:t>
      </w:r>
    </w:p>
    <w:p w14:paraId="79DD24A9" w14:textId="77777777" w:rsidR="003B497B" w:rsidRDefault="003B497B" w:rsidP="00BF0671">
      <w:pPr>
        <w:widowControl w:val="0"/>
        <w:ind w:firstLine="720"/>
        <w:jc w:val="both"/>
        <w:rPr>
          <w:rFonts w:ascii="Book Antiqua" w:hAnsi="Book Antiqua"/>
          <w:color w:val="000000"/>
          <w:szCs w:val="24"/>
          <w:lang w:val="es-ES_tradnl"/>
        </w:rPr>
      </w:pPr>
      <w:r w:rsidRPr="003B497B">
        <w:rPr>
          <w:rFonts w:ascii="Book Antiqua" w:hAnsi="Book Antiqua"/>
          <w:color w:val="000000"/>
          <w:szCs w:val="24"/>
          <w:lang w:val="es-ES_tradnl"/>
        </w:rPr>
        <w:lastRenderedPageBreak/>
        <w:t>La Ley 16-2017, conocida como la Ley de Igualdad Salarial de Puerto Rico, representó un adelanto significativo al adoptar un marco legal diseñado específicamente para erradicar el discrimen salarial por razón de sexo en Puerto Rico. Sin embargo, a más de 7 años de su aprobación, diversos informes y análisis han evidenciado que persisten serios retos de cumplimiento, especialmente entre proveedores y contratistas del Gobierno de Puerto Rico, quienes, como parte de sus relaciones contractuales con el Gobierno, deberían servir de modelo para el resto del sector privado. La falta de un mecanismo de fiscalización continua y estandarizada ha limitado el impacto real de la ley en estos sectores.</w:t>
      </w:r>
    </w:p>
    <w:p w14:paraId="3319E1FD" w14:textId="77777777" w:rsidR="00BF0671" w:rsidRDefault="00BF0671" w:rsidP="00BF0671">
      <w:pPr>
        <w:widowControl w:val="0"/>
        <w:ind w:firstLine="720"/>
        <w:jc w:val="both"/>
        <w:rPr>
          <w:rFonts w:ascii="Book Antiqua" w:hAnsi="Book Antiqua"/>
          <w:color w:val="000000"/>
          <w:szCs w:val="24"/>
          <w:lang w:val="es-ES_tradnl"/>
        </w:rPr>
      </w:pPr>
    </w:p>
    <w:p w14:paraId="47694AD6" w14:textId="77777777" w:rsidR="003B497B" w:rsidRDefault="003B497B" w:rsidP="00BF0671">
      <w:pPr>
        <w:widowControl w:val="0"/>
        <w:ind w:firstLine="720"/>
        <w:jc w:val="both"/>
        <w:rPr>
          <w:rFonts w:ascii="Book Antiqua" w:hAnsi="Book Antiqua"/>
          <w:color w:val="000000"/>
          <w:szCs w:val="24"/>
          <w:lang w:val="es-ES_tradnl"/>
        </w:rPr>
      </w:pPr>
      <w:r w:rsidRPr="003B497B">
        <w:rPr>
          <w:rFonts w:ascii="Book Antiqua" w:hAnsi="Book Antiqua"/>
          <w:color w:val="000000"/>
          <w:szCs w:val="24"/>
          <w:lang w:val="es-ES_tradnl"/>
        </w:rPr>
        <w:t xml:space="preserve">El informe "Paridad Salarial PRDOL - </w:t>
      </w:r>
      <w:proofErr w:type="spellStart"/>
      <w:r w:rsidRPr="003B497B">
        <w:rPr>
          <w:rFonts w:ascii="Book Antiqua" w:hAnsi="Book Antiqua"/>
          <w:color w:val="000000"/>
          <w:szCs w:val="24"/>
          <w:lang w:val="es-ES_tradnl"/>
        </w:rPr>
        <w:t>Equal</w:t>
      </w:r>
      <w:proofErr w:type="spellEnd"/>
      <w:r w:rsidRPr="003B497B">
        <w:rPr>
          <w:rFonts w:ascii="Book Antiqua" w:hAnsi="Book Antiqua"/>
          <w:color w:val="000000"/>
          <w:szCs w:val="24"/>
          <w:lang w:val="es-ES_tradnl"/>
        </w:rPr>
        <w:t xml:space="preserve"> </w:t>
      </w:r>
      <w:proofErr w:type="spellStart"/>
      <w:r w:rsidRPr="003B497B">
        <w:rPr>
          <w:rFonts w:ascii="Book Antiqua" w:hAnsi="Book Antiqua"/>
          <w:color w:val="000000"/>
          <w:szCs w:val="24"/>
          <w:lang w:val="es-ES_tradnl"/>
        </w:rPr>
        <w:t>Pay</w:t>
      </w:r>
      <w:proofErr w:type="spellEnd"/>
      <w:r w:rsidRPr="003B497B">
        <w:rPr>
          <w:rFonts w:ascii="Book Antiqua" w:hAnsi="Book Antiqua"/>
          <w:color w:val="000000"/>
          <w:szCs w:val="24"/>
          <w:lang w:val="es-ES_tradnl"/>
        </w:rPr>
        <w:t xml:space="preserve"> PR 2024" publicado por </w:t>
      </w:r>
      <w:proofErr w:type="spellStart"/>
      <w:r w:rsidRPr="003B497B">
        <w:rPr>
          <w:rFonts w:ascii="Book Antiqua" w:hAnsi="Book Antiqua"/>
          <w:color w:val="000000"/>
          <w:szCs w:val="24"/>
          <w:lang w:val="es-ES_tradnl"/>
        </w:rPr>
        <w:t>Women</w:t>
      </w:r>
      <w:proofErr w:type="spellEnd"/>
      <w:r w:rsidRPr="003B497B">
        <w:rPr>
          <w:rFonts w:ascii="Book Antiqua" w:hAnsi="Book Antiqua"/>
          <w:color w:val="000000"/>
          <w:szCs w:val="24"/>
          <w:lang w:val="es-ES_tradnl"/>
        </w:rPr>
        <w:t xml:space="preserve"> Who Lead preparado para el Departamento del Trabajo y Recursos Humanos (DTRH) reveló que, a pesar de los esfuerzos de algunas empresas privadas, aún existe una significativa brecha salarial de género en Puerto Rico. De acuerdo con el informe, las mujeres continúan ganando menos que los hombres por trabajos de igual valor, con una brecha salarial promedio de un 17% a nivel general. En algunos sectores específicos, como el financiero y de seguros, la brecha puede superar el 23%. Además, las mujeres representan solo un 26% de las posiciones de alta gerencia y un 17% en juntas directivas. El informe también evidenció que muchas trabajadoras desconocen las herramientas legales disponibles para reclamar sus derechos bajo la Ley 16-2017, lo que limita aún más el impacto de la legislación vigente.</w:t>
      </w:r>
    </w:p>
    <w:p w14:paraId="34C861FF" w14:textId="77777777" w:rsidR="00BF0671" w:rsidRDefault="00BF0671" w:rsidP="00BF0671">
      <w:pPr>
        <w:widowControl w:val="0"/>
        <w:ind w:firstLine="720"/>
        <w:jc w:val="both"/>
        <w:rPr>
          <w:rFonts w:ascii="Book Antiqua" w:hAnsi="Book Antiqua"/>
          <w:color w:val="000000"/>
          <w:szCs w:val="24"/>
          <w:lang w:val="es-ES_tradnl"/>
        </w:rPr>
      </w:pPr>
    </w:p>
    <w:p w14:paraId="010D3DBC" w14:textId="77777777" w:rsidR="003B497B" w:rsidRDefault="003B497B" w:rsidP="00BF0671">
      <w:pPr>
        <w:widowControl w:val="0"/>
        <w:ind w:firstLine="720"/>
        <w:jc w:val="both"/>
        <w:rPr>
          <w:rFonts w:ascii="Book Antiqua" w:hAnsi="Book Antiqua"/>
          <w:color w:val="000000"/>
          <w:szCs w:val="24"/>
          <w:lang w:val="es-ES_tradnl"/>
        </w:rPr>
      </w:pPr>
      <w:r w:rsidRPr="003B497B">
        <w:rPr>
          <w:rFonts w:ascii="Book Antiqua" w:hAnsi="Book Antiqua"/>
          <w:color w:val="000000"/>
          <w:szCs w:val="24"/>
          <w:lang w:val="es-ES_tradnl"/>
        </w:rPr>
        <w:t xml:space="preserve">El informe también destacó el valor de iniciativas voluntarias, como la certificación W </w:t>
      </w:r>
      <w:proofErr w:type="spellStart"/>
      <w:r w:rsidRPr="003B497B">
        <w:rPr>
          <w:rFonts w:ascii="Book Antiqua" w:hAnsi="Book Antiqua"/>
          <w:color w:val="000000"/>
          <w:szCs w:val="24"/>
          <w:lang w:val="es-ES_tradnl"/>
        </w:rPr>
        <w:t>Certified</w:t>
      </w:r>
      <w:proofErr w:type="spellEnd"/>
      <w:r w:rsidRPr="003B497B">
        <w:rPr>
          <w:rFonts w:ascii="Book Antiqua" w:hAnsi="Book Antiqua"/>
          <w:color w:val="000000"/>
          <w:szCs w:val="24"/>
          <w:lang w:val="es-ES_tradnl"/>
        </w:rPr>
        <w:t xml:space="preserve"> Company, que han servido como instrumentos efectivos para que las empresas adopten procesos internos de autoevaluación, establezcan políticas proactivas de igualdad salarial y evidencien cumplimiento ante sus trabajadores y clientes. </w:t>
      </w:r>
    </w:p>
    <w:p w14:paraId="5B5BAB4B" w14:textId="77777777" w:rsidR="00BF0671" w:rsidRDefault="00BF0671" w:rsidP="00BF0671">
      <w:pPr>
        <w:widowControl w:val="0"/>
        <w:ind w:firstLine="720"/>
        <w:jc w:val="both"/>
        <w:rPr>
          <w:rFonts w:ascii="Book Antiqua" w:hAnsi="Book Antiqua"/>
          <w:color w:val="000000"/>
          <w:szCs w:val="24"/>
          <w:lang w:val="es-ES_tradnl"/>
        </w:rPr>
      </w:pPr>
    </w:p>
    <w:p w14:paraId="24596504" w14:textId="77777777" w:rsidR="003B497B" w:rsidRDefault="003B497B" w:rsidP="00BF0671">
      <w:pPr>
        <w:widowControl w:val="0"/>
        <w:ind w:firstLine="720"/>
        <w:jc w:val="both"/>
        <w:rPr>
          <w:rFonts w:ascii="Book Antiqua" w:hAnsi="Book Antiqua"/>
          <w:color w:val="000000"/>
          <w:szCs w:val="24"/>
          <w:lang w:val="es-ES_tradnl"/>
        </w:rPr>
      </w:pPr>
      <w:r w:rsidRPr="003B497B">
        <w:rPr>
          <w:rFonts w:ascii="Book Antiqua" w:hAnsi="Book Antiqua"/>
          <w:color w:val="000000"/>
          <w:szCs w:val="24"/>
          <w:lang w:val="es-ES_tradnl"/>
        </w:rPr>
        <w:t xml:space="preserve">Ante este escenario, la Asamblea Legislativa de Puerto Rico </w:t>
      </w:r>
      <w:proofErr w:type="gramStart"/>
      <w:r w:rsidRPr="003B497B">
        <w:rPr>
          <w:rFonts w:ascii="Book Antiqua" w:hAnsi="Book Antiqua"/>
          <w:color w:val="000000"/>
          <w:szCs w:val="24"/>
          <w:lang w:val="es-ES_tradnl"/>
        </w:rPr>
        <w:t>estima necesario</w:t>
      </w:r>
      <w:proofErr w:type="gramEnd"/>
      <w:r w:rsidRPr="003B497B">
        <w:rPr>
          <w:rFonts w:ascii="Book Antiqua" w:hAnsi="Book Antiqua"/>
          <w:color w:val="000000"/>
          <w:szCs w:val="24"/>
          <w:lang w:val="es-ES_tradnl"/>
        </w:rPr>
        <w:t xml:space="preserve"> establecer un Programa de Auditoría de Igualdad Salarial para todos los proveedores y contratistas registrados en el Registro Único de Licitadores (RUL) de la Administración de Servicios Generales (ASG), así como para todo proveedor o contratista que mantenga contratos vigentes con agencias, instrumentalidades y municipios del Gobierno de Puerto Rico. Dicho programa será administrado por el Departamento del Trabajo y Recursos Humanos en coordinación con la Administración de Servicios Generales, y tendrá como objetivo garantizar el cumplimiento efectivo de la Ley 16-2017, según enmendada, utilizando auditorías periódicas para identificar, corregir y prevenir prácticas discriminatorias de pago.</w:t>
      </w:r>
    </w:p>
    <w:p w14:paraId="3FE40E82" w14:textId="77777777" w:rsidR="00BF0671" w:rsidRDefault="00BF0671" w:rsidP="00BF0671">
      <w:pPr>
        <w:widowControl w:val="0"/>
        <w:ind w:firstLine="720"/>
        <w:jc w:val="both"/>
        <w:rPr>
          <w:rFonts w:ascii="Book Antiqua" w:hAnsi="Book Antiqua"/>
          <w:color w:val="000000"/>
          <w:szCs w:val="24"/>
          <w:lang w:val="es-ES_tradnl"/>
        </w:rPr>
      </w:pPr>
    </w:p>
    <w:p w14:paraId="3CC3F8B5" w14:textId="77777777" w:rsidR="003B497B" w:rsidRDefault="003B497B" w:rsidP="00BF0671">
      <w:pPr>
        <w:widowControl w:val="0"/>
        <w:ind w:firstLine="720"/>
        <w:jc w:val="both"/>
        <w:rPr>
          <w:rFonts w:ascii="Book Antiqua" w:hAnsi="Book Antiqua"/>
          <w:color w:val="000000"/>
          <w:szCs w:val="24"/>
          <w:lang w:val="es-ES_tradnl"/>
        </w:rPr>
      </w:pPr>
      <w:r w:rsidRPr="003B497B">
        <w:rPr>
          <w:rFonts w:ascii="Book Antiqua" w:hAnsi="Book Antiqua"/>
          <w:color w:val="000000"/>
          <w:szCs w:val="24"/>
          <w:lang w:val="es-ES_tradnl"/>
        </w:rPr>
        <w:t xml:space="preserve">Este mecanismo asegurará que el Gobierno de Puerto Rico contrate con entidades que promuevan la equidad salarial, cumplan con las leyes laborales vigentes y sirvan como ejemplo de buenas prácticas de igualdad en el ámbito laboral. Además, promoverá que los proveedores y contratistas adopten políticas claras de cumplimiento y transparencia relacionadas con la igualdad salarial. </w:t>
      </w:r>
    </w:p>
    <w:p w14:paraId="554A5330" w14:textId="37185D67" w:rsidR="003B497B" w:rsidRDefault="003B497B" w:rsidP="00BF0671">
      <w:pPr>
        <w:widowControl w:val="0"/>
        <w:ind w:firstLine="720"/>
        <w:jc w:val="both"/>
        <w:rPr>
          <w:rFonts w:ascii="Book Antiqua" w:hAnsi="Book Antiqua"/>
          <w:color w:val="000000"/>
          <w:szCs w:val="24"/>
          <w:lang w:val="es-ES_tradnl"/>
        </w:rPr>
      </w:pPr>
      <w:r w:rsidRPr="003B497B">
        <w:rPr>
          <w:rFonts w:ascii="Book Antiqua" w:hAnsi="Book Antiqua"/>
          <w:color w:val="000000"/>
          <w:szCs w:val="24"/>
          <w:lang w:val="es-ES_tradnl"/>
        </w:rPr>
        <w:lastRenderedPageBreak/>
        <w:t>Con la aprobación de esta Ley, se fortalece el marco legal que promueve la transparencia y la adopción de políticas laborales responsables entre los proveedores y contratistas que hacen negocios con el Gobierno de Puerto Rico. Esta medida contribuirá a reducir la brecha salarial entre hombres y mujeres, garantizando que las empresas que forman parte de la cadena de suministros del gobierno adopten prácticas que promuevan la igualdad salarial, lo que a su vez redundará en un entorno laboral más justo y competitivo para todas las trabajadoras puertorriqueñas.</w:t>
      </w:r>
    </w:p>
    <w:p w14:paraId="1294BA33" w14:textId="77777777" w:rsidR="00BF0671" w:rsidRDefault="00BF0671" w:rsidP="00BF0671">
      <w:pPr>
        <w:widowControl w:val="0"/>
        <w:ind w:firstLine="720"/>
        <w:jc w:val="both"/>
        <w:rPr>
          <w:rFonts w:ascii="Book Antiqua" w:hAnsi="Book Antiqua"/>
          <w:color w:val="000000"/>
          <w:szCs w:val="24"/>
          <w:lang w:val="es-ES_tradnl"/>
        </w:rPr>
      </w:pPr>
    </w:p>
    <w:p w14:paraId="4144A45A" w14:textId="250D7455" w:rsidR="00C157DA" w:rsidRPr="00C55AE9" w:rsidRDefault="00585EFC" w:rsidP="00BF0671">
      <w:pPr>
        <w:widowControl w:val="0"/>
        <w:rPr>
          <w:rFonts w:ascii="Book Antiqua" w:hAnsi="Book Antiqua"/>
          <w:i/>
          <w:lang w:val="es-ES_tradnl"/>
        </w:rPr>
      </w:pPr>
      <w:r w:rsidRPr="00C55AE9">
        <w:rPr>
          <w:rFonts w:ascii="Book Antiqua" w:hAnsi="Book Antiqua"/>
          <w:i/>
          <w:lang w:val="es-ES_tradnl"/>
        </w:rPr>
        <w:t>DECRÉTASE POR LA ASAMBLEA LEGISLATIVA DE PUERTO RICO:</w:t>
      </w:r>
    </w:p>
    <w:p w14:paraId="66B09875" w14:textId="77777777" w:rsidR="00BF0671" w:rsidRDefault="00BF0671" w:rsidP="00BF0671">
      <w:pPr>
        <w:jc w:val="both"/>
        <w:rPr>
          <w:rFonts w:ascii="Book Antiqua" w:hAnsi="Book Antiqua"/>
          <w:lang w:val="es-ES_tradnl"/>
        </w:rPr>
      </w:pPr>
    </w:p>
    <w:p w14:paraId="6159AFC2" w14:textId="77777777" w:rsidR="00BF0671" w:rsidRPr="00C55AE9" w:rsidRDefault="00BF0671" w:rsidP="00BF0671">
      <w:pPr>
        <w:jc w:val="both"/>
        <w:rPr>
          <w:rFonts w:ascii="Book Antiqua" w:hAnsi="Book Antiqua"/>
          <w:lang w:val="es-ES_tradnl"/>
        </w:rPr>
        <w:sectPr w:rsidR="00BF0671" w:rsidRPr="00C55AE9">
          <w:headerReference w:type="default" r:id="rId8"/>
          <w:type w:val="continuous"/>
          <w:pgSz w:w="12240" w:h="15840" w:code="1"/>
          <w:pgMar w:top="1440" w:right="1440" w:bottom="1440" w:left="1440" w:header="720" w:footer="720" w:gutter="0"/>
          <w:cols w:space="720"/>
          <w:titlePg/>
        </w:sectPr>
      </w:pPr>
    </w:p>
    <w:p w14:paraId="76A94B47" w14:textId="71D05F82" w:rsidR="00427452" w:rsidRPr="00C55AE9" w:rsidRDefault="00427452" w:rsidP="00BF0671">
      <w:pPr>
        <w:widowControl w:val="0"/>
        <w:spacing w:line="480" w:lineRule="auto"/>
        <w:ind w:firstLine="540"/>
        <w:jc w:val="both"/>
        <w:rPr>
          <w:rFonts w:ascii="Book Antiqua" w:hAnsi="Book Antiqua"/>
          <w:lang w:val="es-ES_tradnl"/>
        </w:rPr>
      </w:pPr>
      <w:r w:rsidRPr="00C55AE9">
        <w:rPr>
          <w:rFonts w:ascii="Book Antiqua" w:hAnsi="Book Antiqua"/>
          <w:lang w:val="es-ES_tradnl"/>
        </w:rPr>
        <w:t xml:space="preserve">Sección </w:t>
      </w:r>
      <w:r w:rsidR="00B215E2">
        <w:rPr>
          <w:rFonts w:ascii="Book Antiqua" w:hAnsi="Book Antiqua"/>
          <w:lang w:val="es-ES_tradnl"/>
        </w:rPr>
        <w:t>1</w:t>
      </w:r>
      <w:r w:rsidRPr="00C55AE9">
        <w:rPr>
          <w:rFonts w:ascii="Book Antiqua" w:hAnsi="Book Antiqua"/>
          <w:lang w:val="es-ES_tradnl"/>
        </w:rPr>
        <w:t>. – Se añade un nuevo Artículo 8 en la Ley 16-2017, según enmendada, conocida como “Ley de Igualdad Salarial de Puerto Rico” para que lean como sigue:</w:t>
      </w:r>
    </w:p>
    <w:p w14:paraId="185A708E" w14:textId="1279A81F" w:rsidR="003B602C" w:rsidRPr="00B215E2" w:rsidRDefault="003B602C" w:rsidP="00BF0671">
      <w:pPr>
        <w:widowControl w:val="0"/>
        <w:spacing w:line="480" w:lineRule="auto"/>
        <w:ind w:firstLine="540"/>
        <w:jc w:val="both"/>
        <w:rPr>
          <w:rFonts w:ascii="Book Antiqua" w:hAnsi="Book Antiqua"/>
          <w:i/>
          <w:iCs/>
          <w:color w:val="000000"/>
          <w:lang w:val="es-ES_tradnl"/>
        </w:rPr>
      </w:pPr>
      <w:r w:rsidRPr="00B215E2">
        <w:rPr>
          <w:rFonts w:ascii="Book Antiqua" w:hAnsi="Book Antiqua"/>
          <w:i/>
          <w:iCs/>
          <w:color w:val="000000"/>
          <w:lang w:val="es-ES_tradnl"/>
        </w:rPr>
        <w:t xml:space="preserve">“Artículo 8. </w:t>
      </w:r>
      <w:r w:rsidRPr="00B215E2">
        <w:rPr>
          <w:rFonts w:ascii="Book Antiqua" w:hAnsi="Book Antiqua"/>
          <w:i/>
          <w:iCs/>
          <w:lang w:val="es-ES_tradnl"/>
        </w:rPr>
        <w:t>–</w:t>
      </w:r>
      <w:r w:rsidRPr="00B215E2">
        <w:rPr>
          <w:rFonts w:ascii="Book Antiqua" w:hAnsi="Book Antiqua"/>
          <w:i/>
          <w:iCs/>
          <w:color w:val="000000"/>
          <w:lang w:val="es-ES_tradnl"/>
        </w:rPr>
        <w:t xml:space="preserve"> Programa de Auditoria de Igualdad Salarial.</w:t>
      </w:r>
    </w:p>
    <w:p w14:paraId="291BAAA5" w14:textId="6CDDA526" w:rsidR="00EE19F5" w:rsidRPr="00B215E2" w:rsidRDefault="003B602C" w:rsidP="00BF0671">
      <w:pPr>
        <w:widowControl w:val="0"/>
        <w:spacing w:line="480" w:lineRule="auto"/>
        <w:ind w:firstLine="540"/>
        <w:jc w:val="both"/>
        <w:rPr>
          <w:rFonts w:ascii="Book Antiqua" w:hAnsi="Book Antiqua"/>
          <w:i/>
          <w:iCs/>
          <w:color w:val="000000"/>
          <w:lang w:val="es-ES_tradnl"/>
        </w:rPr>
      </w:pPr>
      <w:r w:rsidRPr="00B215E2">
        <w:rPr>
          <w:rFonts w:ascii="Book Antiqua" w:hAnsi="Book Antiqua"/>
          <w:i/>
          <w:iCs/>
          <w:color w:val="000000"/>
          <w:lang w:val="es-ES_tradnl"/>
        </w:rPr>
        <w:t xml:space="preserve">Se crea el </w:t>
      </w:r>
      <w:r w:rsidRPr="00B215E2">
        <w:rPr>
          <w:rFonts w:ascii="Book Antiqua" w:hAnsi="Book Antiqua"/>
          <w:i/>
          <w:iCs/>
          <w:color w:val="000000"/>
          <w:szCs w:val="24"/>
          <w:lang w:val="es-ES_tradnl"/>
        </w:rPr>
        <w:t>Programa de Auditoria de Igualdad Salarial</w:t>
      </w:r>
      <w:r w:rsidR="00C55AE9" w:rsidRPr="00B215E2">
        <w:rPr>
          <w:rFonts w:ascii="Book Antiqua" w:hAnsi="Book Antiqua"/>
          <w:i/>
          <w:iCs/>
          <w:color w:val="000000"/>
          <w:szCs w:val="24"/>
          <w:lang w:val="es-ES_tradnl"/>
        </w:rPr>
        <w:t xml:space="preserve"> el cual </w:t>
      </w:r>
      <w:r w:rsidR="00EE19F5" w:rsidRPr="00B215E2">
        <w:rPr>
          <w:rFonts w:ascii="Book Antiqua" w:hAnsi="Book Antiqua"/>
          <w:i/>
          <w:iCs/>
          <w:color w:val="000000"/>
          <w:szCs w:val="24"/>
          <w:lang w:val="es-ES_tradnl"/>
        </w:rPr>
        <w:t>tendrá como propósito principal garantizar que todos los proveedores y contratistas registrados en el Registro Único de Licitadores (RUL) de la Administración de Servicios Generales (ASG), así como los contratistas de agencias, instrumentalidades y municipios del Gobierno de Puerto Rico, cumplan con las disposiciones de esta Ley.</w:t>
      </w:r>
    </w:p>
    <w:p w14:paraId="72AECA84" w14:textId="5EE6EC43" w:rsidR="00427452" w:rsidRPr="00B215E2" w:rsidRDefault="00C55AE9" w:rsidP="00BF0671">
      <w:pPr>
        <w:widowControl w:val="0"/>
        <w:spacing w:line="480" w:lineRule="auto"/>
        <w:ind w:firstLine="540"/>
        <w:jc w:val="both"/>
        <w:rPr>
          <w:rFonts w:ascii="Book Antiqua" w:hAnsi="Book Antiqua"/>
          <w:i/>
          <w:iCs/>
          <w:color w:val="000000"/>
          <w:lang w:val="es-ES_tradnl"/>
        </w:rPr>
      </w:pPr>
      <w:r w:rsidRPr="00B215E2">
        <w:rPr>
          <w:rFonts w:ascii="Book Antiqua" w:hAnsi="Book Antiqua"/>
          <w:i/>
          <w:iCs/>
          <w:color w:val="000000"/>
          <w:lang w:val="es-ES_tradnl"/>
        </w:rPr>
        <w:t>S</w:t>
      </w:r>
      <w:r w:rsidR="003B602C" w:rsidRPr="00B215E2">
        <w:rPr>
          <w:rFonts w:ascii="Book Antiqua" w:hAnsi="Book Antiqua"/>
          <w:i/>
          <w:iCs/>
          <w:color w:val="000000"/>
          <w:lang w:val="es-ES_tradnl"/>
        </w:rPr>
        <w:t>erá establecido y administrado por</w:t>
      </w:r>
      <w:r w:rsidR="00427452" w:rsidRPr="00B215E2">
        <w:rPr>
          <w:rFonts w:ascii="Book Antiqua" w:hAnsi="Book Antiqua"/>
          <w:i/>
          <w:iCs/>
          <w:color w:val="000000"/>
          <w:lang w:val="es-ES_tradnl"/>
        </w:rPr>
        <w:t xml:space="preserve"> Departamento del Trabajo y Recursos Humanos de Puerto Rico (DTRH), en coordinación con la Administración de Servicios Generales de Puerto Rico (ASG)</w:t>
      </w:r>
      <w:r w:rsidR="003B602C" w:rsidRPr="00B215E2">
        <w:rPr>
          <w:rFonts w:ascii="Book Antiqua" w:hAnsi="Book Antiqua"/>
          <w:i/>
          <w:iCs/>
          <w:color w:val="000000"/>
          <w:lang w:val="es-ES_tradnl"/>
        </w:rPr>
        <w:t xml:space="preserve">. </w:t>
      </w:r>
      <w:r w:rsidRPr="00B215E2">
        <w:rPr>
          <w:rFonts w:ascii="Book Antiqua" w:hAnsi="Book Antiqua"/>
          <w:i/>
          <w:iCs/>
          <w:color w:val="000000"/>
          <w:lang w:val="es-ES_tradnl"/>
        </w:rPr>
        <w:t>T</w:t>
      </w:r>
      <w:r w:rsidR="003B602C" w:rsidRPr="00B215E2">
        <w:rPr>
          <w:rFonts w:ascii="Book Antiqua" w:hAnsi="Book Antiqua"/>
          <w:i/>
          <w:iCs/>
          <w:color w:val="000000"/>
          <w:lang w:val="es-ES_tradnl"/>
        </w:rPr>
        <w:t>endrá jurisdicción sobre</w:t>
      </w:r>
      <w:r w:rsidR="00427452" w:rsidRPr="00B215E2">
        <w:rPr>
          <w:rFonts w:ascii="Book Antiqua" w:hAnsi="Book Antiqua"/>
          <w:i/>
          <w:iCs/>
          <w:color w:val="000000"/>
          <w:lang w:val="es-ES_tradnl"/>
        </w:rPr>
        <w:t xml:space="preserve"> todos los proveedores y contratistas registrados en el Registro Único de Licitadores (RUL) y </w:t>
      </w:r>
      <w:r w:rsidRPr="00B215E2">
        <w:rPr>
          <w:rFonts w:ascii="Book Antiqua" w:hAnsi="Book Antiqua"/>
          <w:i/>
          <w:iCs/>
          <w:color w:val="000000"/>
          <w:lang w:val="es-ES_tradnl"/>
        </w:rPr>
        <w:t xml:space="preserve">sobre </w:t>
      </w:r>
      <w:r w:rsidR="00427452" w:rsidRPr="00B215E2">
        <w:rPr>
          <w:rFonts w:ascii="Book Antiqua" w:hAnsi="Book Antiqua"/>
          <w:i/>
          <w:iCs/>
          <w:color w:val="000000"/>
          <w:lang w:val="es-ES_tradnl"/>
        </w:rPr>
        <w:t>todo proveedor contratado por cualquier agencia, instrumentalidad o municipio del Gobierno de Puerto Rico.</w:t>
      </w:r>
    </w:p>
    <w:p w14:paraId="1BF8D56E" w14:textId="441945B4" w:rsidR="00427452" w:rsidRPr="00B215E2" w:rsidRDefault="00427452" w:rsidP="00BF0671">
      <w:pPr>
        <w:widowControl w:val="0"/>
        <w:spacing w:line="480" w:lineRule="auto"/>
        <w:ind w:firstLine="540"/>
        <w:jc w:val="both"/>
        <w:rPr>
          <w:rFonts w:ascii="Book Antiqua" w:hAnsi="Book Antiqua"/>
          <w:i/>
          <w:iCs/>
          <w:color w:val="000000"/>
          <w:lang w:val="es-ES_tradnl"/>
        </w:rPr>
      </w:pPr>
      <w:r w:rsidRPr="00B215E2">
        <w:rPr>
          <w:rFonts w:ascii="Book Antiqua" w:hAnsi="Book Antiqua"/>
          <w:i/>
          <w:iCs/>
          <w:color w:val="000000"/>
          <w:lang w:val="es-ES_tradnl"/>
        </w:rPr>
        <w:t xml:space="preserve">Como parte de este programa, el Departamento del Trabajo y Recursos Humanos, </w:t>
      </w:r>
      <w:r w:rsidR="003B602C" w:rsidRPr="00B215E2">
        <w:rPr>
          <w:rFonts w:ascii="Book Antiqua" w:hAnsi="Book Antiqua"/>
          <w:i/>
          <w:iCs/>
          <w:color w:val="000000"/>
          <w:lang w:val="es-ES_tradnl"/>
        </w:rPr>
        <w:t xml:space="preserve">en coordinación con la Administración de Servicios Generales de Puerto Rico (ASG), </w:t>
      </w:r>
      <w:r w:rsidR="0096669B">
        <w:rPr>
          <w:rFonts w:ascii="Book Antiqua" w:hAnsi="Book Antiqua"/>
          <w:i/>
          <w:iCs/>
          <w:color w:val="000000"/>
          <w:lang w:val="es-ES_tradnl"/>
        </w:rPr>
        <w:t xml:space="preserve">auditará a cada patrono al menos una vez cada tres (3) años </w:t>
      </w:r>
      <w:r w:rsidRPr="00B215E2">
        <w:rPr>
          <w:rFonts w:ascii="Book Antiqua" w:hAnsi="Book Antiqua"/>
          <w:i/>
          <w:iCs/>
          <w:color w:val="000000"/>
          <w:lang w:val="es-ES_tradnl"/>
        </w:rPr>
        <w:t>para verificar que cada proveedor o contratista</w:t>
      </w:r>
      <w:r w:rsidR="00C55AE9" w:rsidRPr="00B215E2">
        <w:rPr>
          <w:rFonts w:ascii="Book Antiqua" w:hAnsi="Book Antiqua"/>
          <w:i/>
          <w:iCs/>
          <w:color w:val="000000"/>
          <w:lang w:val="es-ES_tradnl"/>
        </w:rPr>
        <w:t>,</w:t>
      </w:r>
      <w:r w:rsidRPr="00B215E2">
        <w:rPr>
          <w:rFonts w:ascii="Book Antiqua" w:hAnsi="Book Antiqua"/>
          <w:i/>
          <w:iCs/>
          <w:color w:val="000000"/>
          <w:lang w:val="es-ES_tradnl"/>
        </w:rPr>
        <w:t xml:space="preserve"> </w:t>
      </w:r>
      <w:r w:rsidR="00C55AE9" w:rsidRPr="00B215E2">
        <w:rPr>
          <w:rFonts w:ascii="Book Antiqua" w:hAnsi="Book Antiqua"/>
          <w:i/>
          <w:iCs/>
          <w:color w:val="000000"/>
          <w:lang w:val="es-ES_tradnl"/>
        </w:rPr>
        <w:t xml:space="preserve">sujeto a las disposiciones de este artículo, </w:t>
      </w:r>
      <w:r w:rsidRPr="00B215E2">
        <w:rPr>
          <w:rFonts w:ascii="Book Antiqua" w:hAnsi="Book Antiqua"/>
          <w:i/>
          <w:iCs/>
          <w:color w:val="000000"/>
          <w:lang w:val="es-ES_tradnl"/>
        </w:rPr>
        <w:t>cumpl</w:t>
      </w:r>
      <w:r w:rsidR="003B602C" w:rsidRPr="00B215E2">
        <w:rPr>
          <w:rFonts w:ascii="Book Antiqua" w:hAnsi="Book Antiqua"/>
          <w:i/>
          <w:iCs/>
          <w:color w:val="000000"/>
          <w:lang w:val="es-ES_tradnl"/>
        </w:rPr>
        <w:t>a</w:t>
      </w:r>
      <w:r w:rsidRPr="00B215E2">
        <w:rPr>
          <w:rFonts w:ascii="Book Antiqua" w:hAnsi="Book Antiqua"/>
          <w:i/>
          <w:iCs/>
          <w:color w:val="000000"/>
          <w:lang w:val="es-ES_tradnl"/>
        </w:rPr>
        <w:t xml:space="preserve"> con las disposiciones de </w:t>
      </w:r>
      <w:r w:rsidR="00EE19F5" w:rsidRPr="00B215E2">
        <w:rPr>
          <w:rFonts w:ascii="Book Antiqua" w:hAnsi="Book Antiqua"/>
          <w:i/>
          <w:iCs/>
          <w:color w:val="000000"/>
          <w:lang w:val="es-ES_tradnl"/>
        </w:rPr>
        <w:t>esta</w:t>
      </w:r>
      <w:r w:rsidRPr="00B215E2">
        <w:rPr>
          <w:rFonts w:ascii="Book Antiqua" w:hAnsi="Book Antiqua"/>
          <w:i/>
          <w:iCs/>
          <w:color w:val="000000"/>
          <w:lang w:val="es-ES_tradnl"/>
        </w:rPr>
        <w:t xml:space="preserve"> Ley.</w:t>
      </w:r>
      <w:r w:rsidR="0096669B">
        <w:rPr>
          <w:rFonts w:ascii="Book Antiqua" w:hAnsi="Book Antiqua"/>
          <w:i/>
          <w:iCs/>
          <w:color w:val="000000"/>
          <w:lang w:val="es-ES_tradnl"/>
        </w:rPr>
        <w:t xml:space="preserve"> E</w:t>
      </w:r>
      <w:r w:rsidR="007A309C">
        <w:rPr>
          <w:rFonts w:ascii="Book Antiqua" w:hAnsi="Book Antiqua"/>
          <w:i/>
          <w:iCs/>
          <w:color w:val="000000"/>
          <w:lang w:val="es-ES_tradnl"/>
        </w:rPr>
        <w:t>l</w:t>
      </w:r>
      <w:r w:rsidR="0096669B">
        <w:rPr>
          <w:rFonts w:ascii="Book Antiqua" w:hAnsi="Book Antiqua"/>
          <w:i/>
          <w:iCs/>
          <w:color w:val="000000"/>
          <w:lang w:val="es-ES_tradnl"/>
        </w:rPr>
        <w:t xml:space="preserve"> Departamento </w:t>
      </w:r>
      <w:r w:rsidR="0096669B">
        <w:rPr>
          <w:rFonts w:ascii="Book Antiqua" w:hAnsi="Book Antiqua"/>
          <w:i/>
          <w:iCs/>
          <w:color w:val="000000"/>
          <w:lang w:val="es-ES_tradnl"/>
        </w:rPr>
        <w:lastRenderedPageBreak/>
        <w:t xml:space="preserve">tendrá un término no mayor de tres (3) años a partir de la vigencia de esta Ley para completar al menos una auditoria por </w:t>
      </w:r>
      <w:r w:rsidR="007A309C">
        <w:rPr>
          <w:rFonts w:ascii="Book Antiqua" w:hAnsi="Book Antiqua"/>
          <w:i/>
          <w:iCs/>
          <w:color w:val="000000"/>
          <w:lang w:val="es-ES_tradnl"/>
        </w:rPr>
        <w:t>cada</w:t>
      </w:r>
      <w:r w:rsidR="0096669B">
        <w:rPr>
          <w:rFonts w:ascii="Book Antiqua" w:hAnsi="Book Antiqua"/>
          <w:i/>
          <w:iCs/>
          <w:color w:val="000000"/>
          <w:lang w:val="es-ES_tradnl"/>
        </w:rPr>
        <w:t xml:space="preserve"> patrono.</w:t>
      </w:r>
    </w:p>
    <w:p w14:paraId="6AB606E0" w14:textId="2737A927" w:rsidR="00EE19F5" w:rsidRPr="00B215E2" w:rsidRDefault="00427452" w:rsidP="00BF0671">
      <w:pPr>
        <w:widowControl w:val="0"/>
        <w:spacing w:line="480" w:lineRule="auto"/>
        <w:ind w:firstLine="540"/>
        <w:jc w:val="both"/>
        <w:rPr>
          <w:rFonts w:ascii="Book Antiqua" w:hAnsi="Book Antiqua"/>
          <w:i/>
          <w:iCs/>
          <w:color w:val="000000"/>
          <w:lang w:val="es-ES_tradnl"/>
        </w:rPr>
      </w:pPr>
      <w:r w:rsidRPr="00B215E2">
        <w:rPr>
          <w:rFonts w:ascii="Book Antiqua" w:hAnsi="Book Antiqua"/>
          <w:i/>
          <w:iCs/>
          <w:color w:val="000000"/>
          <w:lang w:val="es-ES_tradnl"/>
        </w:rPr>
        <w:t>Los proveedores y contratistas tendrán la obligación de facilitar todos los documentos</w:t>
      </w:r>
      <w:r w:rsidR="00EE19F5" w:rsidRPr="00B215E2">
        <w:rPr>
          <w:rFonts w:ascii="Book Antiqua" w:hAnsi="Book Antiqua"/>
          <w:i/>
          <w:iCs/>
          <w:color w:val="000000"/>
          <w:lang w:val="es-ES_tradnl"/>
        </w:rPr>
        <w:t xml:space="preserve"> </w:t>
      </w:r>
      <w:r w:rsidRPr="00B215E2">
        <w:rPr>
          <w:rFonts w:ascii="Book Antiqua" w:hAnsi="Book Antiqua"/>
          <w:i/>
          <w:iCs/>
          <w:color w:val="000000"/>
          <w:lang w:val="es-ES_tradnl"/>
        </w:rPr>
        <w:t xml:space="preserve">y cualquier otra información </w:t>
      </w:r>
      <w:r w:rsidR="00C55AE9" w:rsidRPr="00B215E2">
        <w:rPr>
          <w:rFonts w:ascii="Book Antiqua" w:hAnsi="Book Antiqua"/>
          <w:i/>
          <w:iCs/>
          <w:color w:val="000000"/>
          <w:lang w:val="es-ES_tradnl"/>
        </w:rPr>
        <w:t xml:space="preserve">requerida por el Departamento del Trabajo y Recursos Humanos o por la Administración de Servicios Generales de Puerto Rico (ASG) </w:t>
      </w:r>
      <w:r w:rsidRPr="00B215E2">
        <w:rPr>
          <w:rFonts w:ascii="Book Antiqua" w:hAnsi="Book Antiqua"/>
          <w:i/>
          <w:iCs/>
          <w:color w:val="000000"/>
          <w:lang w:val="es-ES_tradnl"/>
        </w:rPr>
        <w:t>para validar el cumplimiento</w:t>
      </w:r>
      <w:r w:rsidR="00EE19F5" w:rsidRPr="00B215E2">
        <w:rPr>
          <w:rFonts w:ascii="Book Antiqua" w:hAnsi="Book Antiqua"/>
          <w:i/>
          <w:iCs/>
          <w:color w:val="000000"/>
          <w:lang w:val="es-ES_tradnl"/>
        </w:rPr>
        <w:t xml:space="preserve"> con lo dispuesto en esta Ley</w:t>
      </w:r>
      <w:r w:rsidRPr="00B215E2">
        <w:rPr>
          <w:rFonts w:ascii="Book Antiqua" w:hAnsi="Book Antiqua"/>
          <w:i/>
          <w:iCs/>
          <w:color w:val="000000"/>
          <w:lang w:val="es-ES_tradnl"/>
        </w:rPr>
        <w:t xml:space="preserve">. </w:t>
      </w:r>
    </w:p>
    <w:p w14:paraId="5FE5CB90" w14:textId="208A2024" w:rsidR="00C55AE9" w:rsidRPr="00B215E2" w:rsidRDefault="00C55AE9" w:rsidP="00BF0671">
      <w:pPr>
        <w:widowControl w:val="0"/>
        <w:spacing w:line="480" w:lineRule="auto"/>
        <w:ind w:firstLine="540"/>
        <w:jc w:val="both"/>
        <w:rPr>
          <w:rFonts w:ascii="Book Antiqua" w:hAnsi="Book Antiqua"/>
          <w:i/>
          <w:iCs/>
          <w:color w:val="000000"/>
          <w:lang w:val="es-ES_tradnl"/>
        </w:rPr>
      </w:pPr>
      <w:r w:rsidRPr="00B215E2">
        <w:rPr>
          <w:rFonts w:ascii="Book Antiqua" w:hAnsi="Book Antiqua"/>
          <w:i/>
          <w:iCs/>
          <w:color w:val="000000"/>
          <w:lang w:val="es-ES_tradnl"/>
        </w:rPr>
        <w:t xml:space="preserve">Los proveedores y contratistas podrán acreditar el cumplimiento con lo establecido en esta Ley mediante la presentación de una </w:t>
      </w:r>
      <w:r w:rsidRPr="00B215E2">
        <w:rPr>
          <w:rFonts w:ascii="Book Antiqua" w:hAnsi="Book Antiqua"/>
          <w:i/>
          <w:iCs/>
          <w:color w:val="000000"/>
          <w:szCs w:val="24"/>
          <w:lang w:val="es-ES_tradnl"/>
        </w:rPr>
        <w:t>certificación de igualdad salarial vigente reconocida por el Departamento del Trabajo y Recursos Humanos.</w:t>
      </w:r>
    </w:p>
    <w:p w14:paraId="6CE4C30A" w14:textId="01931C48" w:rsidR="00427452" w:rsidRPr="00B215E2" w:rsidRDefault="00427452" w:rsidP="00BF0671">
      <w:pPr>
        <w:widowControl w:val="0"/>
        <w:spacing w:line="480" w:lineRule="auto"/>
        <w:ind w:firstLine="540"/>
        <w:jc w:val="both"/>
        <w:rPr>
          <w:rFonts w:ascii="Book Antiqua" w:hAnsi="Book Antiqua"/>
          <w:i/>
          <w:iCs/>
          <w:color w:val="000000"/>
          <w:lang w:val="es-ES_tradnl"/>
        </w:rPr>
      </w:pPr>
      <w:r w:rsidRPr="00B215E2">
        <w:rPr>
          <w:rFonts w:ascii="Book Antiqua" w:hAnsi="Book Antiqua"/>
          <w:i/>
          <w:iCs/>
          <w:color w:val="000000"/>
          <w:lang w:val="es-ES_tradnl"/>
        </w:rPr>
        <w:t xml:space="preserve">El incumplimiento </w:t>
      </w:r>
      <w:r w:rsidR="00EE19F5" w:rsidRPr="00B215E2">
        <w:rPr>
          <w:rFonts w:ascii="Book Antiqua" w:hAnsi="Book Antiqua"/>
          <w:i/>
          <w:iCs/>
          <w:color w:val="000000"/>
          <w:lang w:val="es-ES_tradnl"/>
        </w:rPr>
        <w:t xml:space="preserve">por parte de los proveedores y contratistas sujetos a las disposiciones de este </w:t>
      </w:r>
      <w:r w:rsidR="00C55AE9" w:rsidRPr="00B215E2">
        <w:rPr>
          <w:rFonts w:ascii="Book Antiqua" w:hAnsi="Book Antiqua"/>
          <w:i/>
          <w:iCs/>
          <w:color w:val="000000"/>
          <w:lang w:val="es-ES_tradnl"/>
        </w:rPr>
        <w:t>artículo</w:t>
      </w:r>
      <w:r w:rsidR="00EE19F5" w:rsidRPr="00B215E2">
        <w:rPr>
          <w:rFonts w:ascii="Book Antiqua" w:hAnsi="Book Antiqua"/>
          <w:i/>
          <w:iCs/>
          <w:color w:val="000000"/>
          <w:lang w:val="es-ES_tradnl"/>
        </w:rPr>
        <w:t xml:space="preserve"> </w:t>
      </w:r>
      <w:r w:rsidRPr="00B215E2">
        <w:rPr>
          <w:rFonts w:ascii="Book Antiqua" w:hAnsi="Book Antiqua"/>
          <w:i/>
          <w:iCs/>
          <w:color w:val="000000"/>
          <w:lang w:val="es-ES_tradnl"/>
        </w:rPr>
        <w:t>constituirá causa suficiente para:</w:t>
      </w:r>
    </w:p>
    <w:p w14:paraId="04EF5065" w14:textId="77777777" w:rsidR="00B215E2" w:rsidRPr="00B215E2" w:rsidRDefault="00B215E2" w:rsidP="00BF0671">
      <w:pPr>
        <w:pStyle w:val="Prrafodelista"/>
        <w:widowControl w:val="0"/>
        <w:numPr>
          <w:ilvl w:val="0"/>
          <w:numId w:val="3"/>
        </w:numPr>
        <w:spacing w:line="480" w:lineRule="auto"/>
        <w:ind w:firstLine="540"/>
        <w:jc w:val="both"/>
        <w:rPr>
          <w:rFonts w:ascii="Book Antiqua" w:hAnsi="Book Antiqua"/>
          <w:i/>
          <w:iCs/>
          <w:color w:val="000000"/>
          <w:lang w:val="es-ES_tradnl"/>
        </w:rPr>
      </w:pPr>
      <w:r w:rsidRPr="00B215E2">
        <w:rPr>
          <w:rFonts w:ascii="Book Antiqua" w:hAnsi="Book Antiqua"/>
          <w:i/>
          <w:iCs/>
          <w:color w:val="000000"/>
          <w:lang w:val="es-ES_tradnl"/>
        </w:rPr>
        <w:t>La imposición de</w:t>
      </w:r>
      <w:r w:rsidRPr="00B215E2">
        <w:rPr>
          <w:rStyle w:val="apple-converted-space"/>
          <w:rFonts w:ascii="Book Antiqua" w:hAnsi="Book Antiqua"/>
          <w:i/>
          <w:iCs/>
          <w:color w:val="000000"/>
          <w:lang w:val="es-ES_tradnl"/>
        </w:rPr>
        <w:t> </w:t>
      </w:r>
      <w:r w:rsidRPr="00B215E2">
        <w:rPr>
          <w:rStyle w:val="Textoennegrita"/>
          <w:rFonts w:ascii="Book Antiqua" w:hAnsi="Book Antiqua"/>
          <w:b w:val="0"/>
          <w:bCs w:val="0"/>
          <w:i/>
          <w:iCs/>
          <w:color w:val="000000"/>
          <w:lang w:val="es-ES_tradnl"/>
        </w:rPr>
        <w:t>multas administrativas</w:t>
      </w:r>
      <w:r w:rsidRPr="00B215E2">
        <w:rPr>
          <w:rFonts w:ascii="Book Antiqua" w:hAnsi="Book Antiqua"/>
          <w:i/>
          <w:iCs/>
          <w:color w:val="000000"/>
          <w:lang w:val="es-ES_tradnl"/>
        </w:rPr>
        <w:t>.</w:t>
      </w:r>
    </w:p>
    <w:p w14:paraId="1A0EA871" w14:textId="3BF8FEAE" w:rsidR="00B215E2" w:rsidRPr="00B215E2" w:rsidRDefault="00427452" w:rsidP="00BF0671">
      <w:pPr>
        <w:pStyle w:val="Prrafodelista"/>
        <w:widowControl w:val="0"/>
        <w:numPr>
          <w:ilvl w:val="0"/>
          <w:numId w:val="3"/>
        </w:numPr>
        <w:spacing w:line="480" w:lineRule="auto"/>
        <w:ind w:firstLine="540"/>
        <w:jc w:val="both"/>
        <w:rPr>
          <w:rFonts w:ascii="Book Antiqua" w:hAnsi="Book Antiqua"/>
          <w:i/>
          <w:iCs/>
          <w:color w:val="000000"/>
          <w:lang w:val="es-ES_tradnl"/>
        </w:rPr>
      </w:pPr>
      <w:r w:rsidRPr="00B215E2">
        <w:rPr>
          <w:rFonts w:ascii="Book Antiqua" w:hAnsi="Book Antiqua"/>
          <w:i/>
          <w:iCs/>
          <w:color w:val="000000"/>
          <w:lang w:val="es-ES_tradnl"/>
        </w:rPr>
        <w:t>La</w:t>
      </w:r>
      <w:r w:rsidRPr="00B215E2">
        <w:rPr>
          <w:rStyle w:val="apple-converted-space"/>
          <w:rFonts w:ascii="Book Antiqua" w:hAnsi="Book Antiqua"/>
          <w:i/>
          <w:iCs/>
          <w:color w:val="000000"/>
          <w:lang w:val="es-ES_tradnl"/>
        </w:rPr>
        <w:t> </w:t>
      </w:r>
      <w:r w:rsidRPr="00B215E2">
        <w:rPr>
          <w:rStyle w:val="Textoennegrita"/>
          <w:rFonts w:ascii="Book Antiqua" w:hAnsi="Book Antiqua"/>
          <w:b w:val="0"/>
          <w:bCs w:val="0"/>
          <w:i/>
          <w:iCs/>
          <w:color w:val="000000"/>
          <w:lang w:val="es-ES_tradnl"/>
        </w:rPr>
        <w:t>suspensión o descalificación</w:t>
      </w:r>
      <w:r w:rsidRPr="00B215E2">
        <w:rPr>
          <w:rStyle w:val="apple-converted-space"/>
          <w:rFonts w:ascii="Book Antiqua" w:hAnsi="Book Antiqua"/>
          <w:i/>
          <w:iCs/>
          <w:color w:val="000000"/>
          <w:lang w:val="es-ES_tradnl"/>
        </w:rPr>
        <w:t> </w:t>
      </w:r>
      <w:r w:rsidRPr="00B215E2">
        <w:rPr>
          <w:rFonts w:ascii="Book Antiqua" w:hAnsi="Book Antiqua"/>
          <w:i/>
          <w:iCs/>
          <w:color w:val="000000"/>
          <w:lang w:val="es-ES_tradnl"/>
        </w:rPr>
        <w:t xml:space="preserve">del Registro Único de Licitadores (RUL). </w:t>
      </w:r>
    </w:p>
    <w:p w14:paraId="26BA3C59" w14:textId="6D0AF1A2" w:rsidR="00427452" w:rsidRPr="00B215E2" w:rsidRDefault="00427452" w:rsidP="00BF0671">
      <w:pPr>
        <w:pStyle w:val="Prrafodelista"/>
        <w:widowControl w:val="0"/>
        <w:numPr>
          <w:ilvl w:val="0"/>
          <w:numId w:val="3"/>
        </w:numPr>
        <w:spacing w:line="480" w:lineRule="auto"/>
        <w:ind w:firstLine="540"/>
        <w:jc w:val="both"/>
        <w:rPr>
          <w:rFonts w:ascii="Book Antiqua" w:hAnsi="Book Antiqua"/>
          <w:i/>
          <w:iCs/>
          <w:color w:val="000000"/>
          <w:lang w:val="es-ES_tradnl"/>
        </w:rPr>
      </w:pPr>
      <w:r w:rsidRPr="00B215E2">
        <w:rPr>
          <w:rFonts w:ascii="Book Antiqua" w:hAnsi="Book Antiqua"/>
          <w:i/>
          <w:iCs/>
          <w:color w:val="000000"/>
          <w:lang w:val="es-ES_tradnl"/>
        </w:rPr>
        <w:t>La</w:t>
      </w:r>
      <w:r w:rsidRPr="00B215E2">
        <w:rPr>
          <w:rStyle w:val="apple-converted-space"/>
          <w:rFonts w:ascii="Book Antiqua" w:hAnsi="Book Antiqua"/>
          <w:i/>
          <w:iCs/>
          <w:color w:val="000000"/>
          <w:lang w:val="es-ES_tradnl"/>
        </w:rPr>
        <w:t> </w:t>
      </w:r>
      <w:r w:rsidRPr="00B215E2">
        <w:rPr>
          <w:rStyle w:val="Textoennegrita"/>
          <w:rFonts w:ascii="Book Antiqua" w:hAnsi="Book Antiqua"/>
          <w:b w:val="0"/>
          <w:bCs w:val="0"/>
          <w:i/>
          <w:iCs/>
          <w:color w:val="000000"/>
          <w:lang w:val="es-ES_tradnl"/>
        </w:rPr>
        <w:t>cancelación de cualquier contrato vigente</w:t>
      </w:r>
      <w:r w:rsidRPr="00B215E2">
        <w:rPr>
          <w:rStyle w:val="apple-converted-space"/>
          <w:rFonts w:ascii="Book Antiqua" w:hAnsi="Book Antiqua"/>
          <w:i/>
          <w:iCs/>
          <w:color w:val="000000"/>
          <w:lang w:val="es-ES_tradnl"/>
        </w:rPr>
        <w:t> </w:t>
      </w:r>
      <w:r w:rsidRPr="00B215E2">
        <w:rPr>
          <w:rFonts w:ascii="Book Antiqua" w:hAnsi="Book Antiqua"/>
          <w:i/>
          <w:iCs/>
          <w:color w:val="000000"/>
          <w:lang w:val="es-ES_tradnl"/>
        </w:rPr>
        <w:t>con el Gobierno de Puerto Rico</w:t>
      </w:r>
      <w:r w:rsidR="00B215E2" w:rsidRPr="00B215E2">
        <w:rPr>
          <w:rFonts w:ascii="Book Antiqua" w:hAnsi="Book Antiqua"/>
          <w:i/>
          <w:iCs/>
          <w:color w:val="000000"/>
          <w:lang w:val="es-ES_tradnl"/>
        </w:rPr>
        <w:t>.</w:t>
      </w:r>
    </w:p>
    <w:p w14:paraId="41E40AF7" w14:textId="31309573" w:rsidR="00B215E2" w:rsidRPr="00B215E2" w:rsidRDefault="00B215E2" w:rsidP="00BF0671">
      <w:pPr>
        <w:pStyle w:val="Prrafodelista"/>
        <w:widowControl w:val="0"/>
        <w:numPr>
          <w:ilvl w:val="0"/>
          <w:numId w:val="3"/>
        </w:numPr>
        <w:spacing w:line="480" w:lineRule="auto"/>
        <w:ind w:firstLine="540"/>
        <w:jc w:val="both"/>
        <w:rPr>
          <w:rFonts w:ascii="Book Antiqua" w:hAnsi="Book Antiqua"/>
          <w:i/>
          <w:iCs/>
          <w:color w:val="000000"/>
          <w:lang w:val="es-ES_tradnl"/>
        </w:rPr>
      </w:pPr>
      <w:r w:rsidRPr="00B215E2">
        <w:rPr>
          <w:rFonts w:ascii="Book Antiqua" w:hAnsi="Book Antiqua"/>
          <w:i/>
          <w:iCs/>
          <w:color w:val="000000"/>
          <w:lang w:val="es-ES_tradnl"/>
        </w:rPr>
        <w:t xml:space="preserve">Cualquier otra sanción que el </w:t>
      </w:r>
      <w:r w:rsidRPr="00B215E2">
        <w:rPr>
          <w:rFonts w:ascii="Book Antiqua" w:hAnsi="Book Antiqua"/>
          <w:i/>
          <w:iCs/>
          <w:color w:val="000000"/>
          <w:szCs w:val="24"/>
          <w:lang w:val="es-ES_tradnl"/>
        </w:rPr>
        <w:t xml:space="preserve">Departamento del Trabajo y Recursos Humanos establezca mediante reglamentación. </w:t>
      </w:r>
    </w:p>
    <w:p w14:paraId="3299AA9C" w14:textId="46DDBFE2" w:rsidR="00B215E2" w:rsidRPr="00B215E2" w:rsidRDefault="00B215E2" w:rsidP="00BF0671">
      <w:pPr>
        <w:widowControl w:val="0"/>
        <w:spacing w:line="480" w:lineRule="auto"/>
        <w:ind w:firstLine="540"/>
        <w:jc w:val="both"/>
        <w:rPr>
          <w:rFonts w:ascii="Book Antiqua" w:hAnsi="Book Antiqua"/>
          <w:i/>
          <w:iCs/>
          <w:lang w:val="es-ES_tradnl"/>
        </w:rPr>
      </w:pPr>
      <w:r w:rsidRPr="00B215E2">
        <w:rPr>
          <w:rFonts w:ascii="Book Antiqua" w:hAnsi="Book Antiqua"/>
          <w:i/>
          <w:iCs/>
          <w:color w:val="000000"/>
          <w:lang w:val="es-ES_tradnl"/>
        </w:rPr>
        <w:t xml:space="preserve">El </w:t>
      </w:r>
      <w:proofErr w:type="gramStart"/>
      <w:r w:rsidRPr="00B215E2">
        <w:rPr>
          <w:rFonts w:ascii="Book Antiqua" w:hAnsi="Book Antiqua"/>
          <w:i/>
          <w:iCs/>
          <w:color w:val="000000"/>
          <w:lang w:val="es-ES_tradnl"/>
        </w:rPr>
        <w:t>Secretario</w:t>
      </w:r>
      <w:proofErr w:type="gramEnd"/>
      <w:r w:rsidRPr="00B215E2">
        <w:rPr>
          <w:rFonts w:ascii="Book Antiqua" w:hAnsi="Book Antiqua"/>
          <w:i/>
          <w:iCs/>
          <w:color w:val="000000"/>
          <w:lang w:val="es-ES_tradnl"/>
        </w:rPr>
        <w:t xml:space="preserve"> realizará un</w:t>
      </w:r>
      <w:r w:rsidRPr="00B215E2">
        <w:rPr>
          <w:rStyle w:val="apple-converted-space"/>
          <w:rFonts w:ascii="Book Antiqua" w:hAnsi="Book Antiqua"/>
          <w:i/>
          <w:iCs/>
          <w:color w:val="000000"/>
          <w:lang w:val="es-ES_tradnl"/>
        </w:rPr>
        <w:t> </w:t>
      </w:r>
      <w:r w:rsidRPr="00B215E2">
        <w:rPr>
          <w:rStyle w:val="Textoennegrita"/>
          <w:rFonts w:ascii="Book Antiqua" w:hAnsi="Book Antiqua"/>
          <w:b w:val="0"/>
          <w:bCs w:val="0"/>
          <w:i/>
          <w:iCs/>
          <w:color w:val="000000"/>
          <w:lang w:val="es-ES_tradnl"/>
        </w:rPr>
        <w:t>informe estadístico anual</w:t>
      </w:r>
      <w:r w:rsidRPr="00B215E2">
        <w:rPr>
          <w:rStyle w:val="apple-converted-space"/>
          <w:rFonts w:ascii="Book Antiqua" w:hAnsi="Book Antiqua"/>
          <w:i/>
          <w:iCs/>
          <w:color w:val="000000"/>
          <w:lang w:val="es-ES_tradnl"/>
        </w:rPr>
        <w:t> </w:t>
      </w:r>
      <w:r w:rsidRPr="00B215E2">
        <w:rPr>
          <w:rFonts w:ascii="Book Antiqua" w:hAnsi="Book Antiqua"/>
          <w:i/>
          <w:iCs/>
          <w:color w:val="000000"/>
          <w:lang w:val="es-ES_tradnl"/>
        </w:rPr>
        <w:t>con el desglose detallado sobre la cantidad de proveedores auditados, los hallazgos principales y las acciones tomadas en caso de incumplimiento.</w:t>
      </w:r>
      <w:r>
        <w:rPr>
          <w:rFonts w:ascii="Book Antiqua" w:hAnsi="Book Antiqua"/>
          <w:i/>
          <w:iCs/>
          <w:color w:val="000000"/>
          <w:lang w:val="es-ES_tradnl"/>
        </w:rPr>
        <w:t>”</w:t>
      </w:r>
    </w:p>
    <w:p w14:paraId="2320D89B" w14:textId="1F0CE9C7" w:rsidR="00E24C92" w:rsidRDefault="00B215E2" w:rsidP="00BF0671">
      <w:pPr>
        <w:widowControl w:val="0"/>
        <w:spacing w:line="480" w:lineRule="auto"/>
        <w:ind w:firstLine="540"/>
        <w:jc w:val="both"/>
        <w:rPr>
          <w:rFonts w:ascii="Book Antiqua" w:hAnsi="Book Antiqua"/>
          <w:lang w:val="es-ES_tradnl"/>
        </w:rPr>
      </w:pPr>
      <w:r w:rsidRPr="00623F3D">
        <w:rPr>
          <w:rFonts w:ascii="Book Antiqua" w:hAnsi="Book Antiqua"/>
          <w:lang w:val="es-ES_tradnl"/>
        </w:rPr>
        <w:t>Sección</w:t>
      </w:r>
      <w:r w:rsidR="00E24C92" w:rsidRPr="00623F3D">
        <w:rPr>
          <w:rFonts w:ascii="Book Antiqua" w:hAnsi="Book Antiqua"/>
          <w:lang w:val="es-ES_tradnl"/>
        </w:rPr>
        <w:t xml:space="preserve"> 2.- </w:t>
      </w:r>
      <w:r w:rsidR="00623F3D" w:rsidRPr="00623F3D">
        <w:rPr>
          <w:rFonts w:ascii="Book Antiqua" w:hAnsi="Book Antiqua"/>
          <w:lang w:val="es-ES_tradnl"/>
        </w:rPr>
        <w:t xml:space="preserve">Se reenumeran los actuales Artículos 8, 9, 10 y 11 de la Ley 16-2017, según enmendada, conocida como “Ley de Igualdad Salarial de Puerto Rico” como los artículos </w:t>
      </w:r>
      <w:r w:rsidR="00623F3D" w:rsidRPr="00623F3D">
        <w:rPr>
          <w:rFonts w:ascii="Book Antiqua" w:hAnsi="Book Antiqua"/>
          <w:lang w:val="es-ES_tradnl"/>
        </w:rPr>
        <w:lastRenderedPageBreak/>
        <w:t>9, 10, 11, y 12 respectivamente</w:t>
      </w:r>
      <w:r w:rsidR="00E24C92" w:rsidRPr="00623F3D">
        <w:rPr>
          <w:rFonts w:ascii="Book Antiqua" w:hAnsi="Book Antiqua"/>
          <w:lang w:val="es-ES_tradnl"/>
        </w:rPr>
        <w:t>.</w:t>
      </w:r>
    </w:p>
    <w:p w14:paraId="0B19CB73" w14:textId="2F541858" w:rsidR="00623F3D" w:rsidRDefault="00623F3D" w:rsidP="00BF0671">
      <w:pPr>
        <w:widowControl w:val="0"/>
        <w:spacing w:line="480" w:lineRule="auto"/>
        <w:ind w:firstLine="540"/>
        <w:jc w:val="both"/>
        <w:rPr>
          <w:rFonts w:ascii="Book Antiqua" w:hAnsi="Book Antiqua"/>
          <w:lang w:val="es-ES_tradnl"/>
        </w:rPr>
      </w:pPr>
      <w:r w:rsidRPr="00C55AE9">
        <w:rPr>
          <w:rFonts w:ascii="Book Antiqua" w:hAnsi="Book Antiqua"/>
          <w:lang w:val="es-ES_tradnl"/>
        </w:rPr>
        <w:t xml:space="preserve">Sección </w:t>
      </w:r>
      <w:r>
        <w:rPr>
          <w:rFonts w:ascii="Book Antiqua" w:hAnsi="Book Antiqua"/>
          <w:lang w:val="es-ES_tradnl"/>
        </w:rPr>
        <w:t>3</w:t>
      </w:r>
      <w:r w:rsidRPr="00C55AE9">
        <w:rPr>
          <w:rFonts w:ascii="Book Antiqua" w:hAnsi="Book Antiqua"/>
          <w:lang w:val="es-ES_tradnl"/>
        </w:rPr>
        <w:t xml:space="preserve">. – Se </w:t>
      </w:r>
      <w:r>
        <w:rPr>
          <w:rFonts w:ascii="Book Antiqua" w:hAnsi="Book Antiqua"/>
          <w:lang w:val="es-ES_tradnl"/>
        </w:rPr>
        <w:t>añade un nuevo inciso (j) al</w:t>
      </w:r>
      <w:r w:rsidRPr="00C55AE9">
        <w:rPr>
          <w:rFonts w:ascii="Book Antiqua" w:hAnsi="Book Antiqua"/>
          <w:lang w:val="es-ES_tradnl"/>
        </w:rPr>
        <w:t xml:space="preserve"> Artículo </w:t>
      </w:r>
      <w:r>
        <w:rPr>
          <w:rFonts w:ascii="Book Antiqua" w:hAnsi="Book Antiqua"/>
          <w:lang w:val="es-ES_tradnl"/>
        </w:rPr>
        <w:t>10</w:t>
      </w:r>
      <w:r w:rsidRPr="00C55AE9">
        <w:rPr>
          <w:rFonts w:ascii="Book Antiqua" w:hAnsi="Book Antiqua"/>
          <w:lang w:val="es-ES_tradnl"/>
        </w:rPr>
        <w:t xml:space="preserve"> en la Ley </w:t>
      </w:r>
      <w:r>
        <w:rPr>
          <w:rFonts w:ascii="Book Antiqua" w:hAnsi="Book Antiqua"/>
          <w:lang w:val="es-ES_tradnl"/>
        </w:rPr>
        <w:t>73</w:t>
      </w:r>
      <w:r w:rsidRPr="00C55AE9">
        <w:rPr>
          <w:rFonts w:ascii="Book Antiqua" w:hAnsi="Book Antiqua"/>
          <w:lang w:val="es-ES_tradnl"/>
        </w:rPr>
        <w:t>-201</w:t>
      </w:r>
      <w:r>
        <w:rPr>
          <w:rFonts w:ascii="Book Antiqua" w:hAnsi="Book Antiqua"/>
          <w:lang w:val="es-ES_tradnl"/>
        </w:rPr>
        <w:t>9</w:t>
      </w:r>
      <w:r w:rsidRPr="00C55AE9">
        <w:rPr>
          <w:rFonts w:ascii="Book Antiqua" w:hAnsi="Book Antiqua"/>
          <w:lang w:val="es-ES_tradnl"/>
        </w:rPr>
        <w:t xml:space="preserve">, según enmendada, conocida como </w:t>
      </w:r>
      <w:r w:rsidRPr="00623F3D">
        <w:rPr>
          <w:rFonts w:ascii="Book Antiqua" w:hAnsi="Book Antiqua"/>
          <w:lang w:val="es-ES_tradnl"/>
        </w:rPr>
        <w:t>“Ley de la Administración de Servicios Generales para la</w:t>
      </w:r>
      <w:r>
        <w:rPr>
          <w:rFonts w:ascii="Book Antiqua" w:hAnsi="Book Antiqua"/>
          <w:lang w:val="es-ES_tradnl"/>
        </w:rPr>
        <w:t xml:space="preserve"> </w:t>
      </w:r>
      <w:r w:rsidRPr="00623F3D">
        <w:rPr>
          <w:rFonts w:ascii="Book Antiqua" w:hAnsi="Book Antiqua"/>
          <w:lang w:val="es-ES_tradnl"/>
        </w:rPr>
        <w:t>Centralización de las Compras del Gobierno de Puerto Rico de 2019”</w:t>
      </w:r>
      <w:r w:rsidRPr="00C55AE9">
        <w:rPr>
          <w:rFonts w:ascii="Book Antiqua" w:hAnsi="Book Antiqua"/>
          <w:lang w:val="es-ES_tradnl"/>
        </w:rPr>
        <w:t xml:space="preserve"> que lean como sigue:</w:t>
      </w:r>
    </w:p>
    <w:p w14:paraId="0CDF9C9A" w14:textId="63DFCD3B" w:rsidR="00A44F3F" w:rsidRDefault="00A44F3F" w:rsidP="00BF0671">
      <w:pPr>
        <w:widowControl w:val="0"/>
        <w:spacing w:line="480" w:lineRule="auto"/>
        <w:ind w:firstLine="540"/>
        <w:jc w:val="both"/>
        <w:rPr>
          <w:rFonts w:ascii="Book Antiqua" w:hAnsi="Book Antiqua"/>
          <w:lang w:val="es-ES_tradnl"/>
        </w:rPr>
      </w:pPr>
      <w:r>
        <w:rPr>
          <w:rFonts w:ascii="Book Antiqua" w:hAnsi="Book Antiqua"/>
          <w:i/>
          <w:iCs/>
          <w:lang w:val="es-ES_tradnl"/>
        </w:rPr>
        <w:t>“</w:t>
      </w:r>
      <w:r w:rsidRPr="00A44F3F">
        <w:rPr>
          <w:rFonts w:ascii="Book Antiqua" w:hAnsi="Book Antiqua"/>
          <w:lang w:val="es-ES_tradnl"/>
        </w:rPr>
        <w:t>Artículo 10. — Facultades y Deberes de la Administración.</w:t>
      </w:r>
    </w:p>
    <w:p w14:paraId="1DDB20C7" w14:textId="49CCABD8" w:rsidR="00A44F3F" w:rsidRDefault="00A44F3F" w:rsidP="00BF0671">
      <w:pPr>
        <w:widowControl w:val="0"/>
        <w:spacing w:line="480" w:lineRule="auto"/>
        <w:ind w:firstLine="540"/>
        <w:jc w:val="both"/>
        <w:rPr>
          <w:rFonts w:ascii="Book Antiqua" w:hAnsi="Book Antiqua"/>
          <w:lang w:val="es-ES_tradnl"/>
        </w:rPr>
      </w:pPr>
      <w:r w:rsidRPr="00A44F3F">
        <w:rPr>
          <w:rFonts w:ascii="Book Antiqua" w:hAnsi="Book Antiqua"/>
          <w:lang w:val="es-ES_tradnl"/>
        </w:rPr>
        <w:t>La Administración tendrá las siguientes facultades y deberes generales:</w:t>
      </w:r>
    </w:p>
    <w:p w14:paraId="00EE5A5B" w14:textId="1F240CE6" w:rsidR="00A44F3F" w:rsidRDefault="00A44F3F" w:rsidP="00BF0671">
      <w:pPr>
        <w:widowControl w:val="0"/>
        <w:spacing w:line="480" w:lineRule="auto"/>
        <w:ind w:firstLine="540"/>
        <w:jc w:val="both"/>
        <w:rPr>
          <w:rFonts w:ascii="Book Antiqua" w:hAnsi="Book Antiqua"/>
          <w:lang w:val="es-ES_tradnl"/>
        </w:rPr>
      </w:pPr>
      <w:r>
        <w:rPr>
          <w:rFonts w:ascii="Book Antiqua" w:hAnsi="Book Antiqua"/>
          <w:lang w:val="es-ES_tradnl"/>
        </w:rPr>
        <w:t>(a)…</w:t>
      </w:r>
    </w:p>
    <w:p w14:paraId="01C55D68" w14:textId="4F900343" w:rsidR="00A44F3F" w:rsidRDefault="00A44F3F" w:rsidP="00BF0671">
      <w:pPr>
        <w:widowControl w:val="0"/>
        <w:spacing w:line="480" w:lineRule="auto"/>
        <w:ind w:firstLine="540"/>
        <w:jc w:val="both"/>
        <w:rPr>
          <w:rFonts w:ascii="Book Antiqua" w:hAnsi="Book Antiqua"/>
          <w:lang w:val="es-ES_tradnl"/>
        </w:rPr>
      </w:pPr>
      <w:r>
        <w:rPr>
          <w:rFonts w:ascii="Book Antiqua" w:hAnsi="Book Antiqua"/>
          <w:lang w:val="es-ES_tradnl"/>
        </w:rPr>
        <w:t>(b)…</w:t>
      </w:r>
    </w:p>
    <w:p w14:paraId="1D367D5E" w14:textId="56110D5D" w:rsidR="00A44F3F" w:rsidRPr="00A44F3F" w:rsidRDefault="00A44F3F" w:rsidP="00BF0671">
      <w:pPr>
        <w:widowControl w:val="0"/>
        <w:spacing w:line="480" w:lineRule="auto"/>
        <w:ind w:firstLine="540"/>
        <w:jc w:val="both"/>
        <w:rPr>
          <w:rFonts w:ascii="Book Antiqua" w:hAnsi="Book Antiqua"/>
          <w:lang w:val="es-ES_tradnl"/>
        </w:rPr>
      </w:pPr>
      <w:r>
        <w:rPr>
          <w:rFonts w:ascii="Book Antiqua" w:hAnsi="Book Antiqua"/>
          <w:lang w:val="es-ES_tradnl"/>
        </w:rPr>
        <w:t>…</w:t>
      </w:r>
    </w:p>
    <w:p w14:paraId="03C1C6CD" w14:textId="18D5F34A" w:rsidR="00623F3D" w:rsidRPr="003A764A" w:rsidRDefault="00623F3D" w:rsidP="00BF0671">
      <w:pPr>
        <w:widowControl w:val="0"/>
        <w:spacing w:line="480" w:lineRule="auto"/>
        <w:ind w:firstLine="540"/>
        <w:jc w:val="both"/>
        <w:rPr>
          <w:rFonts w:ascii="Book Antiqua" w:hAnsi="Book Antiqua"/>
          <w:i/>
          <w:iCs/>
          <w:lang w:val="es-ES_tradnl"/>
        </w:rPr>
      </w:pPr>
      <w:r w:rsidRPr="00A44F3F">
        <w:rPr>
          <w:rFonts w:ascii="Book Antiqua" w:hAnsi="Book Antiqua"/>
          <w:i/>
          <w:iCs/>
          <w:lang w:val="es-ES_tradnl"/>
        </w:rPr>
        <w:t xml:space="preserve">(j) </w:t>
      </w:r>
      <w:r w:rsidR="00A44F3F" w:rsidRPr="00A44F3F">
        <w:rPr>
          <w:rFonts w:ascii="Book Antiqua" w:hAnsi="Book Antiqua"/>
          <w:i/>
          <w:iCs/>
          <w:lang w:val="es-ES_tradnl"/>
        </w:rPr>
        <w:t xml:space="preserve">Cooperar con el </w:t>
      </w:r>
      <w:r w:rsidR="00A44F3F" w:rsidRPr="00A44F3F">
        <w:rPr>
          <w:rFonts w:ascii="Book Antiqua" w:hAnsi="Book Antiqua"/>
          <w:i/>
          <w:iCs/>
          <w:color w:val="000000"/>
          <w:szCs w:val="24"/>
          <w:lang w:val="es-ES_tradnl"/>
        </w:rPr>
        <w:t xml:space="preserve">Departamento del Trabajo y Recursos Humanos en el establecimiento y ejecución del </w:t>
      </w:r>
      <w:r w:rsidR="00A44F3F" w:rsidRPr="00A44F3F">
        <w:rPr>
          <w:rFonts w:ascii="Book Antiqua" w:hAnsi="Book Antiqua"/>
          <w:i/>
          <w:iCs/>
          <w:color w:val="000000"/>
          <w:lang w:val="es-ES_tradnl"/>
        </w:rPr>
        <w:t xml:space="preserve">Programa de Auditoria de Igualdad Salarial según lo establecido en la </w:t>
      </w:r>
      <w:r w:rsidR="00A44F3F" w:rsidRPr="00A44F3F">
        <w:rPr>
          <w:rFonts w:ascii="Book Antiqua" w:hAnsi="Book Antiqua"/>
          <w:i/>
          <w:iCs/>
          <w:lang w:val="es-ES_tradnl"/>
        </w:rPr>
        <w:t>Ley 16-2017, según enmendada, conocida como “Ley de Igualdad Salarial de Puerto Rico”.”</w:t>
      </w:r>
    </w:p>
    <w:p w14:paraId="73073D43" w14:textId="33F62F86" w:rsidR="00E24C92" w:rsidRPr="003A764A" w:rsidRDefault="003A764A" w:rsidP="00BF0671">
      <w:pPr>
        <w:widowControl w:val="0"/>
        <w:spacing w:line="480" w:lineRule="auto"/>
        <w:ind w:firstLine="540"/>
        <w:jc w:val="both"/>
        <w:rPr>
          <w:rFonts w:ascii="Book Antiqua" w:hAnsi="Book Antiqua"/>
          <w:lang w:val="es-ES_tradnl"/>
        </w:rPr>
      </w:pPr>
      <w:r>
        <w:rPr>
          <w:rFonts w:ascii="Book Antiqua" w:hAnsi="Book Antiqua"/>
          <w:lang w:val="es-ES_tradnl"/>
        </w:rPr>
        <w:t xml:space="preserve">Sección </w:t>
      </w:r>
      <w:r w:rsidRPr="003A764A">
        <w:rPr>
          <w:rFonts w:ascii="Book Antiqua" w:hAnsi="Book Antiqua"/>
          <w:lang w:val="es-ES_tradnl"/>
        </w:rPr>
        <w:t>4</w:t>
      </w:r>
      <w:r w:rsidR="00E24C92" w:rsidRPr="003A764A">
        <w:rPr>
          <w:rFonts w:ascii="Book Antiqua" w:hAnsi="Book Antiqua"/>
          <w:lang w:val="es-ES_tradnl"/>
        </w:rPr>
        <w:t>.</w:t>
      </w:r>
      <w:r w:rsidRPr="003A764A">
        <w:rPr>
          <w:rFonts w:ascii="Book Antiqua" w:hAnsi="Book Antiqua"/>
          <w:lang w:val="es-ES_tradnl"/>
        </w:rPr>
        <w:t xml:space="preserve"> </w:t>
      </w:r>
      <w:r w:rsidRPr="00A44F3F">
        <w:rPr>
          <w:rFonts w:ascii="Book Antiqua" w:hAnsi="Book Antiqua"/>
          <w:lang w:val="es-ES_tradnl"/>
        </w:rPr>
        <w:t>—</w:t>
      </w:r>
      <w:r w:rsidR="00E24C92" w:rsidRPr="003A764A">
        <w:rPr>
          <w:rFonts w:ascii="Book Antiqua" w:hAnsi="Book Antiqua"/>
          <w:lang w:val="es-ES_tradnl"/>
        </w:rPr>
        <w:t>Reglamentación</w:t>
      </w:r>
    </w:p>
    <w:p w14:paraId="77C63B55" w14:textId="3FAB5B01" w:rsidR="00E24C92" w:rsidRPr="003A764A" w:rsidRDefault="00E24C92" w:rsidP="00BF0671">
      <w:pPr>
        <w:widowControl w:val="0"/>
        <w:spacing w:line="480" w:lineRule="auto"/>
        <w:ind w:firstLine="540"/>
        <w:jc w:val="both"/>
        <w:rPr>
          <w:rFonts w:ascii="Book Antiqua" w:hAnsi="Book Antiqua"/>
          <w:lang w:val="es-ES_tradnl"/>
        </w:rPr>
      </w:pPr>
      <w:r w:rsidRPr="003A764A">
        <w:rPr>
          <w:rFonts w:ascii="Book Antiqua" w:hAnsi="Book Antiqua"/>
          <w:lang w:val="es-ES_tradnl"/>
        </w:rPr>
        <w:t xml:space="preserve">El </w:t>
      </w:r>
      <w:r w:rsidR="00C55AE9" w:rsidRPr="003A764A">
        <w:rPr>
          <w:rFonts w:ascii="Book Antiqua" w:hAnsi="Book Antiqua"/>
          <w:color w:val="000000"/>
          <w:lang w:val="es-ES_tradnl"/>
        </w:rPr>
        <w:t>Departamento del Trabajo y Recursos Humanos y la Administración de Servicios Generales de Puerto Rico (ASG)</w:t>
      </w:r>
      <w:r w:rsidRPr="003A764A">
        <w:rPr>
          <w:rFonts w:ascii="Book Antiqua" w:hAnsi="Book Antiqua"/>
          <w:lang w:val="es-ES_tradnl"/>
        </w:rPr>
        <w:t xml:space="preserve"> tendrán un término de noventa (90) días a partir de la aprobación de esta Ley para atemperar sus reglamentos, procesos o formularios de conformidad a las disposiciones aquí contenidas. </w:t>
      </w:r>
    </w:p>
    <w:p w14:paraId="0ADF1FCC" w14:textId="19A70EF6" w:rsidR="00E24C92" w:rsidRPr="003A764A" w:rsidRDefault="003A764A" w:rsidP="00BF0671">
      <w:pPr>
        <w:widowControl w:val="0"/>
        <w:spacing w:line="480" w:lineRule="auto"/>
        <w:ind w:firstLine="540"/>
        <w:jc w:val="both"/>
        <w:rPr>
          <w:rFonts w:ascii="Book Antiqua" w:hAnsi="Book Antiqua"/>
          <w:lang w:val="es-ES_tradnl"/>
        </w:rPr>
      </w:pPr>
      <w:r w:rsidRPr="003A764A">
        <w:rPr>
          <w:rFonts w:ascii="Book Antiqua" w:hAnsi="Book Antiqua"/>
          <w:lang w:val="es-ES_tradnl"/>
        </w:rPr>
        <w:t xml:space="preserve">Sección 5. — </w:t>
      </w:r>
      <w:r w:rsidR="00E24C92" w:rsidRPr="003A764A">
        <w:rPr>
          <w:rFonts w:ascii="Book Antiqua" w:hAnsi="Book Antiqua"/>
          <w:lang w:val="es-ES_tradnl"/>
        </w:rPr>
        <w:t xml:space="preserve"> Cláusula de Separabilidad.</w:t>
      </w:r>
    </w:p>
    <w:p w14:paraId="57F7762D" w14:textId="77777777" w:rsidR="00E24C92" w:rsidRPr="003A764A" w:rsidRDefault="00E24C92" w:rsidP="00BF0671">
      <w:pPr>
        <w:widowControl w:val="0"/>
        <w:spacing w:line="480" w:lineRule="auto"/>
        <w:ind w:firstLine="540"/>
        <w:jc w:val="both"/>
        <w:rPr>
          <w:rFonts w:ascii="Book Antiqua" w:hAnsi="Book Antiqua"/>
          <w:lang w:val="es-ES_tradnl"/>
        </w:rPr>
      </w:pPr>
      <w:r w:rsidRPr="003A764A">
        <w:rPr>
          <w:rFonts w:ascii="Book Antiqua" w:hAnsi="Book Antiqua"/>
          <w:lang w:val="es-ES_tradnl"/>
        </w:rPr>
        <w:t xml:space="preserve">Si cualquier parte de esta Ley fuere declarada inconstitucional por un Tribunal con jurisdicción, tal determinación no afectará ni invalidará el resto de esta Ley, sino que el efecto del dictamen de inconstitucionalidad quedará limitado a la parte de esta Ley que </w:t>
      </w:r>
      <w:r w:rsidRPr="003A764A">
        <w:rPr>
          <w:rFonts w:ascii="Book Antiqua" w:hAnsi="Book Antiqua"/>
          <w:lang w:val="es-ES_tradnl"/>
        </w:rPr>
        <w:lastRenderedPageBreak/>
        <w:t>hubiese sido declarado inconstitucional.</w:t>
      </w:r>
      <w:r w:rsidR="00585EFC" w:rsidRPr="003A764A">
        <w:rPr>
          <w:rFonts w:ascii="Book Antiqua" w:hAnsi="Book Antiqua"/>
          <w:lang w:val="es-ES_tradnl"/>
        </w:rPr>
        <w:tab/>
      </w:r>
    </w:p>
    <w:p w14:paraId="0D0DD273" w14:textId="5AEB9417" w:rsidR="00585EFC" w:rsidRPr="003A764A" w:rsidRDefault="003A764A" w:rsidP="00BF0671">
      <w:pPr>
        <w:widowControl w:val="0"/>
        <w:spacing w:line="480" w:lineRule="auto"/>
        <w:ind w:firstLine="540"/>
        <w:jc w:val="both"/>
        <w:rPr>
          <w:rFonts w:ascii="Book Antiqua" w:hAnsi="Book Antiqua"/>
          <w:lang w:val="es-ES_tradnl"/>
        </w:rPr>
      </w:pPr>
      <w:r w:rsidRPr="003A764A">
        <w:rPr>
          <w:rFonts w:ascii="Book Antiqua" w:hAnsi="Book Antiqua"/>
          <w:lang w:val="es-ES_tradnl"/>
        </w:rPr>
        <w:t xml:space="preserve">Sección 6. — </w:t>
      </w:r>
      <w:r w:rsidR="00585EFC" w:rsidRPr="003A764A">
        <w:rPr>
          <w:rFonts w:ascii="Book Antiqua" w:hAnsi="Book Antiqua"/>
          <w:lang w:val="es-ES_tradnl"/>
        </w:rPr>
        <w:t>Vigencia</w:t>
      </w:r>
    </w:p>
    <w:p w14:paraId="0290D984" w14:textId="3461CDF8" w:rsidR="00FE6B8B" w:rsidRPr="00C55AE9" w:rsidRDefault="00585EFC" w:rsidP="00BF0671">
      <w:pPr>
        <w:widowControl w:val="0"/>
        <w:spacing w:line="480" w:lineRule="auto"/>
        <w:ind w:firstLine="540"/>
        <w:jc w:val="both"/>
        <w:rPr>
          <w:rFonts w:ascii="Book Antiqua" w:hAnsi="Book Antiqua"/>
          <w:lang w:val="es-ES_tradnl"/>
        </w:rPr>
      </w:pPr>
      <w:r w:rsidRPr="003A764A">
        <w:rPr>
          <w:rFonts w:ascii="Book Antiqua" w:hAnsi="Book Antiqua"/>
          <w:lang w:val="es-ES_tradnl"/>
        </w:rPr>
        <w:tab/>
        <w:t>Esta Ley comenzará a regir inmediatamente después de su aprobación.</w:t>
      </w:r>
    </w:p>
    <w:sectPr w:rsidR="00FE6B8B" w:rsidRPr="00C55AE9" w:rsidSect="00585EFC">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8ECC71" w14:textId="77777777" w:rsidR="002626EC" w:rsidRDefault="002626EC">
      <w:r>
        <w:separator/>
      </w:r>
    </w:p>
  </w:endnote>
  <w:endnote w:type="continuationSeparator" w:id="0">
    <w:p w14:paraId="2019D198" w14:textId="77777777" w:rsidR="002626EC" w:rsidRDefault="002626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0BEE9A" w14:textId="77777777" w:rsidR="002626EC" w:rsidRDefault="002626EC">
      <w:r>
        <w:separator/>
      </w:r>
    </w:p>
  </w:footnote>
  <w:footnote w:type="continuationSeparator" w:id="0">
    <w:p w14:paraId="05936F83" w14:textId="77777777" w:rsidR="002626EC" w:rsidRDefault="002626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92AC71" w14:textId="77777777" w:rsidR="00F042CB" w:rsidRDefault="00F042CB">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2D3ED1">
      <w:rPr>
        <w:rStyle w:val="Nmerodepgina"/>
        <w:noProof/>
      </w:rPr>
      <w:t>4</w:t>
    </w:r>
    <w:r>
      <w:rPr>
        <w:rStyle w:val="Nmerodepgin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0B389A"/>
    <w:multiLevelType w:val="hybridMultilevel"/>
    <w:tmpl w:val="CDFCC050"/>
    <w:lvl w:ilvl="0" w:tplc="6D108362">
      <w:start w:val="1"/>
      <w:numFmt w:val="lowerLetter"/>
      <w:lvlText w:val="%1)"/>
      <w:lvlJc w:val="left"/>
      <w:pPr>
        <w:ind w:left="927" w:hanging="360"/>
      </w:pPr>
      <w:rPr>
        <w:rFonts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1B967E5F"/>
    <w:multiLevelType w:val="hybridMultilevel"/>
    <w:tmpl w:val="0D2C9A9A"/>
    <w:lvl w:ilvl="0" w:tplc="AB2A0AC2">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675A3C1C"/>
    <w:multiLevelType w:val="hybridMultilevel"/>
    <w:tmpl w:val="A784ED5C"/>
    <w:lvl w:ilvl="0" w:tplc="C8BA074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713C696C"/>
    <w:multiLevelType w:val="hybridMultilevel"/>
    <w:tmpl w:val="CFD81320"/>
    <w:lvl w:ilvl="0" w:tplc="335CBB16">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977957172">
    <w:abstractNumId w:val="3"/>
  </w:num>
  <w:num w:numId="2" w16cid:durableId="1142844452">
    <w:abstractNumId w:val="2"/>
  </w:num>
  <w:num w:numId="3" w16cid:durableId="862397297">
    <w:abstractNumId w:val="1"/>
  </w:num>
  <w:num w:numId="4" w16cid:durableId="18958465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585EFC"/>
    <w:rsid w:val="00014D2B"/>
    <w:rsid w:val="00020BBB"/>
    <w:rsid w:val="00045935"/>
    <w:rsid w:val="00056024"/>
    <w:rsid w:val="000917B1"/>
    <w:rsid w:val="00095AE1"/>
    <w:rsid w:val="000A6B6C"/>
    <w:rsid w:val="000B0DBB"/>
    <w:rsid w:val="00102937"/>
    <w:rsid w:val="00111E71"/>
    <w:rsid w:val="00127C6A"/>
    <w:rsid w:val="001363FE"/>
    <w:rsid w:val="0015309F"/>
    <w:rsid w:val="0017132B"/>
    <w:rsid w:val="001C3503"/>
    <w:rsid w:val="001E3E32"/>
    <w:rsid w:val="001F4CA3"/>
    <w:rsid w:val="001F612A"/>
    <w:rsid w:val="00203616"/>
    <w:rsid w:val="00203D2B"/>
    <w:rsid w:val="00211396"/>
    <w:rsid w:val="00216EC2"/>
    <w:rsid w:val="00226AE6"/>
    <w:rsid w:val="00245B34"/>
    <w:rsid w:val="002626EC"/>
    <w:rsid w:val="00263355"/>
    <w:rsid w:val="00264997"/>
    <w:rsid w:val="00273792"/>
    <w:rsid w:val="00283F38"/>
    <w:rsid w:val="00286C65"/>
    <w:rsid w:val="002C4873"/>
    <w:rsid w:val="002D3ED1"/>
    <w:rsid w:val="002D4AC8"/>
    <w:rsid w:val="00320D78"/>
    <w:rsid w:val="003233EB"/>
    <w:rsid w:val="00380FE5"/>
    <w:rsid w:val="003924DD"/>
    <w:rsid w:val="00394FCB"/>
    <w:rsid w:val="003963F4"/>
    <w:rsid w:val="003A3090"/>
    <w:rsid w:val="003A764A"/>
    <w:rsid w:val="003A7EEE"/>
    <w:rsid w:val="003B497B"/>
    <w:rsid w:val="003B5254"/>
    <w:rsid w:val="003B602C"/>
    <w:rsid w:val="003B75A6"/>
    <w:rsid w:val="003F6ABE"/>
    <w:rsid w:val="004061CA"/>
    <w:rsid w:val="00415689"/>
    <w:rsid w:val="00427452"/>
    <w:rsid w:val="004440CB"/>
    <w:rsid w:val="004713D2"/>
    <w:rsid w:val="004833BB"/>
    <w:rsid w:val="004F3403"/>
    <w:rsid w:val="005055E5"/>
    <w:rsid w:val="005075AF"/>
    <w:rsid w:val="00521639"/>
    <w:rsid w:val="00532BB7"/>
    <w:rsid w:val="005332E4"/>
    <w:rsid w:val="0053550C"/>
    <w:rsid w:val="00555018"/>
    <w:rsid w:val="005723DC"/>
    <w:rsid w:val="00585EFC"/>
    <w:rsid w:val="005A4C56"/>
    <w:rsid w:val="006210DC"/>
    <w:rsid w:val="00623F3D"/>
    <w:rsid w:val="0064349D"/>
    <w:rsid w:val="006807A3"/>
    <w:rsid w:val="00685549"/>
    <w:rsid w:val="006B7365"/>
    <w:rsid w:val="006C2D81"/>
    <w:rsid w:val="006C7DF8"/>
    <w:rsid w:val="006E418D"/>
    <w:rsid w:val="006E45AE"/>
    <w:rsid w:val="00723889"/>
    <w:rsid w:val="00732444"/>
    <w:rsid w:val="00750FC8"/>
    <w:rsid w:val="007533D0"/>
    <w:rsid w:val="00755069"/>
    <w:rsid w:val="0078234E"/>
    <w:rsid w:val="007A309C"/>
    <w:rsid w:val="007B0660"/>
    <w:rsid w:val="007B5FC3"/>
    <w:rsid w:val="007D0CF3"/>
    <w:rsid w:val="007E3868"/>
    <w:rsid w:val="00806B14"/>
    <w:rsid w:val="00820C41"/>
    <w:rsid w:val="00850256"/>
    <w:rsid w:val="00865EE1"/>
    <w:rsid w:val="008919AC"/>
    <w:rsid w:val="008B32D3"/>
    <w:rsid w:val="008C7BC4"/>
    <w:rsid w:val="008E2729"/>
    <w:rsid w:val="00925FB4"/>
    <w:rsid w:val="0093686F"/>
    <w:rsid w:val="00942FD4"/>
    <w:rsid w:val="00951997"/>
    <w:rsid w:val="0096669B"/>
    <w:rsid w:val="009739C0"/>
    <w:rsid w:val="00990352"/>
    <w:rsid w:val="00A03405"/>
    <w:rsid w:val="00A1528A"/>
    <w:rsid w:val="00A23C07"/>
    <w:rsid w:val="00A33918"/>
    <w:rsid w:val="00A44F3F"/>
    <w:rsid w:val="00A506DE"/>
    <w:rsid w:val="00A65BF4"/>
    <w:rsid w:val="00A7629F"/>
    <w:rsid w:val="00AF0CEE"/>
    <w:rsid w:val="00B215E2"/>
    <w:rsid w:val="00B667AD"/>
    <w:rsid w:val="00B84C38"/>
    <w:rsid w:val="00B86C00"/>
    <w:rsid w:val="00B947F6"/>
    <w:rsid w:val="00BF0671"/>
    <w:rsid w:val="00BF16AA"/>
    <w:rsid w:val="00C157DA"/>
    <w:rsid w:val="00C354B8"/>
    <w:rsid w:val="00C52517"/>
    <w:rsid w:val="00C55AE9"/>
    <w:rsid w:val="00C60921"/>
    <w:rsid w:val="00C62936"/>
    <w:rsid w:val="00C653F2"/>
    <w:rsid w:val="00C679E6"/>
    <w:rsid w:val="00C908F9"/>
    <w:rsid w:val="00CA0917"/>
    <w:rsid w:val="00CA1099"/>
    <w:rsid w:val="00CE5230"/>
    <w:rsid w:val="00D417C2"/>
    <w:rsid w:val="00D60936"/>
    <w:rsid w:val="00D709EB"/>
    <w:rsid w:val="00D74714"/>
    <w:rsid w:val="00D82F3F"/>
    <w:rsid w:val="00D833F4"/>
    <w:rsid w:val="00D921C6"/>
    <w:rsid w:val="00D958C2"/>
    <w:rsid w:val="00DA6322"/>
    <w:rsid w:val="00DE2A31"/>
    <w:rsid w:val="00E04AB5"/>
    <w:rsid w:val="00E21EDC"/>
    <w:rsid w:val="00E24C92"/>
    <w:rsid w:val="00E47AC4"/>
    <w:rsid w:val="00E50EEA"/>
    <w:rsid w:val="00E52F58"/>
    <w:rsid w:val="00EA76CE"/>
    <w:rsid w:val="00EB4948"/>
    <w:rsid w:val="00EC26AA"/>
    <w:rsid w:val="00EC29C6"/>
    <w:rsid w:val="00EC5D3B"/>
    <w:rsid w:val="00ED7A53"/>
    <w:rsid w:val="00EE19F5"/>
    <w:rsid w:val="00EE4273"/>
    <w:rsid w:val="00F02004"/>
    <w:rsid w:val="00F042CB"/>
    <w:rsid w:val="00F240CC"/>
    <w:rsid w:val="00F60A20"/>
    <w:rsid w:val="00FA1303"/>
    <w:rsid w:val="00FC0A95"/>
    <w:rsid w:val="00FC3D9C"/>
    <w:rsid w:val="00FD7C76"/>
    <w:rsid w:val="00FE6B8B"/>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3E3756"/>
  <w15:chartTrackingRefBased/>
  <w15:docId w15:val="{57BCE826-3B86-469F-89FC-F447D3F137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val="en-US" w:eastAsia="en-US"/>
    </w:rPr>
  </w:style>
  <w:style w:type="paragraph" w:styleId="Ttulo1">
    <w:name w:val="heading 1"/>
    <w:basedOn w:val="Normal"/>
    <w:next w:val="Normal"/>
    <w:qFormat/>
    <w:pPr>
      <w:keepNext/>
      <w:spacing w:before="240" w:after="60"/>
      <w:outlineLvl w:val="0"/>
    </w:pPr>
    <w:rPr>
      <w:rFonts w:ascii="Arial" w:hAnsi="Arial"/>
      <w:b/>
      <w:kern w:val="28"/>
      <w:sz w:val="28"/>
    </w:rPr>
  </w:style>
  <w:style w:type="paragraph" w:styleId="Ttulo3">
    <w:name w:val="heading 3"/>
    <w:basedOn w:val="Normal"/>
    <w:next w:val="Normal"/>
    <w:link w:val="Ttulo3Car"/>
    <w:uiPriority w:val="9"/>
    <w:semiHidden/>
    <w:unhideWhenUsed/>
    <w:qFormat/>
    <w:rsid w:val="00CE5230"/>
    <w:pPr>
      <w:keepNext/>
      <w:keepLines/>
      <w:spacing w:before="40"/>
      <w:outlineLvl w:val="2"/>
    </w:pPr>
    <w:rPr>
      <w:rFonts w:asciiTheme="majorHAnsi" w:eastAsiaTheme="majorEastAsia" w:hAnsiTheme="majorHAnsi" w:cstheme="majorBidi"/>
      <w:color w:val="1F4D78" w:themeColor="accent1" w:themeShade="7F"/>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customStyle="1" w:styleId="Firmas">
    <w:name w:val="Firmas"/>
    <w:basedOn w:val="Normal"/>
    <w:pPr>
      <w:tabs>
        <w:tab w:val="center" w:pos="1440"/>
        <w:tab w:val="center" w:pos="7200"/>
      </w:tabs>
    </w:pPr>
    <w:rPr>
      <w:lang w:val="es-ES_tradnl"/>
    </w:rPr>
  </w:style>
  <w:style w:type="paragraph" w:styleId="Prrafodelista">
    <w:name w:val="List Paragraph"/>
    <w:basedOn w:val="Normal"/>
    <w:uiPriority w:val="34"/>
    <w:qFormat/>
    <w:rsid w:val="00264997"/>
    <w:pPr>
      <w:ind w:left="720"/>
      <w:contextualSpacing/>
    </w:pPr>
  </w:style>
  <w:style w:type="paragraph" w:styleId="NormalWeb">
    <w:name w:val="Normal (Web)"/>
    <w:basedOn w:val="Normal"/>
    <w:uiPriority w:val="99"/>
    <w:unhideWhenUsed/>
    <w:rsid w:val="00102937"/>
    <w:pPr>
      <w:spacing w:before="100" w:beforeAutospacing="1" w:after="100" w:afterAutospacing="1"/>
    </w:pPr>
    <w:rPr>
      <w:szCs w:val="24"/>
    </w:rPr>
  </w:style>
  <w:style w:type="character" w:customStyle="1" w:styleId="apple-converted-space">
    <w:name w:val="apple-converted-space"/>
    <w:basedOn w:val="Fuentedeprrafopredeter"/>
    <w:rsid w:val="00102937"/>
  </w:style>
  <w:style w:type="character" w:customStyle="1" w:styleId="truncate">
    <w:name w:val="truncate"/>
    <w:basedOn w:val="Fuentedeprrafopredeter"/>
    <w:rsid w:val="00102937"/>
  </w:style>
  <w:style w:type="paragraph" w:customStyle="1" w:styleId="p1">
    <w:name w:val="p1"/>
    <w:basedOn w:val="Normal"/>
    <w:rsid w:val="00CE5230"/>
    <w:rPr>
      <w:color w:val="000000"/>
      <w:sz w:val="18"/>
      <w:szCs w:val="18"/>
    </w:rPr>
  </w:style>
  <w:style w:type="paragraph" w:customStyle="1" w:styleId="p2">
    <w:name w:val="p2"/>
    <w:basedOn w:val="Normal"/>
    <w:rsid w:val="00CE5230"/>
    <w:rPr>
      <w:color w:val="0000FF"/>
      <w:sz w:val="18"/>
      <w:szCs w:val="18"/>
    </w:rPr>
  </w:style>
  <w:style w:type="character" w:customStyle="1" w:styleId="s1">
    <w:name w:val="s1"/>
    <w:basedOn w:val="Fuentedeprrafopredeter"/>
    <w:rsid w:val="00CE5230"/>
    <w:rPr>
      <w:color w:val="0000FF"/>
    </w:rPr>
  </w:style>
  <w:style w:type="character" w:customStyle="1" w:styleId="s2">
    <w:name w:val="s2"/>
    <w:basedOn w:val="Fuentedeprrafopredeter"/>
    <w:rsid w:val="00CE5230"/>
    <w:rPr>
      <w:color w:val="000000"/>
    </w:rPr>
  </w:style>
  <w:style w:type="character" w:customStyle="1" w:styleId="Ttulo3Car">
    <w:name w:val="Título 3 Car"/>
    <w:basedOn w:val="Fuentedeprrafopredeter"/>
    <w:link w:val="Ttulo3"/>
    <w:uiPriority w:val="9"/>
    <w:semiHidden/>
    <w:rsid w:val="00CE5230"/>
    <w:rPr>
      <w:rFonts w:asciiTheme="majorHAnsi" w:eastAsiaTheme="majorEastAsia" w:hAnsiTheme="majorHAnsi" w:cstheme="majorBidi"/>
      <w:color w:val="1F4D78" w:themeColor="accent1" w:themeShade="7F"/>
      <w:sz w:val="24"/>
      <w:szCs w:val="24"/>
      <w:lang w:val="en-US" w:eastAsia="en-US"/>
    </w:rPr>
  </w:style>
  <w:style w:type="character" w:styleId="Textoennegrita">
    <w:name w:val="Strong"/>
    <w:basedOn w:val="Fuentedeprrafopredeter"/>
    <w:uiPriority w:val="22"/>
    <w:qFormat/>
    <w:rsid w:val="00CE5230"/>
    <w:rPr>
      <w:b/>
      <w:bCs/>
    </w:rPr>
  </w:style>
  <w:style w:type="character" w:styleId="nfasis">
    <w:name w:val="Emphasis"/>
    <w:basedOn w:val="Fuentedeprrafopredeter"/>
    <w:uiPriority w:val="20"/>
    <w:qFormat/>
    <w:rsid w:val="00CE523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112585">
      <w:bodyDiv w:val="1"/>
      <w:marLeft w:val="0"/>
      <w:marRight w:val="0"/>
      <w:marTop w:val="0"/>
      <w:marBottom w:val="0"/>
      <w:divBdr>
        <w:top w:val="none" w:sz="0" w:space="0" w:color="auto"/>
        <w:left w:val="none" w:sz="0" w:space="0" w:color="auto"/>
        <w:bottom w:val="none" w:sz="0" w:space="0" w:color="auto"/>
        <w:right w:val="none" w:sz="0" w:space="0" w:color="auto"/>
      </w:divBdr>
    </w:div>
    <w:div w:id="457920987">
      <w:bodyDiv w:val="1"/>
      <w:marLeft w:val="0"/>
      <w:marRight w:val="0"/>
      <w:marTop w:val="0"/>
      <w:marBottom w:val="0"/>
      <w:divBdr>
        <w:top w:val="none" w:sz="0" w:space="0" w:color="auto"/>
        <w:left w:val="none" w:sz="0" w:space="0" w:color="auto"/>
        <w:bottom w:val="none" w:sz="0" w:space="0" w:color="auto"/>
        <w:right w:val="none" w:sz="0" w:space="0" w:color="auto"/>
      </w:divBdr>
    </w:div>
    <w:div w:id="1347948943">
      <w:bodyDiv w:val="1"/>
      <w:marLeft w:val="0"/>
      <w:marRight w:val="0"/>
      <w:marTop w:val="0"/>
      <w:marBottom w:val="0"/>
      <w:divBdr>
        <w:top w:val="none" w:sz="0" w:space="0" w:color="auto"/>
        <w:left w:val="none" w:sz="0" w:space="0" w:color="auto"/>
        <w:bottom w:val="none" w:sz="0" w:space="0" w:color="auto"/>
        <w:right w:val="none" w:sz="0" w:space="0" w:color="auto"/>
      </w:divBdr>
    </w:div>
    <w:div w:id="1361122512">
      <w:bodyDiv w:val="1"/>
      <w:marLeft w:val="0"/>
      <w:marRight w:val="0"/>
      <w:marTop w:val="0"/>
      <w:marBottom w:val="0"/>
      <w:divBdr>
        <w:top w:val="none" w:sz="0" w:space="0" w:color="auto"/>
        <w:left w:val="none" w:sz="0" w:space="0" w:color="auto"/>
        <w:bottom w:val="none" w:sz="0" w:space="0" w:color="auto"/>
        <w:right w:val="none" w:sz="0" w:space="0" w:color="auto"/>
      </w:divBdr>
    </w:div>
    <w:div w:id="1399473122">
      <w:bodyDiv w:val="1"/>
      <w:marLeft w:val="0"/>
      <w:marRight w:val="0"/>
      <w:marTop w:val="0"/>
      <w:marBottom w:val="0"/>
      <w:divBdr>
        <w:top w:val="none" w:sz="0" w:space="0" w:color="auto"/>
        <w:left w:val="none" w:sz="0" w:space="0" w:color="auto"/>
        <w:bottom w:val="none" w:sz="0" w:space="0" w:color="auto"/>
        <w:right w:val="none" w:sz="0" w:space="0" w:color="auto"/>
      </w:divBdr>
      <w:divsChild>
        <w:div w:id="1983999165">
          <w:marLeft w:val="0"/>
          <w:marRight w:val="0"/>
          <w:marTop w:val="0"/>
          <w:marBottom w:val="0"/>
          <w:divBdr>
            <w:top w:val="none" w:sz="0" w:space="0" w:color="auto"/>
            <w:left w:val="none" w:sz="0" w:space="0" w:color="auto"/>
            <w:bottom w:val="none" w:sz="0" w:space="0" w:color="auto"/>
            <w:right w:val="none" w:sz="0" w:space="0" w:color="auto"/>
          </w:divBdr>
        </w:div>
        <w:div w:id="929968236">
          <w:marLeft w:val="0"/>
          <w:marRight w:val="0"/>
          <w:marTop w:val="0"/>
          <w:marBottom w:val="0"/>
          <w:divBdr>
            <w:top w:val="none" w:sz="0" w:space="0" w:color="auto"/>
            <w:left w:val="none" w:sz="0" w:space="0" w:color="auto"/>
            <w:bottom w:val="none" w:sz="0" w:space="0" w:color="auto"/>
            <w:right w:val="none" w:sz="0" w:space="0" w:color="auto"/>
          </w:divBdr>
        </w:div>
        <w:div w:id="848758261">
          <w:marLeft w:val="0"/>
          <w:marRight w:val="0"/>
          <w:marTop w:val="0"/>
          <w:marBottom w:val="0"/>
          <w:divBdr>
            <w:top w:val="none" w:sz="0" w:space="0" w:color="auto"/>
            <w:left w:val="none" w:sz="0" w:space="0" w:color="auto"/>
            <w:bottom w:val="none" w:sz="0" w:space="0" w:color="auto"/>
            <w:right w:val="none" w:sz="0" w:space="0" w:color="auto"/>
          </w:divBdr>
        </w:div>
        <w:div w:id="431513428">
          <w:marLeft w:val="0"/>
          <w:marRight w:val="0"/>
          <w:marTop w:val="0"/>
          <w:marBottom w:val="0"/>
          <w:divBdr>
            <w:top w:val="none" w:sz="0" w:space="0" w:color="auto"/>
            <w:left w:val="none" w:sz="0" w:space="0" w:color="auto"/>
            <w:bottom w:val="none" w:sz="0" w:space="0" w:color="auto"/>
            <w:right w:val="none" w:sz="0" w:space="0" w:color="auto"/>
          </w:divBdr>
        </w:div>
        <w:div w:id="1259873732">
          <w:marLeft w:val="0"/>
          <w:marRight w:val="0"/>
          <w:marTop w:val="0"/>
          <w:marBottom w:val="0"/>
          <w:divBdr>
            <w:top w:val="none" w:sz="0" w:space="0" w:color="auto"/>
            <w:left w:val="none" w:sz="0" w:space="0" w:color="auto"/>
            <w:bottom w:val="none" w:sz="0" w:space="0" w:color="auto"/>
            <w:right w:val="none" w:sz="0" w:space="0" w:color="auto"/>
          </w:divBdr>
        </w:div>
      </w:divsChild>
    </w:div>
    <w:div w:id="1402941731">
      <w:bodyDiv w:val="1"/>
      <w:marLeft w:val="0"/>
      <w:marRight w:val="0"/>
      <w:marTop w:val="0"/>
      <w:marBottom w:val="0"/>
      <w:divBdr>
        <w:top w:val="none" w:sz="0" w:space="0" w:color="auto"/>
        <w:left w:val="none" w:sz="0" w:space="0" w:color="auto"/>
        <w:bottom w:val="none" w:sz="0" w:space="0" w:color="auto"/>
        <w:right w:val="none" w:sz="0" w:space="0" w:color="auto"/>
      </w:divBdr>
    </w:div>
    <w:div w:id="1601600847">
      <w:bodyDiv w:val="1"/>
      <w:marLeft w:val="0"/>
      <w:marRight w:val="0"/>
      <w:marTop w:val="0"/>
      <w:marBottom w:val="0"/>
      <w:divBdr>
        <w:top w:val="none" w:sz="0" w:space="0" w:color="auto"/>
        <w:left w:val="none" w:sz="0" w:space="0" w:color="auto"/>
        <w:bottom w:val="none" w:sz="0" w:space="0" w:color="auto"/>
        <w:right w:val="none" w:sz="0" w:space="0" w:color="auto"/>
      </w:divBdr>
      <w:divsChild>
        <w:div w:id="1895921057">
          <w:blockQuote w:val="1"/>
          <w:marLeft w:val="720"/>
          <w:marRight w:val="720"/>
          <w:marTop w:val="100"/>
          <w:marBottom w:val="100"/>
          <w:divBdr>
            <w:top w:val="none" w:sz="0" w:space="0" w:color="auto"/>
            <w:left w:val="none" w:sz="0" w:space="0" w:color="auto"/>
            <w:bottom w:val="none" w:sz="0" w:space="0" w:color="auto"/>
            <w:right w:val="none" w:sz="0" w:space="0" w:color="auto"/>
          </w:divBdr>
        </w:div>
        <w:div w:id="1602951609">
          <w:blockQuote w:val="1"/>
          <w:marLeft w:val="720"/>
          <w:marRight w:val="720"/>
          <w:marTop w:val="100"/>
          <w:marBottom w:val="100"/>
          <w:divBdr>
            <w:top w:val="none" w:sz="0" w:space="0" w:color="auto"/>
            <w:left w:val="none" w:sz="0" w:space="0" w:color="auto"/>
            <w:bottom w:val="none" w:sz="0" w:space="0" w:color="auto"/>
            <w:right w:val="none" w:sz="0" w:space="0" w:color="auto"/>
          </w:divBdr>
        </w:div>
        <w:div w:id="1737968285">
          <w:blockQuote w:val="1"/>
          <w:marLeft w:val="720"/>
          <w:marRight w:val="720"/>
          <w:marTop w:val="100"/>
          <w:marBottom w:val="100"/>
          <w:divBdr>
            <w:top w:val="none" w:sz="0" w:space="0" w:color="auto"/>
            <w:left w:val="none" w:sz="0" w:space="0" w:color="auto"/>
            <w:bottom w:val="none" w:sz="0" w:space="0" w:color="auto"/>
            <w:right w:val="none" w:sz="0" w:space="0" w:color="auto"/>
          </w:divBdr>
        </w:div>
        <w:div w:id="2139642057">
          <w:blockQuote w:val="1"/>
          <w:marLeft w:val="720"/>
          <w:marRight w:val="720"/>
          <w:marTop w:val="100"/>
          <w:marBottom w:val="100"/>
          <w:divBdr>
            <w:top w:val="none" w:sz="0" w:space="0" w:color="auto"/>
            <w:left w:val="none" w:sz="0" w:space="0" w:color="auto"/>
            <w:bottom w:val="none" w:sz="0" w:space="0" w:color="auto"/>
            <w:right w:val="none" w:sz="0" w:space="0" w:color="auto"/>
          </w:divBdr>
        </w:div>
        <w:div w:id="948858614">
          <w:blockQuote w:val="1"/>
          <w:marLeft w:val="720"/>
          <w:marRight w:val="720"/>
          <w:marTop w:val="100"/>
          <w:marBottom w:val="100"/>
          <w:divBdr>
            <w:top w:val="none" w:sz="0" w:space="0" w:color="auto"/>
            <w:left w:val="none" w:sz="0" w:space="0" w:color="auto"/>
            <w:bottom w:val="none" w:sz="0" w:space="0" w:color="auto"/>
            <w:right w:val="none" w:sz="0" w:space="0" w:color="auto"/>
          </w:divBdr>
        </w:div>
        <w:div w:id="2081900061">
          <w:blockQuote w:val="1"/>
          <w:marLeft w:val="720"/>
          <w:marRight w:val="720"/>
          <w:marTop w:val="100"/>
          <w:marBottom w:val="100"/>
          <w:divBdr>
            <w:top w:val="none" w:sz="0" w:space="0" w:color="auto"/>
            <w:left w:val="none" w:sz="0" w:space="0" w:color="auto"/>
            <w:bottom w:val="none" w:sz="0" w:space="0" w:color="auto"/>
            <w:right w:val="none" w:sz="0" w:space="0" w:color="auto"/>
          </w:divBdr>
        </w:div>
        <w:div w:id="139149138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93844764">
      <w:bodyDiv w:val="1"/>
      <w:marLeft w:val="0"/>
      <w:marRight w:val="0"/>
      <w:marTop w:val="0"/>
      <w:marBottom w:val="0"/>
      <w:divBdr>
        <w:top w:val="none" w:sz="0" w:space="0" w:color="auto"/>
        <w:left w:val="none" w:sz="0" w:space="0" w:color="auto"/>
        <w:bottom w:val="none" w:sz="0" w:space="0" w:color="auto"/>
        <w:right w:val="none" w:sz="0" w:space="0" w:color="auto"/>
      </w:divBdr>
    </w:div>
    <w:div w:id="2066179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6</Pages>
  <Words>1519</Words>
  <Characters>8509</Characters>
  <Application>Microsoft Office Word</Application>
  <DocSecurity>0</DocSecurity>
  <Lines>70</Lines>
  <Paragraphs>20</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10008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Angel A. Negrón De León</dc:creator>
  <cp:keywords/>
  <cp:lastModifiedBy>Rocío Alayón Morell</cp:lastModifiedBy>
  <cp:revision>7</cp:revision>
  <cp:lastPrinted>2025-03-11T15:04:00Z</cp:lastPrinted>
  <dcterms:created xsi:type="dcterms:W3CDTF">2025-03-10T18:15:00Z</dcterms:created>
  <dcterms:modified xsi:type="dcterms:W3CDTF">2025-03-11T15:05:00Z</dcterms:modified>
</cp:coreProperties>
</file>