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5E321" w14:textId="43FD7837" w:rsidR="00FF6BD2" w:rsidRPr="00C55AE9" w:rsidRDefault="005075AF" w:rsidP="00C51C81">
      <w:pPr>
        <w:jc w:val="center"/>
        <w:rPr>
          <w:rFonts w:ascii="Book Antiqua" w:hAnsi="Book Antiqua"/>
          <w:sz w:val="28"/>
          <w:lang w:val="es-ES_tradnl"/>
        </w:rPr>
      </w:pPr>
      <w:r w:rsidRPr="00C55AE9">
        <w:rPr>
          <w:rFonts w:ascii="Book Antiqua" w:hAnsi="Book Antiqua"/>
          <w:sz w:val="28"/>
          <w:lang w:val="es-ES_tradnl"/>
        </w:rPr>
        <w:t>GOBIERNO</w:t>
      </w:r>
      <w:r w:rsidR="00585EFC" w:rsidRPr="00C55AE9">
        <w:rPr>
          <w:rFonts w:ascii="Book Antiqua" w:hAnsi="Book Antiqua"/>
          <w:sz w:val="28"/>
          <w:lang w:val="es-ES_tradnl"/>
        </w:rPr>
        <w:t xml:space="preserve"> DE PUERTO RICO</w:t>
      </w:r>
    </w:p>
    <w:p w14:paraId="53176631" w14:textId="77777777" w:rsidR="00585EFC" w:rsidRPr="00C51C81" w:rsidRDefault="00585EFC" w:rsidP="00C51C81">
      <w:pPr>
        <w:jc w:val="center"/>
        <w:rPr>
          <w:rFonts w:ascii="Book Antiqua" w:hAnsi="Book Antiqua"/>
          <w:szCs w:val="24"/>
          <w:lang w:val="es-ES_tradnl"/>
        </w:rPr>
      </w:pPr>
    </w:p>
    <w:p w14:paraId="43B853B8" w14:textId="44C02B83" w:rsidR="00585EFC" w:rsidRPr="00C55AE9" w:rsidRDefault="008B32D3" w:rsidP="00C51C81">
      <w:pPr>
        <w:pStyle w:val="Title2"/>
        <w:rPr>
          <w:rFonts w:ascii="Book Antiqua" w:hAnsi="Book Antiqua"/>
          <w:lang w:val="es-ES_tradnl"/>
        </w:rPr>
      </w:pPr>
      <w:r w:rsidRPr="00C55AE9">
        <w:rPr>
          <w:rFonts w:ascii="Book Antiqua" w:hAnsi="Book Antiqua"/>
          <w:lang w:val="es-ES_tradnl"/>
        </w:rPr>
        <w:t>20</w:t>
      </w:r>
      <w:r w:rsidR="00585EFC" w:rsidRPr="00C55AE9">
        <w:rPr>
          <w:rFonts w:ascii="Book Antiqua" w:hAnsi="Book Antiqua"/>
          <w:lang w:val="es-ES_tradnl"/>
        </w:rPr>
        <w:t xml:space="preserve"> </w:t>
      </w:r>
      <w:proofErr w:type="spellStart"/>
      <w:r w:rsidRPr="00C55AE9">
        <w:rPr>
          <w:rFonts w:ascii="Book Antiqua" w:hAnsi="Book Antiqua"/>
          <w:vertAlign w:val="superscript"/>
          <w:lang w:val="es-ES_tradnl"/>
        </w:rPr>
        <w:t>m</w:t>
      </w:r>
      <w:r w:rsidR="00585EFC" w:rsidRPr="00C55AE9">
        <w:rPr>
          <w:rFonts w:ascii="Book Antiqua" w:hAnsi="Book Antiqua"/>
          <w:vertAlign w:val="superscript"/>
          <w:lang w:val="es-ES_tradnl"/>
        </w:rPr>
        <w:t>a</w:t>
      </w:r>
      <w:proofErr w:type="spellEnd"/>
      <w:r w:rsidR="00585EFC" w:rsidRPr="00C55AE9">
        <w:rPr>
          <w:rFonts w:ascii="Book Antiqua" w:hAnsi="Book Antiqua"/>
          <w:lang w:val="es-ES_tradnl"/>
        </w:rPr>
        <w:tab/>
        <w:t>Asamblea</w:t>
      </w:r>
      <w:r w:rsidR="00585EFC" w:rsidRPr="00C55AE9">
        <w:rPr>
          <w:rFonts w:ascii="Book Antiqua" w:hAnsi="Book Antiqua"/>
          <w:lang w:val="es-ES_tradnl"/>
        </w:rPr>
        <w:tab/>
        <w:t xml:space="preserve">1 </w:t>
      </w:r>
      <w:proofErr w:type="spellStart"/>
      <w:r w:rsidR="00585EFC" w:rsidRPr="00C55AE9">
        <w:rPr>
          <w:rFonts w:ascii="Book Antiqua" w:hAnsi="Book Antiqua"/>
          <w:vertAlign w:val="superscript"/>
          <w:lang w:val="es-ES_tradnl"/>
        </w:rPr>
        <w:t>ra</w:t>
      </w:r>
      <w:proofErr w:type="spellEnd"/>
      <w:r w:rsidR="00585EFC" w:rsidRPr="00C55AE9">
        <w:rPr>
          <w:rFonts w:ascii="Book Antiqua" w:hAnsi="Book Antiqua"/>
          <w:lang w:val="es-ES_tradnl"/>
        </w:rPr>
        <w:tab/>
        <w:t>Sesión</w:t>
      </w:r>
    </w:p>
    <w:p w14:paraId="1170A598" w14:textId="77777777" w:rsidR="00585EFC" w:rsidRPr="00C55AE9" w:rsidRDefault="00585EFC" w:rsidP="00C51C81">
      <w:pPr>
        <w:pStyle w:val="Title2"/>
        <w:rPr>
          <w:rFonts w:ascii="Book Antiqua" w:hAnsi="Book Antiqua"/>
          <w:lang w:val="es-ES_tradnl"/>
        </w:rPr>
      </w:pPr>
      <w:r w:rsidRPr="00C55AE9">
        <w:rPr>
          <w:rFonts w:ascii="Book Antiqua" w:hAnsi="Book Antiqua"/>
          <w:lang w:val="es-ES_tradnl"/>
        </w:rPr>
        <w:tab/>
        <w:t>Legislativa</w:t>
      </w:r>
      <w:r w:rsidRPr="00C55AE9">
        <w:rPr>
          <w:rFonts w:ascii="Book Antiqua" w:hAnsi="Book Antiqua"/>
          <w:lang w:val="es-ES_tradnl"/>
        </w:rPr>
        <w:tab/>
      </w:r>
      <w:r w:rsidRPr="00C55AE9">
        <w:rPr>
          <w:rFonts w:ascii="Book Antiqua" w:hAnsi="Book Antiqua"/>
          <w:lang w:val="es-ES_tradnl"/>
        </w:rPr>
        <w:tab/>
        <w:t>Ordinaria</w:t>
      </w:r>
    </w:p>
    <w:p w14:paraId="298D7357" w14:textId="77777777" w:rsidR="00585EFC" w:rsidRPr="00C55AE9" w:rsidRDefault="00585EFC" w:rsidP="00C51C81">
      <w:pPr>
        <w:rPr>
          <w:rFonts w:ascii="Book Antiqua" w:hAnsi="Book Antiqua"/>
          <w:lang w:val="es-ES_tradnl"/>
        </w:rPr>
      </w:pPr>
    </w:p>
    <w:p w14:paraId="328E9025" w14:textId="77777777" w:rsidR="00585EFC" w:rsidRDefault="00585EFC" w:rsidP="00C51C81">
      <w:pPr>
        <w:jc w:val="center"/>
        <w:rPr>
          <w:rFonts w:ascii="Book Antiqua" w:hAnsi="Book Antiqua"/>
          <w:b/>
          <w:sz w:val="36"/>
          <w:lang w:val="es-ES_tradnl"/>
        </w:rPr>
      </w:pPr>
      <w:r w:rsidRPr="00C55AE9">
        <w:rPr>
          <w:rFonts w:ascii="Book Antiqua" w:hAnsi="Book Antiqua"/>
          <w:b/>
          <w:sz w:val="36"/>
          <w:lang w:val="es-ES_tradnl"/>
        </w:rPr>
        <w:t>CÁMARA DE REPRESENTANTES</w:t>
      </w:r>
    </w:p>
    <w:p w14:paraId="5A379D08" w14:textId="77777777" w:rsidR="00C51C81" w:rsidRPr="00C51C81" w:rsidRDefault="00C51C81" w:rsidP="00C51C81">
      <w:pPr>
        <w:jc w:val="center"/>
        <w:rPr>
          <w:rFonts w:ascii="Book Antiqua" w:hAnsi="Book Antiqua"/>
          <w:b/>
          <w:szCs w:val="24"/>
          <w:lang w:val="es-ES_tradnl"/>
        </w:rPr>
      </w:pPr>
    </w:p>
    <w:p w14:paraId="223CB67B" w14:textId="7A6C3D26" w:rsidR="00585EFC" w:rsidRDefault="00585EFC" w:rsidP="00C51C81">
      <w:pPr>
        <w:jc w:val="center"/>
        <w:rPr>
          <w:rFonts w:ascii="Book Antiqua" w:hAnsi="Book Antiqua"/>
          <w:b/>
          <w:sz w:val="52"/>
          <w:lang w:val="es-ES_tradnl"/>
        </w:rPr>
      </w:pPr>
      <w:r w:rsidRPr="00C55AE9">
        <w:rPr>
          <w:rFonts w:ascii="Book Antiqua" w:hAnsi="Book Antiqua"/>
          <w:b/>
          <w:sz w:val="52"/>
          <w:lang w:val="es-ES_tradnl"/>
        </w:rPr>
        <w:t xml:space="preserve">P. de la C. </w:t>
      </w:r>
      <w:r w:rsidR="001E543B">
        <w:rPr>
          <w:rFonts w:ascii="Book Antiqua" w:hAnsi="Book Antiqua"/>
          <w:b/>
          <w:sz w:val="52"/>
          <w:lang w:val="es-ES_tradnl"/>
        </w:rPr>
        <w:t>393</w:t>
      </w:r>
    </w:p>
    <w:p w14:paraId="685C8945" w14:textId="77777777" w:rsidR="00C51C81" w:rsidRPr="00C51C81" w:rsidRDefault="00C51C81" w:rsidP="00C51C81">
      <w:pPr>
        <w:jc w:val="center"/>
        <w:rPr>
          <w:rFonts w:ascii="Book Antiqua" w:hAnsi="Book Antiqua"/>
          <w:b/>
          <w:szCs w:val="24"/>
          <w:lang w:val="es-ES_tradnl"/>
        </w:rPr>
      </w:pPr>
    </w:p>
    <w:p w14:paraId="47141F25" w14:textId="32F27F44" w:rsidR="00A65BF4" w:rsidRDefault="00B0647E" w:rsidP="00C51C81">
      <w:pPr>
        <w:jc w:val="center"/>
        <w:rPr>
          <w:rFonts w:ascii="Book Antiqua" w:hAnsi="Book Antiqua"/>
          <w:lang w:val="es-ES_tradnl"/>
        </w:rPr>
      </w:pPr>
      <w:r>
        <w:rPr>
          <w:rFonts w:ascii="Book Antiqua" w:hAnsi="Book Antiqua"/>
          <w:lang w:val="es-ES_tradnl"/>
        </w:rPr>
        <w:t>10</w:t>
      </w:r>
      <w:r w:rsidR="005075AF" w:rsidRPr="00C55AE9">
        <w:rPr>
          <w:rFonts w:ascii="Book Antiqua" w:hAnsi="Book Antiqua"/>
          <w:lang w:val="es-ES_tradnl"/>
        </w:rPr>
        <w:t xml:space="preserve"> </w:t>
      </w:r>
      <w:r w:rsidR="00585EFC" w:rsidRPr="00C55AE9">
        <w:rPr>
          <w:rFonts w:ascii="Book Antiqua" w:hAnsi="Book Antiqua"/>
          <w:lang w:val="es-ES_tradnl"/>
        </w:rPr>
        <w:t xml:space="preserve">DE </w:t>
      </w:r>
      <w:r w:rsidR="006E418D" w:rsidRPr="00C55AE9">
        <w:rPr>
          <w:rFonts w:ascii="Book Antiqua" w:hAnsi="Book Antiqua"/>
          <w:lang w:val="es-ES_tradnl"/>
        </w:rPr>
        <w:t>MARZO</w:t>
      </w:r>
      <w:r w:rsidR="00585EFC" w:rsidRPr="00C55AE9">
        <w:rPr>
          <w:rFonts w:ascii="Book Antiqua" w:hAnsi="Book Antiqua"/>
          <w:lang w:val="es-ES_tradnl"/>
        </w:rPr>
        <w:t xml:space="preserve"> DE 202</w:t>
      </w:r>
      <w:r w:rsidR="008B32D3" w:rsidRPr="00C55AE9">
        <w:rPr>
          <w:rFonts w:ascii="Book Antiqua" w:hAnsi="Book Antiqua"/>
          <w:lang w:val="es-ES_tradnl"/>
        </w:rPr>
        <w:t>5</w:t>
      </w:r>
    </w:p>
    <w:p w14:paraId="65122CC2" w14:textId="77777777" w:rsidR="00C51C81" w:rsidRPr="00C55AE9" w:rsidRDefault="00C51C81" w:rsidP="00C51C81">
      <w:pPr>
        <w:jc w:val="center"/>
        <w:rPr>
          <w:rFonts w:ascii="Book Antiqua" w:hAnsi="Book Antiqua"/>
          <w:lang w:val="es-ES_tradnl"/>
        </w:rPr>
      </w:pPr>
    </w:p>
    <w:p w14:paraId="7DE72A35" w14:textId="77777777" w:rsidR="00C51C81" w:rsidRDefault="00C51C81" w:rsidP="00C51C81">
      <w:pPr>
        <w:widowControl w:val="0"/>
        <w:suppressLineNumbers/>
        <w:ind w:left="450" w:hanging="450"/>
        <w:jc w:val="both"/>
        <w:rPr>
          <w:rFonts w:ascii="Book Antiqua" w:hAnsi="Book Antiqua"/>
          <w:i/>
          <w:szCs w:val="24"/>
          <w:lang w:val="es-ES_tradnl"/>
        </w:rPr>
      </w:pPr>
      <w:r w:rsidRPr="0058418B">
        <w:rPr>
          <w:rFonts w:ascii="Book Antiqua" w:hAnsi="Book Antiqua"/>
          <w:szCs w:val="24"/>
          <w:lang w:val="es-ES_tradnl"/>
        </w:rPr>
        <w:t>Presentado por las representantes</w:t>
      </w:r>
      <w:r w:rsidRPr="0058418B">
        <w:rPr>
          <w:rFonts w:ascii="Book Antiqua" w:hAnsi="Book Antiqua"/>
          <w:i/>
          <w:iCs/>
          <w:szCs w:val="24"/>
          <w:lang w:val="es-ES_tradnl"/>
        </w:rPr>
        <w:t xml:space="preserve"> </w:t>
      </w:r>
      <w:proofErr w:type="spellStart"/>
      <w:r w:rsidRPr="0058418B">
        <w:rPr>
          <w:rFonts w:ascii="Book Antiqua" w:hAnsi="Book Antiqua"/>
          <w:i/>
          <w:szCs w:val="24"/>
          <w:lang w:val="es-ES_tradnl"/>
        </w:rPr>
        <w:t>Hau</w:t>
      </w:r>
      <w:proofErr w:type="spellEnd"/>
      <w:r w:rsidRPr="0058418B">
        <w:rPr>
          <w:rFonts w:ascii="Book Antiqua" w:hAnsi="Book Antiqua"/>
          <w:i/>
          <w:szCs w:val="24"/>
          <w:lang w:val="es-ES_tradnl"/>
        </w:rPr>
        <w:t xml:space="preserve">, Higgins Cuadrado, Martínez Soto, Rosas Vargas, Vargas Laureano; </w:t>
      </w:r>
      <w:r w:rsidRPr="0058418B">
        <w:rPr>
          <w:rFonts w:ascii="Book Antiqua" w:hAnsi="Book Antiqua"/>
          <w:iCs/>
          <w:szCs w:val="24"/>
          <w:lang w:val="es-ES_tradnl"/>
        </w:rPr>
        <w:t>los representantes</w:t>
      </w:r>
      <w:r w:rsidRPr="0058418B">
        <w:rPr>
          <w:rFonts w:ascii="Book Antiqua" w:hAnsi="Book Antiqua"/>
          <w:i/>
          <w:szCs w:val="24"/>
          <w:lang w:val="es-ES_tradnl"/>
        </w:rPr>
        <w:t xml:space="preserve"> </w:t>
      </w:r>
      <w:r w:rsidRPr="0058418B">
        <w:rPr>
          <w:rFonts w:ascii="Book Antiqua" w:hAnsi="Book Antiqua"/>
          <w:i/>
          <w:iCs/>
          <w:szCs w:val="24"/>
          <w:lang w:val="es-ES_tradnl"/>
        </w:rPr>
        <w:t>Ferrer Santiago</w:t>
      </w:r>
      <w:r w:rsidRPr="0058418B">
        <w:rPr>
          <w:rFonts w:ascii="Book Antiqua" w:hAnsi="Book Antiqua"/>
          <w:i/>
          <w:szCs w:val="24"/>
          <w:lang w:val="es-ES_tradnl"/>
        </w:rPr>
        <w:t xml:space="preserve">, Torres García, Feliciano Sánchez, Figueroa Acevedo, </w:t>
      </w:r>
      <w:proofErr w:type="spellStart"/>
      <w:r w:rsidRPr="0058418B">
        <w:rPr>
          <w:rFonts w:ascii="Book Antiqua" w:hAnsi="Book Antiqua"/>
          <w:i/>
          <w:szCs w:val="24"/>
          <w:lang w:val="es-ES_tradnl"/>
        </w:rPr>
        <w:t>Fourquet</w:t>
      </w:r>
      <w:proofErr w:type="spellEnd"/>
      <w:r w:rsidRPr="0058418B">
        <w:rPr>
          <w:rFonts w:ascii="Book Antiqua" w:hAnsi="Book Antiqua"/>
          <w:i/>
          <w:szCs w:val="24"/>
          <w:lang w:val="es-ES_tradnl"/>
        </w:rPr>
        <w:t xml:space="preserve"> Cordero, Rivera Ruiz de Porras, Torres Cruz </w:t>
      </w:r>
      <w:r w:rsidRPr="0058418B">
        <w:rPr>
          <w:rFonts w:ascii="Book Antiqua" w:hAnsi="Book Antiqua"/>
          <w:iCs/>
          <w:szCs w:val="24"/>
          <w:lang w:val="es-ES_tradnl"/>
        </w:rPr>
        <w:t>y</w:t>
      </w:r>
      <w:r w:rsidRPr="0058418B">
        <w:rPr>
          <w:rFonts w:ascii="Book Antiqua" w:hAnsi="Book Antiqua"/>
          <w:i/>
          <w:szCs w:val="24"/>
          <w:lang w:val="es-ES_tradnl"/>
        </w:rPr>
        <w:t xml:space="preserve"> Varela Fernández </w:t>
      </w:r>
    </w:p>
    <w:p w14:paraId="01D4A74B" w14:textId="7E6182E3" w:rsidR="00C51C81" w:rsidRPr="0058418B" w:rsidRDefault="00C51C81" w:rsidP="00C51C81">
      <w:pPr>
        <w:widowControl w:val="0"/>
        <w:suppressLineNumbers/>
        <w:ind w:left="450" w:hanging="450"/>
        <w:jc w:val="both"/>
        <w:rPr>
          <w:rFonts w:ascii="Book Antiqua" w:hAnsi="Book Antiqua"/>
          <w:i/>
          <w:szCs w:val="24"/>
          <w:lang w:val="es-ES_tradnl"/>
        </w:rPr>
      </w:pPr>
      <w:r w:rsidRPr="0058418B">
        <w:rPr>
          <w:rFonts w:ascii="Book Antiqua" w:hAnsi="Book Antiqua"/>
          <w:i/>
          <w:szCs w:val="24"/>
          <w:lang w:val="es-ES_tradnl"/>
        </w:rPr>
        <w:t xml:space="preserve"> </w:t>
      </w:r>
    </w:p>
    <w:p w14:paraId="6E1A0940" w14:textId="4C0C64AB" w:rsidR="00585EFC" w:rsidRPr="00C55AE9" w:rsidRDefault="00CF4FAD" w:rsidP="00C51C81">
      <w:pPr>
        <w:jc w:val="center"/>
        <w:rPr>
          <w:rFonts w:ascii="Book Antiqua" w:hAnsi="Book Antiqua"/>
          <w:lang w:val="es-ES_tradnl"/>
        </w:rPr>
      </w:pPr>
      <w:r w:rsidRPr="00C55AE9">
        <w:rPr>
          <w:rFonts w:ascii="Book Antiqua" w:hAnsi="Book Antiqua"/>
          <w:lang w:val="es-ES_tradnl"/>
        </w:rPr>
        <w:t>Referido a</w:t>
      </w:r>
      <w:r w:rsidRPr="00C55AE9">
        <w:rPr>
          <w:rFonts w:ascii="Book Antiqua" w:hAnsi="Book Antiqua"/>
          <w:lang w:val="es-ES_tradnl"/>
        </w:rPr>
        <w:t xml:space="preserve"> </w:t>
      </w:r>
      <w:r>
        <w:rPr>
          <w:rFonts w:ascii="Book Antiqua" w:hAnsi="Book Antiqua"/>
          <w:lang w:val="es-ES_tradnl"/>
        </w:rPr>
        <w:t>la Comisión del Trabajo y Asuntos Laborales</w:t>
      </w:r>
    </w:p>
    <w:p w14:paraId="77E1BC61" w14:textId="77777777" w:rsidR="00585EFC" w:rsidRPr="00C55AE9" w:rsidRDefault="00585EFC" w:rsidP="00C51C81">
      <w:pPr>
        <w:jc w:val="both"/>
        <w:rPr>
          <w:rFonts w:ascii="Book Antiqua" w:hAnsi="Book Antiqua"/>
          <w:lang w:val="es-ES_tradnl"/>
        </w:rPr>
      </w:pPr>
    </w:p>
    <w:p w14:paraId="2A04D73E" w14:textId="77777777" w:rsidR="00585EFC" w:rsidRPr="00C55AE9" w:rsidRDefault="00585EFC" w:rsidP="00C51C81">
      <w:pPr>
        <w:jc w:val="center"/>
        <w:rPr>
          <w:rFonts w:ascii="Book Antiqua" w:hAnsi="Book Antiqua"/>
          <w:b/>
          <w:sz w:val="28"/>
          <w:lang w:val="es-ES_tradnl"/>
        </w:rPr>
      </w:pPr>
      <w:r w:rsidRPr="00C55AE9">
        <w:rPr>
          <w:rFonts w:ascii="Book Antiqua" w:hAnsi="Book Antiqua"/>
          <w:b/>
          <w:sz w:val="28"/>
          <w:lang w:val="es-ES_tradnl"/>
        </w:rPr>
        <w:t>LEY</w:t>
      </w:r>
    </w:p>
    <w:p w14:paraId="16C21EB2" w14:textId="77777777" w:rsidR="00585EFC" w:rsidRPr="00C55AE9" w:rsidRDefault="00585EFC" w:rsidP="00C51C81">
      <w:pPr>
        <w:jc w:val="both"/>
        <w:rPr>
          <w:rFonts w:ascii="Book Antiqua" w:hAnsi="Book Antiqua"/>
          <w:lang w:val="es-ES_tradnl"/>
        </w:rPr>
      </w:pPr>
    </w:p>
    <w:p w14:paraId="642242FE" w14:textId="638407BD" w:rsidR="00E114BB" w:rsidRDefault="00E43C2C" w:rsidP="00C51C81">
      <w:pPr>
        <w:ind w:left="567" w:hanging="567"/>
        <w:jc w:val="both"/>
        <w:rPr>
          <w:rFonts w:ascii="Book Antiqua" w:hAnsi="Book Antiqua"/>
          <w:lang w:val="es-ES_tradnl"/>
        </w:rPr>
      </w:pPr>
      <w:r w:rsidRPr="00E114BB">
        <w:rPr>
          <w:rFonts w:ascii="Book Antiqua" w:hAnsi="Book Antiqua"/>
          <w:lang w:val="es-ES_tradnl"/>
        </w:rPr>
        <w:t xml:space="preserve">Para enmendar el Artículo 6, añadir un nuevo Artículo </w:t>
      </w:r>
      <w:r>
        <w:rPr>
          <w:rFonts w:ascii="Book Antiqua" w:hAnsi="Book Antiqua"/>
          <w:lang w:val="es-ES_tradnl"/>
        </w:rPr>
        <w:t>8</w:t>
      </w:r>
      <w:r w:rsidRPr="00E114BB">
        <w:rPr>
          <w:rFonts w:ascii="Book Antiqua" w:hAnsi="Book Antiqua"/>
          <w:lang w:val="es-ES_tradnl"/>
        </w:rPr>
        <w:t xml:space="preserve"> y reenumerar los actuales Artículos </w:t>
      </w:r>
      <w:r>
        <w:rPr>
          <w:rFonts w:ascii="Book Antiqua" w:hAnsi="Book Antiqua"/>
          <w:lang w:val="es-ES_tradnl"/>
        </w:rPr>
        <w:t>8</w:t>
      </w:r>
      <w:r w:rsidRPr="00E114BB">
        <w:rPr>
          <w:rFonts w:ascii="Book Antiqua" w:hAnsi="Book Antiqua"/>
          <w:lang w:val="es-ES_tradnl"/>
        </w:rPr>
        <w:t xml:space="preserve">, </w:t>
      </w:r>
      <w:r>
        <w:rPr>
          <w:rFonts w:ascii="Book Antiqua" w:hAnsi="Book Antiqua"/>
          <w:lang w:val="es-ES_tradnl"/>
        </w:rPr>
        <w:t xml:space="preserve">9, </w:t>
      </w:r>
      <w:r w:rsidRPr="00E114BB">
        <w:rPr>
          <w:rFonts w:ascii="Book Antiqua" w:hAnsi="Book Antiqua"/>
          <w:lang w:val="es-ES_tradnl"/>
        </w:rPr>
        <w:t xml:space="preserve">10 y 11 de la Ley 16-2017, según enmendada, conocida como “Ley de Igualdad Salarial de Puerto Rico”, a los fines de </w:t>
      </w:r>
      <w:r w:rsidR="00246FDD" w:rsidRPr="00246FDD">
        <w:rPr>
          <w:rFonts w:ascii="Book Antiqua" w:hAnsi="Book Antiqua"/>
          <w:lang w:val="es-ES_tradnl"/>
        </w:rPr>
        <w:t>establecer la obligación de los patronos de someter un Informe Anual Patronal de Igualdad Salarial; y para otros fines relacionados.</w:t>
      </w:r>
    </w:p>
    <w:p w14:paraId="4593B130" w14:textId="77777777" w:rsidR="00C51C81" w:rsidRDefault="00C51C81" w:rsidP="00C51C81">
      <w:pPr>
        <w:ind w:left="567" w:hanging="567"/>
        <w:jc w:val="both"/>
        <w:rPr>
          <w:rFonts w:ascii="Book Antiqua" w:hAnsi="Book Antiqua"/>
          <w:lang w:val="es-ES_tradnl"/>
        </w:rPr>
      </w:pPr>
    </w:p>
    <w:p w14:paraId="01278804" w14:textId="69A7C44A" w:rsidR="00585EFC" w:rsidRDefault="00585EFC" w:rsidP="00C51C81">
      <w:pPr>
        <w:ind w:firstLine="360"/>
        <w:jc w:val="center"/>
        <w:rPr>
          <w:rFonts w:ascii="Book Antiqua" w:hAnsi="Book Antiqua"/>
          <w:lang w:val="es-ES_tradnl"/>
        </w:rPr>
      </w:pPr>
      <w:r w:rsidRPr="0023379A">
        <w:rPr>
          <w:rFonts w:ascii="Book Antiqua" w:hAnsi="Book Antiqua"/>
          <w:lang w:val="es-ES_tradnl"/>
        </w:rPr>
        <w:t>EXPOSICIÓN DE MOTIVOS</w:t>
      </w:r>
    </w:p>
    <w:p w14:paraId="226B528A" w14:textId="77777777" w:rsidR="00C51C81" w:rsidRPr="0023379A" w:rsidRDefault="00C51C81" w:rsidP="00C51C81">
      <w:pPr>
        <w:ind w:firstLine="360"/>
        <w:jc w:val="center"/>
        <w:rPr>
          <w:rFonts w:ascii="Book Antiqua" w:hAnsi="Book Antiqua"/>
          <w:lang w:val="es-ES_tradnl"/>
        </w:rPr>
      </w:pPr>
    </w:p>
    <w:p w14:paraId="76FEED56" w14:textId="0104708E" w:rsidR="00246FDD" w:rsidRPr="00246FDD" w:rsidRDefault="00246FDD" w:rsidP="00C51C81">
      <w:pPr>
        <w:widowControl w:val="0"/>
        <w:ind w:firstLine="567"/>
        <w:jc w:val="both"/>
        <w:rPr>
          <w:rFonts w:ascii="Book Antiqua" w:hAnsi="Book Antiqua"/>
          <w:color w:val="000000"/>
          <w:szCs w:val="24"/>
          <w:lang w:val="es-ES_tradnl"/>
        </w:rPr>
      </w:pPr>
      <w:r w:rsidRPr="00246FDD">
        <w:rPr>
          <w:rFonts w:ascii="Book Antiqua" w:hAnsi="Book Antiqua"/>
          <w:color w:val="000000"/>
          <w:szCs w:val="24"/>
          <w:lang w:val="es-ES_tradnl"/>
        </w:rPr>
        <w:t xml:space="preserve">A pesar de los avances legislativos y de </w:t>
      </w:r>
      <w:r w:rsidR="00AF45D2">
        <w:rPr>
          <w:rFonts w:ascii="Book Antiqua" w:hAnsi="Book Antiqua"/>
          <w:color w:val="000000"/>
          <w:szCs w:val="24"/>
          <w:lang w:val="es-ES_tradnl"/>
        </w:rPr>
        <w:t xml:space="preserve">la </w:t>
      </w:r>
      <w:r w:rsidRPr="00246FDD">
        <w:rPr>
          <w:rFonts w:ascii="Book Antiqua" w:hAnsi="Book Antiqua"/>
          <w:color w:val="000000"/>
          <w:szCs w:val="24"/>
          <w:lang w:val="es-ES_tradnl"/>
        </w:rPr>
        <w:t xml:space="preserve">política pública en materia de igualdad salarial </w:t>
      </w:r>
      <w:r w:rsidR="005E6504" w:rsidRPr="00246FDD">
        <w:rPr>
          <w:rFonts w:ascii="Book Antiqua" w:hAnsi="Book Antiqua"/>
          <w:color w:val="000000"/>
          <w:szCs w:val="24"/>
          <w:lang w:val="es-ES_tradnl"/>
        </w:rPr>
        <w:t>alcanzados con</w:t>
      </w:r>
      <w:r w:rsidRPr="00246FDD">
        <w:rPr>
          <w:rFonts w:ascii="Book Antiqua" w:hAnsi="Book Antiqua"/>
          <w:color w:val="000000"/>
          <w:szCs w:val="24"/>
          <w:lang w:val="es-ES_tradnl"/>
        </w:rPr>
        <w:t xml:space="preserve"> la aprobación de la Ley 16-2017, según enmendada, conocida como la "Ley de Igualdad Salarial de Puerto Rico", persisten brechas significativas entre lo que establece la ley y la realidad que enfrentan miles de mujeres en el mercado laboral. Si bien la Ley 16-2017, </w:t>
      </w:r>
      <w:r w:rsidRPr="00246FDD">
        <w:rPr>
          <w:rFonts w:ascii="Book Antiqua" w:hAnsi="Book Antiqua"/>
          <w:i/>
          <w:iCs/>
          <w:color w:val="000000"/>
          <w:szCs w:val="24"/>
          <w:lang w:val="es-ES_tradnl"/>
        </w:rPr>
        <w:t>supra</w:t>
      </w:r>
      <w:r w:rsidRPr="00246FDD">
        <w:rPr>
          <w:rFonts w:ascii="Book Antiqua" w:hAnsi="Book Antiqua"/>
          <w:color w:val="000000"/>
          <w:szCs w:val="24"/>
          <w:lang w:val="es-ES_tradnl"/>
        </w:rPr>
        <w:t>, sentó las bases para promover la equidad en la compensación por trabajo de igual valor, la falta de mecanismos estructurados de monitoreo, análisis y fiscalización ha limitado su efectividad. Ante esta realidad, se hace necesario fortalecer el marco legal vigente mediante la implantación de herramientas de recopilación de datos y transparencia patronal que permitan identificar, atender y corregir de forma proactiva las disparidades salariales basadas en el género.</w:t>
      </w:r>
    </w:p>
    <w:p w14:paraId="2CE3F8C6" w14:textId="77777777" w:rsidR="00246FDD" w:rsidRPr="00246FDD" w:rsidRDefault="00246FDD" w:rsidP="00C51C81">
      <w:pPr>
        <w:widowControl w:val="0"/>
        <w:ind w:firstLine="567"/>
        <w:jc w:val="both"/>
        <w:rPr>
          <w:rFonts w:ascii="Book Antiqua" w:hAnsi="Book Antiqua"/>
          <w:color w:val="000000"/>
          <w:szCs w:val="24"/>
          <w:lang w:val="es-ES_tradnl"/>
        </w:rPr>
      </w:pPr>
    </w:p>
    <w:p w14:paraId="40CB996C" w14:textId="194349F8" w:rsidR="00246FDD" w:rsidRPr="00246FDD" w:rsidRDefault="00AF45D2" w:rsidP="00C51C81">
      <w:pPr>
        <w:widowControl w:val="0"/>
        <w:ind w:firstLine="567"/>
        <w:jc w:val="both"/>
        <w:rPr>
          <w:rFonts w:ascii="Book Antiqua" w:hAnsi="Book Antiqua"/>
          <w:color w:val="000000"/>
          <w:szCs w:val="24"/>
          <w:lang w:val="es-ES_tradnl"/>
        </w:rPr>
      </w:pPr>
      <w:r>
        <w:rPr>
          <w:rFonts w:ascii="Book Antiqua" w:hAnsi="Book Antiqua"/>
          <w:color w:val="000000"/>
          <w:szCs w:val="24"/>
          <w:lang w:val="es-ES_tradnl"/>
        </w:rPr>
        <w:t>A</w:t>
      </w:r>
      <w:r w:rsidR="00246FDD" w:rsidRPr="00246FDD">
        <w:rPr>
          <w:rFonts w:ascii="Book Antiqua" w:hAnsi="Book Antiqua"/>
          <w:color w:val="000000"/>
          <w:szCs w:val="24"/>
          <w:lang w:val="es-ES_tradnl"/>
        </w:rPr>
        <w:t xml:space="preserve"> más de siete años de su aprobación, la brecha salarial de género continúa siendo una realidad tangible. Según el informe "Paridad Salarial PRDOL - </w:t>
      </w:r>
      <w:proofErr w:type="spellStart"/>
      <w:r w:rsidR="00246FDD" w:rsidRPr="00246FDD">
        <w:rPr>
          <w:rFonts w:ascii="Book Antiqua" w:hAnsi="Book Antiqua"/>
          <w:color w:val="000000"/>
          <w:szCs w:val="24"/>
          <w:lang w:val="es-ES_tradnl"/>
        </w:rPr>
        <w:t>Equal</w:t>
      </w:r>
      <w:proofErr w:type="spellEnd"/>
      <w:r w:rsidR="00246FDD" w:rsidRPr="00246FDD">
        <w:rPr>
          <w:rFonts w:ascii="Book Antiqua" w:hAnsi="Book Antiqua"/>
          <w:color w:val="000000"/>
          <w:szCs w:val="24"/>
          <w:lang w:val="es-ES_tradnl"/>
        </w:rPr>
        <w:t xml:space="preserve"> </w:t>
      </w:r>
      <w:proofErr w:type="spellStart"/>
      <w:r w:rsidR="00246FDD" w:rsidRPr="00246FDD">
        <w:rPr>
          <w:rFonts w:ascii="Book Antiqua" w:hAnsi="Book Antiqua"/>
          <w:color w:val="000000"/>
          <w:szCs w:val="24"/>
          <w:lang w:val="es-ES_tradnl"/>
        </w:rPr>
        <w:t>Pay</w:t>
      </w:r>
      <w:proofErr w:type="spellEnd"/>
      <w:r w:rsidR="00246FDD" w:rsidRPr="00246FDD">
        <w:rPr>
          <w:rFonts w:ascii="Book Antiqua" w:hAnsi="Book Antiqua"/>
          <w:color w:val="000000"/>
          <w:szCs w:val="24"/>
          <w:lang w:val="es-ES_tradnl"/>
        </w:rPr>
        <w:t xml:space="preserve"> PR 2024", publicado por </w:t>
      </w:r>
      <w:proofErr w:type="spellStart"/>
      <w:r w:rsidR="00246FDD" w:rsidRPr="00246FDD">
        <w:rPr>
          <w:rFonts w:ascii="Book Antiqua" w:hAnsi="Book Antiqua"/>
          <w:color w:val="000000"/>
          <w:szCs w:val="24"/>
          <w:lang w:val="es-ES_tradnl"/>
        </w:rPr>
        <w:t>Women</w:t>
      </w:r>
      <w:proofErr w:type="spellEnd"/>
      <w:r w:rsidR="00246FDD" w:rsidRPr="00246FDD">
        <w:rPr>
          <w:rFonts w:ascii="Book Antiqua" w:hAnsi="Book Antiqua"/>
          <w:color w:val="000000"/>
          <w:szCs w:val="24"/>
          <w:lang w:val="es-ES_tradnl"/>
        </w:rPr>
        <w:t xml:space="preserve"> Who Lead el 8 de marzo de 2024, las mujeres en Puerto Rico ganan, </w:t>
      </w:r>
      <w:r w:rsidR="00246FDD" w:rsidRPr="00246FDD">
        <w:rPr>
          <w:rFonts w:ascii="Book Antiqua" w:hAnsi="Book Antiqua"/>
          <w:color w:val="000000"/>
          <w:szCs w:val="24"/>
          <w:lang w:val="es-ES_tradnl"/>
        </w:rPr>
        <w:lastRenderedPageBreak/>
        <w:t>en promedio, un 17% menos que los hombres por trabajo de igual valor. En sectores como el financiero y el de seguros, la brecha salarial puede superar el 23%. Además, el informe resalta que las mujeres solo ocupan el 26% de las posiciones de alta gerencia y el 17% de los puestos en juntas directivas, reflejando la existencia de barreras estructurales que limitan su acceso a posiciones de liderazgo.</w:t>
      </w:r>
    </w:p>
    <w:p w14:paraId="5DC9A7BD" w14:textId="77777777" w:rsidR="00246FDD" w:rsidRPr="00246FDD" w:rsidRDefault="00246FDD" w:rsidP="00C51C81">
      <w:pPr>
        <w:widowControl w:val="0"/>
        <w:ind w:firstLine="567"/>
        <w:jc w:val="both"/>
        <w:rPr>
          <w:rFonts w:ascii="Book Antiqua" w:hAnsi="Book Antiqua"/>
          <w:color w:val="000000"/>
          <w:szCs w:val="24"/>
          <w:lang w:val="es-ES_tradnl"/>
        </w:rPr>
      </w:pPr>
    </w:p>
    <w:p w14:paraId="1C34DFE5" w14:textId="77777777" w:rsidR="00246FDD" w:rsidRPr="00246FDD" w:rsidRDefault="00246FDD" w:rsidP="00C51C81">
      <w:pPr>
        <w:widowControl w:val="0"/>
        <w:ind w:firstLine="567"/>
        <w:jc w:val="both"/>
        <w:rPr>
          <w:rFonts w:ascii="Book Antiqua" w:hAnsi="Book Antiqua"/>
          <w:color w:val="000000"/>
          <w:szCs w:val="24"/>
          <w:lang w:val="es-ES_tradnl"/>
        </w:rPr>
      </w:pPr>
      <w:r w:rsidRPr="00246FDD">
        <w:rPr>
          <w:rFonts w:ascii="Book Antiqua" w:hAnsi="Book Antiqua"/>
          <w:color w:val="000000"/>
          <w:szCs w:val="24"/>
          <w:lang w:val="es-ES_tradnl"/>
        </w:rPr>
        <w:t>Uno de los hallazgos más relevantes de dicho informe es la falta de mecanismos efectivos de recopilación y análisis de datos que permitan medir, monitorear y fiscalizar la evolución de la brecha salarial de género a nivel patronal y a nivel agregado. Actualmente, no existe un sistema uniforme que obligue a los patronos a analizar sus estructuras salariales, identificar posibles disparidades y documentar las acciones correctivas adoptadas para reducir dichas brechas.</w:t>
      </w:r>
    </w:p>
    <w:p w14:paraId="337E0CB0" w14:textId="77777777" w:rsidR="00246FDD" w:rsidRPr="00246FDD" w:rsidRDefault="00246FDD" w:rsidP="00C51C81">
      <w:pPr>
        <w:widowControl w:val="0"/>
        <w:ind w:firstLine="567"/>
        <w:jc w:val="both"/>
        <w:rPr>
          <w:rFonts w:ascii="Book Antiqua" w:hAnsi="Book Antiqua"/>
          <w:color w:val="000000"/>
          <w:szCs w:val="24"/>
          <w:lang w:val="es-ES_tradnl"/>
        </w:rPr>
      </w:pPr>
    </w:p>
    <w:p w14:paraId="05B99422" w14:textId="6FE977FC" w:rsidR="00246FDD" w:rsidRPr="00246FDD" w:rsidRDefault="00246FDD" w:rsidP="00C51C81">
      <w:pPr>
        <w:widowControl w:val="0"/>
        <w:ind w:firstLine="567"/>
        <w:jc w:val="both"/>
        <w:rPr>
          <w:rFonts w:ascii="Book Antiqua" w:hAnsi="Book Antiqua"/>
          <w:color w:val="000000"/>
          <w:szCs w:val="24"/>
          <w:lang w:val="es-ES_tradnl"/>
        </w:rPr>
      </w:pPr>
      <w:r w:rsidRPr="00246FDD">
        <w:rPr>
          <w:rFonts w:ascii="Book Antiqua" w:hAnsi="Book Antiqua"/>
          <w:color w:val="000000"/>
          <w:szCs w:val="24"/>
          <w:lang w:val="es-ES_tradnl"/>
        </w:rPr>
        <w:t xml:space="preserve">La recopilación y análisis sistemático de datos salariales desglosados por género es una herramienta indispensable para el diseño de política pública informada y efectiva. Obligar a los patronos a someter un Informe Anual Patronal de Igualdad Salarial, con métricas claras, acciones correctivas y un plan de cumplimiento, permitirá no solo fiscalizar el cumplimiento de la Ley 16-2017, </w:t>
      </w:r>
      <w:r w:rsidRPr="00246FDD">
        <w:rPr>
          <w:rFonts w:ascii="Book Antiqua" w:hAnsi="Book Antiqua"/>
          <w:i/>
          <w:iCs/>
          <w:color w:val="000000"/>
          <w:szCs w:val="24"/>
          <w:lang w:val="es-ES_tradnl"/>
        </w:rPr>
        <w:t>supra</w:t>
      </w:r>
      <w:r w:rsidRPr="00246FDD">
        <w:rPr>
          <w:rFonts w:ascii="Book Antiqua" w:hAnsi="Book Antiqua"/>
          <w:color w:val="000000"/>
          <w:szCs w:val="24"/>
          <w:lang w:val="es-ES_tradnl"/>
        </w:rPr>
        <w:t>, sino también promover la adopción de políticas internas proactivas en cada empresa. Este informe será utilizado por el Departamento del Trabajo y Recursos Humanos de Puerto Rico para generar un informe anual que provea al país una radiografía actualizada del estado de la igualdad salarial, con datos agregados por sector económico y tipo de empresa.</w:t>
      </w:r>
    </w:p>
    <w:p w14:paraId="3B7487D0" w14:textId="77777777" w:rsidR="00246FDD" w:rsidRPr="00246FDD" w:rsidRDefault="00246FDD" w:rsidP="00C51C81">
      <w:pPr>
        <w:widowControl w:val="0"/>
        <w:ind w:firstLine="567"/>
        <w:jc w:val="both"/>
        <w:rPr>
          <w:rFonts w:ascii="Book Antiqua" w:hAnsi="Book Antiqua"/>
          <w:color w:val="000000"/>
          <w:szCs w:val="24"/>
          <w:lang w:val="es-ES_tradnl"/>
        </w:rPr>
      </w:pPr>
    </w:p>
    <w:p w14:paraId="1BE769F3" w14:textId="008AF788" w:rsidR="0023379A" w:rsidRDefault="00246FDD" w:rsidP="00C51C81">
      <w:pPr>
        <w:widowControl w:val="0"/>
        <w:ind w:firstLine="567"/>
        <w:jc w:val="both"/>
        <w:rPr>
          <w:rFonts w:ascii="Book Antiqua" w:hAnsi="Book Antiqua"/>
          <w:color w:val="000000"/>
          <w:szCs w:val="24"/>
          <w:lang w:val="es-ES_tradnl"/>
        </w:rPr>
      </w:pPr>
      <w:r w:rsidRPr="00246FDD">
        <w:rPr>
          <w:rFonts w:ascii="Book Antiqua" w:hAnsi="Book Antiqua"/>
          <w:color w:val="000000"/>
          <w:szCs w:val="24"/>
          <w:lang w:val="es-ES_tradnl"/>
        </w:rPr>
        <w:t>Con la aprobación de esta Ley, Puerto Rico reconoce la necesidad de adoptar medidas concretas que permitan fiscalizar, con datos reales y verificables, el cumplimiento de la política pública de igualdad salarial por parte de los patronos. La falta de información confiable ha permitido que las disparidades salariales persistan, al carecer el Estado de mecanismos efectivos para identificar, prevenir y corregir prácticas discriminatorias. Exigir la presentación de informes anuales sobre igualdad salarial garantiza mayor transparencia, facilita la detección de incumplimientos y refuerza la rendición de cuentas de los patronos ante el país y sus propias plantillas laborales. Sin mecanismos reales de monitoreo y fiscalización, la igualdad salarial seguirá siendo un objetivo distante, y no una garantía para las mujeres trabajadoras de Puerto Rico.</w:t>
      </w:r>
    </w:p>
    <w:p w14:paraId="503CE965" w14:textId="77777777" w:rsidR="00246FDD" w:rsidRDefault="00246FDD" w:rsidP="00C51C81">
      <w:pPr>
        <w:widowControl w:val="0"/>
        <w:ind w:firstLine="567"/>
        <w:jc w:val="both"/>
        <w:rPr>
          <w:rFonts w:ascii="Book Antiqua" w:hAnsi="Book Antiqua"/>
          <w:color w:val="000000"/>
          <w:szCs w:val="24"/>
          <w:lang w:val="es-ES_tradnl"/>
        </w:rPr>
      </w:pPr>
    </w:p>
    <w:p w14:paraId="4144A45A" w14:textId="69E3B61D" w:rsidR="00C157DA" w:rsidRPr="0023379A" w:rsidRDefault="00585EFC" w:rsidP="0023379A">
      <w:pPr>
        <w:widowControl w:val="0"/>
        <w:spacing w:line="480" w:lineRule="auto"/>
        <w:rPr>
          <w:rFonts w:ascii="Book Antiqua" w:hAnsi="Book Antiqua"/>
          <w:i/>
          <w:lang w:val="es-ES_tradnl"/>
        </w:rPr>
      </w:pPr>
      <w:r w:rsidRPr="0023379A">
        <w:rPr>
          <w:rFonts w:ascii="Book Antiqua" w:hAnsi="Book Antiqua"/>
          <w:i/>
          <w:lang w:val="es-ES_tradnl"/>
        </w:rPr>
        <w:t>DECRÉTASE POR LA ASAMBLEA LEGISLATIVA DE PUERTO RICO:</w:t>
      </w:r>
    </w:p>
    <w:p w14:paraId="6159AFC2" w14:textId="77777777" w:rsidR="00585EFC" w:rsidRPr="00A079CF" w:rsidRDefault="00585EFC" w:rsidP="0023379A">
      <w:pPr>
        <w:spacing w:line="480" w:lineRule="auto"/>
        <w:jc w:val="both"/>
        <w:rPr>
          <w:rFonts w:ascii="Book Antiqua" w:hAnsi="Book Antiqua"/>
          <w:highlight w:val="yellow"/>
          <w:lang w:val="es-ES_tradnl"/>
        </w:rPr>
        <w:sectPr w:rsidR="00585EFC" w:rsidRPr="00A079CF">
          <w:headerReference w:type="default" r:id="rId8"/>
          <w:type w:val="continuous"/>
          <w:pgSz w:w="12240" w:h="15840" w:code="1"/>
          <w:pgMar w:top="1440" w:right="1440" w:bottom="1440" w:left="1440" w:header="720" w:footer="720" w:gutter="0"/>
          <w:cols w:space="720"/>
          <w:titlePg/>
        </w:sectPr>
      </w:pPr>
    </w:p>
    <w:p w14:paraId="7288B0ED" w14:textId="16A940C3"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Sección 1. — </w:t>
      </w:r>
      <w:r w:rsidR="0023379A">
        <w:rPr>
          <w:rFonts w:ascii="Book Antiqua" w:hAnsi="Book Antiqua"/>
          <w:lang w:val="es-ES_tradnl"/>
        </w:rPr>
        <w:t>Se e</w:t>
      </w:r>
      <w:r w:rsidRPr="00DE0C3C">
        <w:rPr>
          <w:rFonts w:ascii="Book Antiqua" w:hAnsi="Book Antiqua"/>
          <w:lang w:val="es-ES_tradnl"/>
        </w:rPr>
        <w:t xml:space="preserve">nmienda </w:t>
      </w:r>
      <w:r w:rsidR="0023379A">
        <w:rPr>
          <w:rFonts w:ascii="Book Antiqua" w:hAnsi="Book Antiqua"/>
          <w:lang w:val="es-ES_tradnl"/>
        </w:rPr>
        <w:t>el</w:t>
      </w:r>
      <w:r w:rsidRPr="00DE0C3C">
        <w:rPr>
          <w:rFonts w:ascii="Book Antiqua" w:hAnsi="Book Antiqua"/>
          <w:lang w:val="es-ES_tradnl"/>
        </w:rPr>
        <w:t xml:space="preserve"> Artículo 6 de la Ley 16-2017</w:t>
      </w:r>
      <w:r w:rsidR="0023379A">
        <w:rPr>
          <w:rFonts w:ascii="Book Antiqua" w:hAnsi="Book Antiqua"/>
          <w:lang w:val="es-ES_tradnl"/>
        </w:rPr>
        <w:t xml:space="preserve">, </w:t>
      </w:r>
      <w:r w:rsidRPr="00DE0C3C">
        <w:rPr>
          <w:rFonts w:ascii="Book Antiqua" w:hAnsi="Book Antiqua"/>
          <w:lang w:val="es-ES_tradnl"/>
        </w:rPr>
        <w:t xml:space="preserve">según enmendada, </w:t>
      </w:r>
      <w:r w:rsidR="0023379A">
        <w:rPr>
          <w:rFonts w:ascii="Book Antiqua" w:hAnsi="Book Antiqua"/>
          <w:lang w:val="es-ES_tradnl"/>
        </w:rPr>
        <w:t xml:space="preserve">conocida como </w:t>
      </w:r>
      <w:r w:rsidR="0023379A" w:rsidRPr="0023379A">
        <w:rPr>
          <w:rFonts w:ascii="Book Antiqua" w:hAnsi="Book Antiqua"/>
          <w:lang w:val="es-ES_tradnl"/>
        </w:rPr>
        <w:t>“Ley de Igualdad Salarial de Puerto Rico”</w:t>
      </w:r>
      <w:r w:rsidR="0023379A">
        <w:rPr>
          <w:rFonts w:ascii="Book Antiqua" w:hAnsi="Book Antiqua"/>
          <w:lang w:val="es-ES_tradnl"/>
        </w:rPr>
        <w:t xml:space="preserve"> </w:t>
      </w:r>
      <w:r w:rsidRPr="00DE0C3C">
        <w:rPr>
          <w:rFonts w:ascii="Book Antiqua" w:hAnsi="Book Antiqua"/>
          <w:lang w:val="es-ES_tradnl"/>
        </w:rPr>
        <w:t>para que lea como sigue:</w:t>
      </w:r>
    </w:p>
    <w:p w14:paraId="531767CF" w14:textId="08486D82"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"Artículo 6. — Deberes y Facultades del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del Departamento del Trabajo y Recursos Humanos y de la Procuradora de la Mujer.</w:t>
      </w:r>
    </w:p>
    <w:p w14:paraId="738AA111" w14:textId="02A19017"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lastRenderedPageBreak/>
        <w:t xml:space="preserve">Se le impone al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y a la Procuradora el deber de velar por el cumplimiento de esta Ley. El </w:t>
      </w:r>
      <w:proofErr w:type="gramStart"/>
      <w:r w:rsidRPr="00DE0C3C">
        <w:rPr>
          <w:rFonts w:ascii="Book Antiqua" w:hAnsi="Book Antiqua"/>
          <w:lang w:val="es-ES_tradnl"/>
        </w:rPr>
        <w:t>Secretario</w:t>
      </w:r>
      <w:proofErr w:type="gramEnd"/>
      <w:r w:rsidRPr="00DE0C3C">
        <w:rPr>
          <w:rFonts w:ascii="Book Antiqua" w:hAnsi="Book Antiqua"/>
          <w:lang w:val="es-ES_tradnl"/>
        </w:rPr>
        <w:t>, en consulta con la Procuradora, queda autorizado para adoptar cualesquiera reglas o reglamentos que fueren necesarios para hacer efectiva la ejecución y los propósitos de esta Ley.</w:t>
      </w:r>
    </w:p>
    <w:p w14:paraId="6DEE239B" w14:textId="703BB4C9"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Esta Ley faculta al </w:t>
      </w:r>
      <w:proofErr w:type="gramStart"/>
      <w:r w:rsidRPr="00DE0C3C">
        <w:rPr>
          <w:rFonts w:ascii="Book Antiqua" w:hAnsi="Book Antiqua"/>
          <w:lang w:val="es-ES_tradnl"/>
        </w:rPr>
        <w:t>Secretario</w:t>
      </w:r>
      <w:proofErr w:type="gramEnd"/>
      <w:r w:rsidRPr="00DE0C3C">
        <w:rPr>
          <w:rFonts w:ascii="Book Antiqua" w:hAnsi="Book Antiqua"/>
          <w:lang w:val="es-ES_tradnl"/>
        </w:rPr>
        <w:t>, o su representante, a recibir quejas, planteamientos o querellas de personas que aleguen violaciones a esta Ley, así como comenzar motu proprio, todas las investigaciones, inspecciones y acciones que considere necesarias para determinar si un patrono ha incumplido o dejado de cumplir con las disposiciones de esta Ley con el propósito de hacerlas cumplir. La información recopilada será confidencial salvo para procurar un remedio legal al amparo de esta Ley.</w:t>
      </w:r>
    </w:p>
    <w:p w14:paraId="0FFBD6B6" w14:textId="3AD1283D"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Disponiéndose, que la Procuradora deberá referir al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todas las querellas que reciba en su Oficina que se relacionen a violaciones a las disposiciones de esta Ley, para que éste las atienda, encause, trabaje y obtenga una adjudicación final de las mismas, de conformidad con las facultades que se le reconocen en esta Ley y la Ley Núm. 15 de 14 de abril de 1931, según enmendada, conocida como "Ley Orgánica del Departamento del Trabajo y Recursos Humanos de Puerto Rico". Una vez el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culmine el proceso incoado bajo las disposiciones de esta Ley, informará oficialmente a la Procuradora sus hallazgos, determinaciones o adjudicaciones finales, quien podrá tomar todas aquellas acciones adicionales al amparo de las facultades que le confiere la Ley 20-2001, según enmendada, conocida como "Ley de la Oficina de la Procuradora de las Mujeres", incluyendo, pero sin limitarse, a la imposición de multas administrativas.</w:t>
      </w:r>
    </w:p>
    <w:p w14:paraId="0C9165CC" w14:textId="6D7E0480"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Todo patrono que esté siendo investigado, deberá presentar y facilitar al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w:t>
      </w:r>
      <w:r w:rsidRPr="00DE0C3C">
        <w:rPr>
          <w:rFonts w:ascii="Book Antiqua" w:hAnsi="Book Antiqua"/>
          <w:lang w:val="es-ES_tradnl"/>
        </w:rPr>
        <w:lastRenderedPageBreak/>
        <w:t xml:space="preserve">los récords, documentos o archivos bajo su dominio relativo a la materia objeto de investigación. En el ejercicio de tales deberes y facultades, el Secretario, o cualquier empleado del Departamento que él designare, queda por la presente autorizado para celebrar vistas públicas, citar testigos, tomar juramentos, recibir testimonios y en cumplimiento de estas disposiciones podrá extender citaciones bajo apercibimiento de desacato, hacer obligatoria la comparecencia de testigos y la presentación de datos, información o evidencia documental y de cualquier otra clase y podrá, además, examinar y copiar libros, récords y cualesquiera documentos o papeles de dicho patrono y solicitar cualquier otra información con el objeto de cumplir las disposiciones de esta Ley. Además, podrá recurrir al Tribunal de Primera Instancia de Puerto Rico para que se ordene el cumplimiento de cualquier citación u orden emitida por el </w:t>
      </w:r>
      <w:proofErr w:type="gramStart"/>
      <w:r w:rsidRPr="00DE0C3C">
        <w:rPr>
          <w:rFonts w:ascii="Book Antiqua" w:hAnsi="Book Antiqua"/>
          <w:lang w:val="es-ES_tradnl"/>
        </w:rPr>
        <w:t>Secretario</w:t>
      </w:r>
      <w:proofErr w:type="gramEnd"/>
      <w:r w:rsidRPr="00DE0C3C">
        <w:rPr>
          <w:rFonts w:ascii="Book Antiqua" w:hAnsi="Book Antiqua"/>
          <w:lang w:val="es-ES_tradnl"/>
        </w:rPr>
        <w:t>. El incumplimiento de una orden judicial declarando con lugar tal solicitud constituirá desacato al Tribunal.</w:t>
      </w:r>
    </w:p>
    <w:p w14:paraId="786DB7AB" w14:textId="08F1AC36"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El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podrá demandar, a iniciativa propia o a instancia de uno o más empleados o aspirantes a empleo con interés en el asunto, y en representación y para beneficio de uno o más de los mismos que se encuentren en circunstancias similares, el pago de cualquier suma que se les adeude o el cumplimiento de cualquier derecho conferido por esta Ley. Cualquier empleado o aspirante a empleo con interés en la acción podrá intervenir en todo pleito que así se promueva por el </w:t>
      </w:r>
      <w:proofErr w:type="gramStart"/>
      <w:r w:rsidRPr="00DE0C3C">
        <w:rPr>
          <w:rFonts w:ascii="Book Antiqua" w:hAnsi="Book Antiqua"/>
          <w:lang w:val="es-ES_tradnl"/>
        </w:rPr>
        <w:t>Secretario</w:t>
      </w:r>
      <w:proofErr w:type="gramEnd"/>
      <w:r w:rsidRPr="00DE0C3C">
        <w:rPr>
          <w:rFonts w:ascii="Book Antiqua" w:hAnsi="Book Antiqua"/>
          <w:lang w:val="es-ES_tradnl"/>
        </w:rPr>
        <w:t>, quien igualmente podrá intervenir en toda acción que cualquier empleado o aspirante a empleo interponga bajo los términos de esta Ley.</w:t>
      </w:r>
    </w:p>
    <w:p w14:paraId="48FC0986" w14:textId="123BDE21"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Las Salas del Tribunal de Primera Instancia tendrán la competencia para, a </w:t>
      </w:r>
      <w:r w:rsidRPr="00DE0C3C">
        <w:rPr>
          <w:rFonts w:ascii="Book Antiqua" w:hAnsi="Book Antiqua"/>
          <w:lang w:val="es-ES_tradnl"/>
        </w:rPr>
        <w:lastRenderedPageBreak/>
        <w:t xml:space="preserve">instancia del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expedir autos de </w:t>
      </w:r>
      <w:proofErr w:type="spellStart"/>
      <w:r w:rsidRPr="00DE0C3C">
        <w:rPr>
          <w:rFonts w:ascii="Book Antiqua" w:hAnsi="Book Antiqua"/>
          <w:lang w:val="es-ES_tradnl"/>
        </w:rPr>
        <w:t>injunction</w:t>
      </w:r>
      <w:proofErr w:type="spellEnd"/>
      <w:r w:rsidRPr="00DE0C3C">
        <w:rPr>
          <w:rFonts w:ascii="Book Antiqua" w:hAnsi="Book Antiqua"/>
          <w:lang w:val="es-ES_tradnl"/>
        </w:rPr>
        <w:t xml:space="preserve"> y conceder cualquier otro remedio legal que fuere necesario para hacer efectivos los términos de esta Ley, reglamentos, reglas, órdenes y determinaciones que hubiera dictado en el ejercicio de los poderes que le confiere esta Ley.</w:t>
      </w:r>
    </w:p>
    <w:p w14:paraId="13A7AFC1" w14:textId="080646EE"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El </w:t>
      </w:r>
      <w:proofErr w:type="gramStart"/>
      <w:r w:rsidRPr="00DE0C3C">
        <w:rPr>
          <w:rFonts w:ascii="Book Antiqua" w:hAnsi="Book Antiqua"/>
          <w:lang w:val="es-ES_tradnl"/>
        </w:rPr>
        <w:t>Secretario</w:t>
      </w:r>
      <w:proofErr w:type="gramEnd"/>
      <w:r w:rsidRPr="00DE0C3C">
        <w:rPr>
          <w:rFonts w:ascii="Book Antiqua" w:hAnsi="Book Antiqua"/>
          <w:lang w:val="es-ES_tradnl"/>
        </w:rPr>
        <w:t xml:space="preserve"> radicará un informe estadístico anual ante la Asamblea Legislativa en la Secretaría de la Cámara de Representantes y el Senado sobre las querellas presentadas y adjudicadas el 15 de julio de cada año.</w:t>
      </w:r>
    </w:p>
    <w:p w14:paraId="0E72979A" w14:textId="366FB23B" w:rsidR="00C2251A" w:rsidRDefault="00C2251A" w:rsidP="0023379A">
      <w:pPr>
        <w:widowControl w:val="0"/>
        <w:spacing w:line="480" w:lineRule="auto"/>
        <w:ind w:firstLine="709"/>
        <w:jc w:val="both"/>
        <w:rPr>
          <w:rFonts w:ascii="Book Antiqua" w:hAnsi="Book Antiqua"/>
          <w:i/>
          <w:iCs/>
          <w:lang w:val="es-ES_tradnl"/>
        </w:rPr>
      </w:pPr>
      <w:r w:rsidRPr="00C2251A">
        <w:rPr>
          <w:rFonts w:ascii="Book Antiqua" w:hAnsi="Book Antiqua"/>
          <w:i/>
          <w:iCs/>
          <w:lang w:val="es-ES_tradnl"/>
        </w:rPr>
        <w:t xml:space="preserve">El </w:t>
      </w:r>
      <w:proofErr w:type="gramStart"/>
      <w:r w:rsidRPr="00C2251A">
        <w:rPr>
          <w:rFonts w:ascii="Book Antiqua" w:hAnsi="Book Antiqua"/>
          <w:i/>
          <w:iCs/>
          <w:lang w:val="es-ES_tradnl"/>
        </w:rPr>
        <w:t>Secretario</w:t>
      </w:r>
      <w:proofErr w:type="gramEnd"/>
      <w:r w:rsidRPr="00C2251A">
        <w:rPr>
          <w:rFonts w:ascii="Book Antiqua" w:hAnsi="Book Antiqua"/>
          <w:i/>
          <w:iCs/>
          <w:lang w:val="es-ES_tradnl"/>
        </w:rPr>
        <w:t xml:space="preserve"> del Departamento del Trabajo y Recursos Humanos tendrá el deber de revisar y custodiar el Informe Anual de Igualdad Salarial sometido por los patronos según lo establecido en esta Ley. Además, preparará un informe anual sobre el estado de la igualdad salarial en Puerto Rico, utilizando la información recopilada de los informes sometidos por los patronos. Dicho informe incluirá estadísticas, tendencias, hallazgos y recomendaciones. Dicho informe deberá será publicado en la página web del Departamento del Trabajo y Recursos Humanos de Puerto Rico."</w:t>
      </w:r>
    </w:p>
    <w:p w14:paraId="14FF47F0" w14:textId="433B9EB2" w:rsidR="00DE0C3C" w:rsidRP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Sección 2. — Se añade un nuevo Artículo </w:t>
      </w:r>
      <w:r w:rsidR="00C2251A">
        <w:rPr>
          <w:rFonts w:ascii="Book Antiqua" w:hAnsi="Book Antiqua"/>
          <w:lang w:val="es-ES_tradnl"/>
        </w:rPr>
        <w:t>8</w:t>
      </w:r>
      <w:r w:rsidRPr="00DE0C3C">
        <w:rPr>
          <w:rFonts w:ascii="Book Antiqua" w:hAnsi="Book Antiqua"/>
          <w:lang w:val="es-ES_tradnl"/>
        </w:rPr>
        <w:t xml:space="preserve"> en la Ley 16-2017, según enmendada, </w:t>
      </w:r>
      <w:r w:rsidR="0023379A">
        <w:rPr>
          <w:rFonts w:ascii="Book Antiqua" w:hAnsi="Book Antiqua"/>
          <w:lang w:val="es-ES_tradnl"/>
        </w:rPr>
        <w:t xml:space="preserve">conocida como </w:t>
      </w:r>
      <w:r w:rsidR="0023379A" w:rsidRPr="0023379A">
        <w:rPr>
          <w:rFonts w:ascii="Book Antiqua" w:hAnsi="Book Antiqua"/>
          <w:lang w:val="es-ES_tradnl"/>
        </w:rPr>
        <w:t>“Ley de Igualdad Salarial de Puerto Rico”</w:t>
      </w:r>
      <w:r w:rsidR="0023379A">
        <w:rPr>
          <w:rFonts w:ascii="Book Antiqua" w:hAnsi="Book Antiqua"/>
          <w:lang w:val="es-ES_tradnl"/>
        </w:rPr>
        <w:t xml:space="preserve"> </w:t>
      </w:r>
      <w:r w:rsidRPr="00DE0C3C">
        <w:rPr>
          <w:rFonts w:ascii="Book Antiqua" w:hAnsi="Book Antiqua"/>
          <w:lang w:val="es-ES_tradnl"/>
        </w:rPr>
        <w:t>para que lea como sigue:</w:t>
      </w:r>
    </w:p>
    <w:p w14:paraId="21EF8C2C" w14:textId="35E038DA" w:rsidR="00DE0C3C" w:rsidRPr="00DE0C3C" w:rsidRDefault="00DE0C3C" w:rsidP="0023379A">
      <w:pPr>
        <w:widowControl w:val="0"/>
        <w:spacing w:line="480" w:lineRule="auto"/>
        <w:ind w:firstLine="709"/>
        <w:jc w:val="both"/>
        <w:rPr>
          <w:rFonts w:ascii="Book Antiqua" w:hAnsi="Book Antiqua"/>
          <w:i/>
          <w:iCs/>
          <w:lang w:val="es-ES_tradnl"/>
        </w:rPr>
      </w:pPr>
      <w:r>
        <w:rPr>
          <w:rFonts w:ascii="Book Antiqua" w:hAnsi="Book Antiqua"/>
          <w:lang w:val="es-ES_tradnl"/>
        </w:rPr>
        <w:t>“</w:t>
      </w:r>
      <w:r w:rsidRPr="00DE0C3C">
        <w:rPr>
          <w:rFonts w:ascii="Book Antiqua" w:hAnsi="Book Antiqua"/>
          <w:i/>
          <w:iCs/>
          <w:lang w:val="es-ES_tradnl"/>
        </w:rPr>
        <w:t xml:space="preserve">Artículo </w:t>
      </w:r>
      <w:r w:rsidR="00C2251A">
        <w:rPr>
          <w:rFonts w:ascii="Book Antiqua" w:hAnsi="Book Antiqua"/>
          <w:i/>
          <w:iCs/>
          <w:lang w:val="es-ES_tradnl"/>
        </w:rPr>
        <w:t>8</w:t>
      </w:r>
      <w:r w:rsidRPr="00DE0C3C">
        <w:rPr>
          <w:rFonts w:ascii="Book Antiqua" w:hAnsi="Book Antiqua"/>
          <w:i/>
          <w:iCs/>
          <w:lang w:val="es-ES_tradnl"/>
        </w:rPr>
        <w:t xml:space="preserve">. — </w:t>
      </w:r>
      <w:r w:rsidR="00C2251A" w:rsidRPr="00C2251A">
        <w:rPr>
          <w:rFonts w:ascii="Book Antiqua" w:hAnsi="Book Antiqua"/>
          <w:i/>
          <w:iCs/>
          <w:lang w:val="es-ES_tradnl"/>
        </w:rPr>
        <w:t xml:space="preserve">Informe </w:t>
      </w:r>
      <w:r w:rsidR="00C2251A">
        <w:rPr>
          <w:rFonts w:ascii="Book Antiqua" w:hAnsi="Book Antiqua"/>
          <w:i/>
          <w:iCs/>
          <w:lang w:val="es-ES_tradnl"/>
        </w:rPr>
        <w:t>Anual Patronal</w:t>
      </w:r>
      <w:r w:rsidR="00C2251A" w:rsidRPr="00C2251A">
        <w:rPr>
          <w:rFonts w:ascii="Book Antiqua" w:hAnsi="Book Antiqua"/>
          <w:i/>
          <w:iCs/>
          <w:lang w:val="es-ES_tradnl"/>
        </w:rPr>
        <w:t xml:space="preserve"> de Igualdad Salarial.</w:t>
      </w:r>
    </w:p>
    <w:p w14:paraId="66C05370" w14:textId="2568DEDC" w:rsidR="00C2251A" w:rsidRPr="00C2251A" w:rsidRDefault="00C2251A" w:rsidP="00C2251A">
      <w:pPr>
        <w:widowControl w:val="0"/>
        <w:spacing w:line="480" w:lineRule="auto"/>
        <w:ind w:firstLine="709"/>
        <w:jc w:val="both"/>
        <w:rPr>
          <w:rFonts w:ascii="Book Antiqua" w:hAnsi="Book Antiqua"/>
          <w:i/>
          <w:iCs/>
          <w:lang w:val="es-ES_tradnl"/>
        </w:rPr>
      </w:pPr>
      <w:r w:rsidRPr="00C2251A">
        <w:rPr>
          <w:rFonts w:ascii="Book Antiqua" w:hAnsi="Book Antiqua"/>
          <w:i/>
          <w:iCs/>
          <w:lang w:val="es-ES_tradnl"/>
        </w:rPr>
        <w:t xml:space="preserve">Todo patrono con veinticinco (25) empleados o más deberá someter al Departamento del Trabajo y Recursos Humanos de Puerto Rico un Informe </w:t>
      </w:r>
      <w:r>
        <w:rPr>
          <w:rFonts w:ascii="Book Antiqua" w:hAnsi="Book Antiqua"/>
          <w:i/>
          <w:iCs/>
          <w:lang w:val="es-ES_tradnl"/>
        </w:rPr>
        <w:t>Anual Patronal</w:t>
      </w:r>
      <w:r w:rsidRPr="00C2251A">
        <w:rPr>
          <w:rFonts w:ascii="Book Antiqua" w:hAnsi="Book Antiqua"/>
          <w:i/>
          <w:iCs/>
          <w:lang w:val="es-ES_tradnl"/>
        </w:rPr>
        <w:t xml:space="preserve"> de Igualdad Salarial. </w:t>
      </w:r>
      <w:r>
        <w:rPr>
          <w:rFonts w:ascii="Book Antiqua" w:hAnsi="Book Antiqua"/>
          <w:i/>
          <w:iCs/>
          <w:lang w:val="es-ES_tradnl"/>
        </w:rPr>
        <w:t xml:space="preserve">Antes del 31 de marzo de cada año, cada patrono deberá presentar el </w:t>
      </w:r>
      <w:r w:rsidRPr="00C2251A">
        <w:rPr>
          <w:rFonts w:ascii="Book Antiqua" w:hAnsi="Book Antiqua"/>
          <w:i/>
          <w:iCs/>
          <w:lang w:val="es-ES_tradnl"/>
        </w:rPr>
        <w:t xml:space="preserve">Informe </w:t>
      </w:r>
      <w:r>
        <w:rPr>
          <w:rFonts w:ascii="Book Antiqua" w:hAnsi="Book Antiqua"/>
          <w:i/>
          <w:iCs/>
          <w:lang w:val="es-ES_tradnl"/>
        </w:rPr>
        <w:t>Anual Patronal</w:t>
      </w:r>
      <w:r w:rsidRPr="00C2251A">
        <w:rPr>
          <w:rFonts w:ascii="Book Antiqua" w:hAnsi="Book Antiqua"/>
          <w:i/>
          <w:iCs/>
          <w:lang w:val="es-ES_tradnl"/>
        </w:rPr>
        <w:t xml:space="preserve"> de Igualdad Salarial</w:t>
      </w:r>
      <w:r>
        <w:rPr>
          <w:rFonts w:ascii="Book Antiqua" w:hAnsi="Book Antiqua"/>
          <w:i/>
          <w:iCs/>
          <w:lang w:val="es-ES_tradnl"/>
        </w:rPr>
        <w:t xml:space="preserve"> correspondiente al año natural anterior. Dicho informe deberá </w:t>
      </w:r>
      <w:r w:rsidR="00E43C2C">
        <w:rPr>
          <w:rFonts w:ascii="Book Antiqua" w:hAnsi="Book Antiqua"/>
          <w:i/>
          <w:iCs/>
          <w:lang w:val="es-ES_tradnl"/>
        </w:rPr>
        <w:t>incluir,</w:t>
      </w:r>
      <w:r>
        <w:rPr>
          <w:rFonts w:ascii="Book Antiqua" w:hAnsi="Book Antiqua"/>
          <w:i/>
          <w:iCs/>
          <w:lang w:val="es-ES_tradnl"/>
        </w:rPr>
        <w:t xml:space="preserve"> pero sin limitarse a </w:t>
      </w:r>
      <w:r w:rsidRPr="00C2251A">
        <w:rPr>
          <w:rFonts w:ascii="Book Antiqua" w:hAnsi="Book Antiqua"/>
          <w:i/>
          <w:iCs/>
          <w:lang w:val="es-ES_tradnl"/>
        </w:rPr>
        <w:t>lo siguiente:</w:t>
      </w:r>
    </w:p>
    <w:p w14:paraId="77ED5004" w14:textId="509C7C76" w:rsidR="00C2251A" w:rsidRPr="00C2251A" w:rsidRDefault="00C2251A" w:rsidP="00E43C2C">
      <w:pPr>
        <w:widowControl w:val="0"/>
        <w:spacing w:line="480" w:lineRule="auto"/>
        <w:ind w:left="993" w:hanging="284"/>
        <w:jc w:val="both"/>
        <w:rPr>
          <w:rFonts w:ascii="Book Antiqua" w:hAnsi="Book Antiqua"/>
          <w:i/>
          <w:iCs/>
          <w:lang w:val="es-ES_tradnl"/>
        </w:rPr>
      </w:pPr>
      <w:r w:rsidRPr="00C2251A">
        <w:rPr>
          <w:rFonts w:ascii="Book Antiqua" w:hAnsi="Book Antiqua"/>
          <w:i/>
          <w:iCs/>
          <w:lang w:val="es-ES_tradnl"/>
        </w:rPr>
        <w:t xml:space="preserve">a) Promedios salariales por género, desglosados por puesto, categoría ocupacional y nivel </w:t>
      </w:r>
      <w:r w:rsidRPr="00C2251A">
        <w:rPr>
          <w:rFonts w:ascii="Book Antiqua" w:hAnsi="Book Antiqua"/>
          <w:i/>
          <w:iCs/>
          <w:lang w:val="es-ES_tradnl"/>
        </w:rPr>
        <w:lastRenderedPageBreak/>
        <w:t>jerárquico.</w:t>
      </w:r>
    </w:p>
    <w:p w14:paraId="7DD7CA50" w14:textId="0F0A3ABF" w:rsidR="00C2251A" w:rsidRPr="00C2251A" w:rsidRDefault="00C2251A" w:rsidP="00E43C2C">
      <w:pPr>
        <w:widowControl w:val="0"/>
        <w:spacing w:line="480" w:lineRule="auto"/>
        <w:ind w:left="993" w:hanging="284"/>
        <w:jc w:val="both"/>
        <w:rPr>
          <w:rFonts w:ascii="Book Antiqua" w:hAnsi="Book Antiqua"/>
          <w:i/>
          <w:iCs/>
          <w:lang w:val="es-ES_tradnl"/>
        </w:rPr>
      </w:pPr>
      <w:r w:rsidRPr="00C2251A">
        <w:rPr>
          <w:rFonts w:ascii="Book Antiqua" w:hAnsi="Book Antiqua"/>
          <w:i/>
          <w:iCs/>
          <w:lang w:val="es-ES_tradnl"/>
        </w:rPr>
        <w:t>b) Brechas salariales identificadas dentro de la empresa o entidad, de acuerdo con los datos recopilados.</w:t>
      </w:r>
    </w:p>
    <w:p w14:paraId="7E53D958" w14:textId="20E37B3C" w:rsidR="00C2251A" w:rsidRPr="00C2251A" w:rsidRDefault="00C2251A" w:rsidP="00C2251A">
      <w:pPr>
        <w:widowControl w:val="0"/>
        <w:spacing w:line="480" w:lineRule="auto"/>
        <w:ind w:firstLine="709"/>
        <w:jc w:val="both"/>
        <w:rPr>
          <w:rFonts w:ascii="Book Antiqua" w:hAnsi="Book Antiqua"/>
          <w:i/>
          <w:iCs/>
          <w:lang w:val="es-ES_tradnl"/>
        </w:rPr>
      </w:pPr>
      <w:r w:rsidRPr="00C2251A">
        <w:rPr>
          <w:rFonts w:ascii="Book Antiqua" w:hAnsi="Book Antiqua"/>
          <w:i/>
          <w:iCs/>
          <w:lang w:val="es-ES_tradnl"/>
        </w:rPr>
        <w:t>c) Acciones correctivas adoptadas o planificadas para reducir la brecha salarial.</w:t>
      </w:r>
    </w:p>
    <w:p w14:paraId="54BE5AC9" w14:textId="081BE84B" w:rsidR="00C2251A" w:rsidRDefault="00E43C2C" w:rsidP="00E43C2C">
      <w:pPr>
        <w:widowControl w:val="0"/>
        <w:spacing w:line="480" w:lineRule="auto"/>
        <w:ind w:left="993" w:hanging="284"/>
        <w:jc w:val="both"/>
        <w:rPr>
          <w:rFonts w:ascii="Book Antiqua" w:hAnsi="Book Antiqua"/>
          <w:i/>
          <w:iCs/>
          <w:lang w:val="es-ES_tradnl"/>
        </w:rPr>
      </w:pPr>
      <w:r>
        <w:rPr>
          <w:rFonts w:ascii="Book Antiqua" w:hAnsi="Book Antiqua"/>
          <w:i/>
          <w:iCs/>
          <w:lang w:val="es-ES_tradnl"/>
        </w:rPr>
        <w:t>d</w:t>
      </w:r>
      <w:r w:rsidR="00C2251A" w:rsidRPr="00C2251A">
        <w:rPr>
          <w:rFonts w:ascii="Book Antiqua" w:hAnsi="Book Antiqua"/>
          <w:i/>
          <w:iCs/>
          <w:lang w:val="es-ES_tradnl"/>
        </w:rPr>
        <w:t xml:space="preserve">) </w:t>
      </w:r>
      <w:r>
        <w:rPr>
          <w:rFonts w:ascii="Book Antiqua" w:hAnsi="Book Antiqua"/>
          <w:i/>
          <w:iCs/>
          <w:lang w:val="es-ES_tradnl"/>
        </w:rPr>
        <w:t>Plan de acción con términos</w:t>
      </w:r>
      <w:r w:rsidR="00C2251A" w:rsidRPr="00C2251A">
        <w:rPr>
          <w:rFonts w:ascii="Book Antiqua" w:hAnsi="Book Antiqua"/>
          <w:i/>
          <w:iCs/>
          <w:lang w:val="es-ES_tradnl"/>
        </w:rPr>
        <w:t xml:space="preserve"> de cumplimiento </w:t>
      </w:r>
      <w:r>
        <w:rPr>
          <w:rFonts w:ascii="Book Antiqua" w:hAnsi="Book Antiqua"/>
          <w:i/>
          <w:iCs/>
          <w:lang w:val="es-ES_tradnl"/>
        </w:rPr>
        <w:t xml:space="preserve">y </w:t>
      </w:r>
      <w:r w:rsidR="00C2251A" w:rsidRPr="00C2251A">
        <w:rPr>
          <w:rFonts w:ascii="Book Antiqua" w:hAnsi="Book Antiqua"/>
          <w:i/>
          <w:iCs/>
          <w:lang w:val="es-ES_tradnl"/>
        </w:rPr>
        <w:t>con metas específicas para alcanzar la equidad salarial.</w:t>
      </w:r>
    </w:p>
    <w:p w14:paraId="13104521" w14:textId="0D63B5F7" w:rsidR="00C2251A" w:rsidRPr="00C2251A" w:rsidRDefault="00E43C2C" w:rsidP="00E43C2C">
      <w:pPr>
        <w:widowControl w:val="0"/>
        <w:spacing w:line="480" w:lineRule="auto"/>
        <w:ind w:left="993" w:hanging="284"/>
        <w:jc w:val="both"/>
        <w:rPr>
          <w:rFonts w:ascii="Book Antiqua" w:hAnsi="Book Antiqua"/>
          <w:i/>
          <w:iCs/>
          <w:lang w:val="es-ES_tradnl"/>
        </w:rPr>
      </w:pPr>
      <w:r>
        <w:rPr>
          <w:rFonts w:ascii="Book Antiqua" w:hAnsi="Book Antiqua"/>
          <w:i/>
          <w:iCs/>
          <w:lang w:val="es-ES_tradnl"/>
        </w:rPr>
        <w:t xml:space="preserve">e) Cualquier otra información que el </w:t>
      </w:r>
      <w:r w:rsidRPr="00C2251A">
        <w:rPr>
          <w:rFonts w:ascii="Book Antiqua" w:hAnsi="Book Antiqua"/>
          <w:i/>
          <w:iCs/>
          <w:lang w:val="es-ES_tradnl"/>
        </w:rPr>
        <w:t>Departamento del Trabajo y Recursos Humanos</w:t>
      </w:r>
      <w:r>
        <w:rPr>
          <w:rFonts w:ascii="Book Antiqua" w:hAnsi="Book Antiqua"/>
          <w:i/>
          <w:iCs/>
          <w:lang w:val="es-ES_tradnl"/>
        </w:rPr>
        <w:t xml:space="preserve"> de Puerto Rico </w:t>
      </w:r>
      <w:r w:rsidR="00C2251A" w:rsidRPr="00C2251A">
        <w:rPr>
          <w:rFonts w:ascii="Book Antiqua" w:hAnsi="Book Antiqua"/>
          <w:i/>
          <w:iCs/>
          <w:lang w:val="es-ES_tradnl"/>
        </w:rPr>
        <w:t>establecerá mediante reglamento</w:t>
      </w:r>
      <w:r>
        <w:rPr>
          <w:rFonts w:ascii="Book Antiqua" w:hAnsi="Book Antiqua"/>
          <w:i/>
          <w:iCs/>
          <w:lang w:val="es-ES_tradnl"/>
        </w:rPr>
        <w:t>.</w:t>
      </w:r>
    </w:p>
    <w:p w14:paraId="4DE7A29E" w14:textId="427CD6B4" w:rsidR="00C2251A" w:rsidRDefault="00C2251A" w:rsidP="00C2251A">
      <w:pPr>
        <w:widowControl w:val="0"/>
        <w:spacing w:line="480" w:lineRule="auto"/>
        <w:ind w:firstLine="709"/>
        <w:jc w:val="both"/>
        <w:rPr>
          <w:rFonts w:ascii="Book Antiqua" w:hAnsi="Book Antiqua"/>
          <w:i/>
          <w:iCs/>
          <w:lang w:val="es-ES_tradnl"/>
        </w:rPr>
      </w:pPr>
      <w:r w:rsidRPr="00C2251A">
        <w:rPr>
          <w:rFonts w:ascii="Book Antiqua" w:hAnsi="Book Antiqua"/>
          <w:i/>
          <w:iCs/>
          <w:lang w:val="es-ES_tradnl"/>
        </w:rPr>
        <w:t xml:space="preserve">El incumplimiento con la presentación de este informe constituirá una violación a esta Ley y podrá conllevar la imposición de multas administrativas y cualquier otra sanción que el Departamento del Trabajo y Recursos Humanos </w:t>
      </w:r>
      <w:r w:rsidR="00E43C2C">
        <w:rPr>
          <w:rFonts w:ascii="Book Antiqua" w:hAnsi="Book Antiqua"/>
          <w:i/>
          <w:iCs/>
          <w:lang w:val="es-ES_tradnl"/>
        </w:rPr>
        <w:t xml:space="preserve">de Puerto Rico </w:t>
      </w:r>
      <w:r w:rsidRPr="00C2251A">
        <w:rPr>
          <w:rFonts w:ascii="Book Antiqua" w:hAnsi="Book Antiqua"/>
          <w:i/>
          <w:iCs/>
          <w:lang w:val="es-ES_tradnl"/>
        </w:rPr>
        <w:t>establezca mediante reglamentación.”</w:t>
      </w:r>
    </w:p>
    <w:p w14:paraId="65D551A2" w14:textId="486B0D3C" w:rsidR="00DE0C3C" w:rsidRPr="00DE0C3C" w:rsidRDefault="00DE0C3C" w:rsidP="00C2251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Sección 3. — </w:t>
      </w:r>
      <w:proofErr w:type="spellStart"/>
      <w:r w:rsidRPr="00DE0C3C">
        <w:rPr>
          <w:rFonts w:ascii="Book Antiqua" w:hAnsi="Book Antiqua"/>
          <w:lang w:val="es-ES_tradnl"/>
        </w:rPr>
        <w:t>Reenumeración</w:t>
      </w:r>
      <w:proofErr w:type="spellEnd"/>
      <w:r w:rsidRPr="00DE0C3C">
        <w:rPr>
          <w:rFonts w:ascii="Book Antiqua" w:hAnsi="Book Antiqua"/>
          <w:lang w:val="es-ES_tradnl"/>
        </w:rPr>
        <w:t xml:space="preserve"> de Artículos.</w:t>
      </w:r>
    </w:p>
    <w:p w14:paraId="3E408858" w14:textId="448A494E" w:rsidR="00DE0C3C" w:rsidRDefault="00DE0C3C" w:rsidP="0023379A">
      <w:pPr>
        <w:widowControl w:val="0"/>
        <w:spacing w:line="480" w:lineRule="auto"/>
        <w:ind w:firstLine="709"/>
        <w:jc w:val="both"/>
        <w:rPr>
          <w:rFonts w:ascii="Book Antiqua" w:hAnsi="Book Antiqua"/>
          <w:lang w:val="es-ES_tradnl"/>
        </w:rPr>
      </w:pPr>
      <w:r w:rsidRPr="00DE0C3C">
        <w:rPr>
          <w:rFonts w:ascii="Book Antiqua" w:hAnsi="Book Antiqua"/>
          <w:lang w:val="es-ES_tradnl"/>
        </w:rPr>
        <w:t xml:space="preserve">Se reenumeran los actuales Artículos </w:t>
      </w:r>
      <w:r w:rsidR="00E43C2C">
        <w:rPr>
          <w:rFonts w:ascii="Book Antiqua" w:hAnsi="Book Antiqua"/>
          <w:lang w:val="es-ES_tradnl"/>
        </w:rPr>
        <w:t xml:space="preserve">8, </w:t>
      </w:r>
      <w:r w:rsidRPr="00DE0C3C">
        <w:rPr>
          <w:rFonts w:ascii="Book Antiqua" w:hAnsi="Book Antiqua"/>
          <w:lang w:val="es-ES_tradnl"/>
        </w:rPr>
        <w:t xml:space="preserve">9, 10 y 11 de la Ley 16-2017, según enmendada, </w:t>
      </w:r>
      <w:r w:rsidR="0023379A">
        <w:rPr>
          <w:rFonts w:ascii="Book Antiqua" w:hAnsi="Book Antiqua"/>
          <w:lang w:val="es-ES_tradnl"/>
        </w:rPr>
        <w:t xml:space="preserve">conocida como </w:t>
      </w:r>
      <w:r w:rsidR="0023379A" w:rsidRPr="0023379A">
        <w:rPr>
          <w:rFonts w:ascii="Book Antiqua" w:hAnsi="Book Antiqua"/>
          <w:lang w:val="es-ES_tradnl"/>
        </w:rPr>
        <w:t>“Ley de Igualdad Salarial de Puerto Rico”</w:t>
      </w:r>
      <w:r w:rsidR="0023379A">
        <w:rPr>
          <w:rFonts w:ascii="Book Antiqua" w:hAnsi="Book Antiqua"/>
          <w:lang w:val="es-ES_tradnl"/>
        </w:rPr>
        <w:t xml:space="preserve"> </w:t>
      </w:r>
      <w:r w:rsidRPr="00DE0C3C">
        <w:rPr>
          <w:rFonts w:ascii="Book Antiqua" w:hAnsi="Book Antiqua"/>
          <w:lang w:val="es-ES_tradnl"/>
        </w:rPr>
        <w:t xml:space="preserve">como los nuevos Artículos </w:t>
      </w:r>
      <w:r w:rsidR="00E43C2C">
        <w:rPr>
          <w:rFonts w:ascii="Book Antiqua" w:hAnsi="Book Antiqua"/>
          <w:lang w:val="es-ES_tradnl"/>
        </w:rPr>
        <w:t xml:space="preserve">9, </w:t>
      </w:r>
      <w:r w:rsidRPr="00DE0C3C">
        <w:rPr>
          <w:rFonts w:ascii="Book Antiqua" w:hAnsi="Book Antiqua"/>
          <w:lang w:val="es-ES_tradnl"/>
        </w:rPr>
        <w:t>10, 11 y 12, respectivamente.</w:t>
      </w:r>
    </w:p>
    <w:p w14:paraId="3DFD9612" w14:textId="39372923" w:rsidR="00A079CF" w:rsidRPr="00A079CF" w:rsidRDefault="00A079CF" w:rsidP="0023379A">
      <w:pPr>
        <w:widowControl w:val="0"/>
        <w:spacing w:line="480" w:lineRule="auto"/>
        <w:ind w:firstLine="709"/>
        <w:jc w:val="both"/>
        <w:rPr>
          <w:rFonts w:ascii="Book Antiqua" w:hAnsi="Book Antiqua"/>
          <w:lang w:val="es-ES_tradnl"/>
        </w:rPr>
      </w:pPr>
      <w:r w:rsidRPr="00A079CF">
        <w:rPr>
          <w:rFonts w:ascii="Book Antiqua" w:hAnsi="Book Antiqua"/>
          <w:lang w:val="es-ES_tradnl"/>
        </w:rPr>
        <w:t xml:space="preserve">Sección </w:t>
      </w:r>
      <w:r w:rsidR="00727C4A">
        <w:rPr>
          <w:rFonts w:ascii="Book Antiqua" w:hAnsi="Book Antiqua"/>
          <w:lang w:val="es-ES_tradnl"/>
        </w:rPr>
        <w:t>4</w:t>
      </w:r>
      <w:r w:rsidRPr="00A079CF">
        <w:rPr>
          <w:rFonts w:ascii="Book Antiqua" w:hAnsi="Book Antiqua"/>
          <w:lang w:val="es-ES_tradnl"/>
        </w:rPr>
        <w:t>. — Reglamentación.</w:t>
      </w:r>
    </w:p>
    <w:p w14:paraId="77C63B55" w14:textId="4472F34D" w:rsidR="00E24C92" w:rsidRPr="00A079CF" w:rsidRDefault="00A079CF" w:rsidP="0023379A">
      <w:pPr>
        <w:widowControl w:val="0"/>
        <w:spacing w:line="480" w:lineRule="auto"/>
        <w:ind w:firstLine="709"/>
        <w:jc w:val="both"/>
        <w:rPr>
          <w:rFonts w:ascii="Book Antiqua" w:hAnsi="Book Antiqua"/>
          <w:highlight w:val="yellow"/>
          <w:lang w:val="es-ES_tradnl"/>
        </w:rPr>
      </w:pPr>
      <w:r w:rsidRPr="00A079CF">
        <w:rPr>
          <w:rFonts w:ascii="Book Antiqua" w:hAnsi="Book Antiqua"/>
          <w:lang w:val="es-ES_tradnl"/>
        </w:rPr>
        <w:t>El Departamento del Trabajo y Recursos Humanos tendrá un término de noventa (90) días a partir de la aprobación de esta Ley para adoptar o enmendar la reglamentación necesaria para cumplir con lo aquí dispuesto.</w:t>
      </w:r>
      <w:r w:rsidR="00E24C92" w:rsidRPr="00A079CF">
        <w:rPr>
          <w:rFonts w:ascii="Book Antiqua" w:hAnsi="Book Antiqua"/>
          <w:highlight w:val="yellow"/>
          <w:lang w:val="es-ES_tradnl"/>
        </w:rPr>
        <w:t xml:space="preserve"> </w:t>
      </w:r>
    </w:p>
    <w:p w14:paraId="0ADF1FCC" w14:textId="2FDE3EE2" w:rsidR="00E24C92" w:rsidRPr="00727C4A" w:rsidRDefault="003A764A" w:rsidP="0023379A">
      <w:pPr>
        <w:widowControl w:val="0"/>
        <w:spacing w:line="480" w:lineRule="auto"/>
        <w:ind w:firstLine="567"/>
        <w:jc w:val="both"/>
        <w:rPr>
          <w:rFonts w:ascii="Book Antiqua" w:hAnsi="Book Antiqua"/>
          <w:lang w:val="es-ES_tradnl"/>
        </w:rPr>
      </w:pPr>
      <w:r w:rsidRPr="00727C4A">
        <w:rPr>
          <w:rFonts w:ascii="Book Antiqua" w:hAnsi="Book Antiqua"/>
          <w:lang w:val="es-ES_tradnl"/>
        </w:rPr>
        <w:t xml:space="preserve">Sección </w:t>
      </w:r>
      <w:r w:rsidR="00727C4A" w:rsidRPr="00727C4A">
        <w:rPr>
          <w:rFonts w:ascii="Book Antiqua" w:hAnsi="Book Antiqua"/>
          <w:lang w:val="es-ES_tradnl"/>
        </w:rPr>
        <w:t>5</w:t>
      </w:r>
      <w:r w:rsidRPr="00727C4A">
        <w:rPr>
          <w:rFonts w:ascii="Book Antiqua" w:hAnsi="Book Antiqua"/>
          <w:lang w:val="es-ES_tradnl"/>
        </w:rPr>
        <w:t xml:space="preserve">. — </w:t>
      </w:r>
      <w:r w:rsidR="00E24C92" w:rsidRPr="00727C4A">
        <w:rPr>
          <w:rFonts w:ascii="Book Antiqua" w:hAnsi="Book Antiqua"/>
          <w:lang w:val="es-ES_tradnl"/>
        </w:rPr>
        <w:t xml:space="preserve"> Cláusula de Separabilidad.</w:t>
      </w:r>
    </w:p>
    <w:p w14:paraId="57F7762D" w14:textId="77777777" w:rsidR="00E24C92" w:rsidRPr="00727C4A" w:rsidRDefault="00E24C92" w:rsidP="0023379A">
      <w:pPr>
        <w:widowControl w:val="0"/>
        <w:spacing w:line="480" w:lineRule="auto"/>
        <w:ind w:firstLine="360"/>
        <w:jc w:val="both"/>
        <w:rPr>
          <w:rFonts w:ascii="Book Antiqua" w:hAnsi="Book Antiqua"/>
          <w:lang w:val="es-ES_tradnl"/>
        </w:rPr>
      </w:pPr>
      <w:r w:rsidRPr="00727C4A">
        <w:rPr>
          <w:rFonts w:ascii="Book Antiqua" w:hAnsi="Book Antiqua"/>
          <w:lang w:val="es-ES_tradnl"/>
        </w:rPr>
        <w:t xml:space="preserve">Si cualquier parte de esta Ley fuere declarada inconstitucional por un Tribunal con </w:t>
      </w:r>
      <w:r w:rsidRPr="00727C4A">
        <w:rPr>
          <w:rFonts w:ascii="Book Antiqua" w:hAnsi="Book Antiqua"/>
          <w:lang w:val="es-ES_tradnl"/>
        </w:rPr>
        <w:lastRenderedPageBreak/>
        <w:t>jurisdicción, tal determinación no afectará ni invalidará el resto de esta Ley, sino que el efecto del dictamen de inconstitucionalidad quedará limitado a la parte de esta Ley que hubiese sido declarado inconstitucional.</w:t>
      </w:r>
      <w:r w:rsidR="00585EFC" w:rsidRPr="00727C4A">
        <w:rPr>
          <w:rFonts w:ascii="Book Antiqua" w:hAnsi="Book Antiqua"/>
          <w:lang w:val="es-ES_tradnl"/>
        </w:rPr>
        <w:tab/>
      </w:r>
    </w:p>
    <w:p w14:paraId="0D0DD273" w14:textId="55A884F4" w:rsidR="00585EFC" w:rsidRPr="00727C4A" w:rsidRDefault="003A764A" w:rsidP="0023379A">
      <w:pPr>
        <w:widowControl w:val="0"/>
        <w:spacing w:line="480" w:lineRule="auto"/>
        <w:ind w:firstLine="567"/>
        <w:jc w:val="both"/>
        <w:rPr>
          <w:rFonts w:ascii="Book Antiqua" w:hAnsi="Book Antiqua"/>
          <w:lang w:val="es-ES_tradnl"/>
        </w:rPr>
      </w:pPr>
      <w:r w:rsidRPr="00727C4A">
        <w:rPr>
          <w:rFonts w:ascii="Book Antiqua" w:hAnsi="Book Antiqua"/>
          <w:lang w:val="es-ES_tradnl"/>
        </w:rPr>
        <w:t xml:space="preserve">Sección </w:t>
      </w:r>
      <w:r w:rsidR="00727C4A" w:rsidRPr="00727C4A">
        <w:rPr>
          <w:rFonts w:ascii="Book Antiqua" w:hAnsi="Book Antiqua"/>
          <w:lang w:val="es-ES_tradnl"/>
        </w:rPr>
        <w:t>6</w:t>
      </w:r>
      <w:r w:rsidRPr="00727C4A">
        <w:rPr>
          <w:rFonts w:ascii="Book Antiqua" w:hAnsi="Book Antiqua"/>
          <w:lang w:val="es-ES_tradnl"/>
        </w:rPr>
        <w:t xml:space="preserve">. — </w:t>
      </w:r>
      <w:r w:rsidR="00585EFC" w:rsidRPr="00727C4A">
        <w:rPr>
          <w:rFonts w:ascii="Book Antiqua" w:hAnsi="Book Antiqua"/>
          <w:lang w:val="es-ES_tradnl"/>
        </w:rPr>
        <w:t>Vigencia</w:t>
      </w:r>
    </w:p>
    <w:p w14:paraId="0C1C2C76" w14:textId="3888A3E0" w:rsidR="00BB4616" w:rsidRPr="00C55AE9" w:rsidRDefault="00585EFC" w:rsidP="0023379A">
      <w:pPr>
        <w:widowControl w:val="0"/>
        <w:spacing w:line="480" w:lineRule="auto"/>
        <w:ind w:firstLine="360"/>
        <w:jc w:val="both"/>
        <w:rPr>
          <w:rFonts w:ascii="Book Antiqua" w:hAnsi="Book Antiqua"/>
          <w:lang w:val="es-ES_tradnl"/>
        </w:rPr>
      </w:pPr>
      <w:r w:rsidRPr="00727C4A">
        <w:rPr>
          <w:rFonts w:ascii="Book Antiqua" w:hAnsi="Book Antiqua"/>
          <w:lang w:val="es-ES_tradnl"/>
        </w:rPr>
        <w:tab/>
        <w:t>Esta Ley comenzará a regir inmediatamente después de su aprobación.</w:t>
      </w:r>
    </w:p>
    <w:sectPr w:rsidR="00BB4616" w:rsidRPr="00C55AE9" w:rsidSect="00585E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22FCC" w14:textId="77777777" w:rsidR="006648C4" w:rsidRDefault="006648C4">
      <w:r>
        <w:separator/>
      </w:r>
    </w:p>
  </w:endnote>
  <w:endnote w:type="continuationSeparator" w:id="0">
    <w:p w14:paraId="1F44817E" w14:textId="77777777" w:rsidR="006648C4" w:rsidRDefault="00664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AB10A" w14:textId="77777777" w:rsidR="006648C4" w:rsidRDefault="006648C4">
      <w:r>
        <w:separator/>
      </w:r>
    </w:p>
  </w:footnote>
  <w:footnote w:type="continuationSeparator" w:id="0">
    <w:p w14:paraId="76A3FA20" w14:textId="77777777" w:rsidR="006648C4" w:rsidRDefault="00664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2AC71"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D3ED1">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B389A"/>
    <w:multiLevelType w:val="hybridMultilevel"/>
    <w:tmpl w:val="CDFCC050"/>
    <w:lvl w:ilvl="0" w:tplc="6D108362">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B967E5F"/>
    <w:multiLevelType w:val="hybridMultilevel"/>
    <w:tmpl w:val="0D2C9A9A"/>
    <w:lvl w:ilvl="0" w:tplc="AB2A0A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75A3C1C"/>
    <w:multiLevelType w:val="hybridMultilevel"/>
    <w:tmpl w:val="A784ED5C"/>
    <w:lvl w:ilvl="0" w:tplc="C8BA074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713C696C"/>
    <w:multiLevelType w:val="hybridMultilevel"/>
    <w:tmpl w:val="CFD81320"/>
    <w:lvl w:ilvl="0" w:tplc="335CBB1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77957172">
    <w:abstractNumId w:val="3"/>
  </w:num>
  <w:num w:numId="2" w16cid:durableId="1142844452">
    <w:abstractNumId w:val="2"/>
  </w:num>
  <w:num w:numId="3" w16cid:durableId="862397297">
    <w:abstractNumId w:val="1"/>
  </w:num>
  <w:num w:numId="4" w16cid:durableId="1895846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85EFC"/>
    <w:rsid w:val="00020BBB"/>
    <w:rsid w:val="00045935"/>
    <w:rsid w:val="00056024"/>
    <w:rsid w:val="00095AE1"/>
    <w:rsid w:val="000A6B6C"/>
    <w:rsid w:val="000B0DBB"/>
    <w:rsid w:val="00102937"/>
    <w:rsid w:val="00111E71"/>
    <w:rsid w:val="00127C6A"/>
    <w:rsid w:val="001363FE"/>
    <w:rsid w:val="0017132B"/>
    <w:rsid w:val="001C3503"/>
    <w:rsid w:val="001E3E32"/>
    <w:rsid w:val="001E543B"/>
    <w:rsid w:val="001F4CA3"/>
    <w:rsid w:val="001F612A"/>
    <w:rsid w:val="00203616"/>
    <w:rsid w:val="00211396"/>
    <w:rsid w:val="00216EC2"/>
    <w:rsid w:val="00222F5C"/>
    <w:rsid w:val="00226AE6"/>
    <w:rsid w:val="00230699"/>
    <w:rsid w:val="0023379A"/>
    <w:rsid w:val="00245B34"/>
    <w:rsid w:val="00246FDD"/>
    <w:rsid w:val="00261A7C"/>
    <w:rsid w:val="00263355"/>
    <w:rsid w:val="00264997"/>
    <w:rsid w:val="00273792"/>
    <w:rsid w:val="00283F38"/>
    <w:rsid w:val="00286C65"/>
    <w:rsid w:val="002C4873"/>
    <w:rsid w:val="002D3ED1"/>
    <w:rsid w:val="002D4AC8"/>
    <w:rsid w:val="00320D78"/>
    <w:rsid w:val="00380FE5"/>
    <w:rsid w:val="003924DD"/>
    <w:rsid w:val="003930E1"/>
    <w:rsid w:val="00394FCB"/>
    <w:rsid w:val="003963F4"/>
    <w:rsid w:val="003A3090"/>
    <w:rsid w:val="003A764A"/>
    <w:rsid w:val="003B497B"/>
    <w:rsid w:val="003B5254"/>
    <w:rsid w:val="003B602C"/>
    <w:rsid w:val="003B75A6"/>
    <w:rsid w:val="003F6ABE"/>
    <w:rsid w:val="004061CA"/>
    <w:rsid w:val="00407824"/>
    <w:rsid w:val="00415689"/>
    <w:rsid w:val="00427452"/>
    <w:rsid w:val="004440CB"/>
    <w:rsid w:val="004713D2"/>
    <w:rsid w:val="005055E5"/>
    <w:rsid w:val="005075AF"/>
    <w:rsid w:val="00521639"/>
    <w:rsid w:val="00532BB7"/>
    <w:rsid w:val="005332E4"/>
    <w:rsid w:val="0053550C"/>
    <w:rsid w:val="00555018"/>
    <w:rsid w:val="005723DC"/>
    <w:rsid w:val="00585EFC"/>
    <w:rsid w:val="005E6504"/>
    <w:rsid w:val="006210DC"/>
    <w:rsid w:val="00623F3D"/>
    <w:rsid w:val="0064349D"/>
    <w:rsid w:val="006648C4"/>
    <w:rsid w:val="006807A3"/>
    <w:rsid w:val="00685549"/>
    <w:rsid w:val="006B7365"/>
    <w:rsid w:val="006C2D81"/>
    <w:rsid w:val="006C7DF8"/>
    <w:rsid w:val="006E418D"/>
    <w:rsid w:val="00723889"/>
    <w:rsid w:val="00727C4A"/>
    <w:rsid w:val="00732444"/>
    <w:rsid w:val="00750FC8"/>
    <w:rsid w:val="007533D0"/>
    <w:rsid w:val="00755069"/>
    <w:rsid w:val="0078234E"/>
    <w:rsid w:val="007B0660"/>
    <w:rsid w:val="007B5FC3"/>
    <w:rsid w:val="007D0CF3"/>
    <w:rsid w:val="007E3868"/>
    <w:rsid w:val="00806B14"/>
    <w:rsid w:val="00820C41"/>
    <w:rsid w:val="00850256"/>
    <w:rsid w:val="00865EE1"/>
    <w:rsid w:val="008919AC"/>
    <w:rsid w:val="008B32D3"/>
    <w:rsid w:val="008C7BC4"/>
    <w:rsid w:val="008E2729"/>
    <w:rsid w:val="00925FB4"/>
    <w:rsid w:val="0093686F"/>
    <w:rsid w:val="00942FD4"/>
    <w:rsid w:val="00951997"/>
    <w:rsid w:val="009739C0"/>
    <w:rsid w:val="00990352"/>
    <w:rsid w:val="00997FA2"/>
    <w:rsid w:val="00A03405"/>
    <w:rsid w:val="00A079CF"/>
    <w:rsid w:val="00A1528A"/>
    <w:rsid w:val="00A23C07"/>
    <w:rsid w:val="00A33918"/>
    <w:rsid w:val="00A44F3F"/>
    <w:rsid w:val="00A506DE"/>
    <w:rsid w:val="00A65BF4"/>
    <w:rsid w:val="00A7629F"/>
    <w:rsid w:val="00AF0CEE"/>
    <w:rsid w:val="00AF45D2"/>
    <w:rsid w:val="00B0647E"/>
    <w:rsid w:val="00B215E2"/>
    <w:rsid w:val="00B30A7C"/>
    <w:rsid w:val="00B667AD"/>
    <w:rsid w:val="00B84C38"/>
    <w:rsid w:val="00B86C00"/>
    <w:rsid w:val="00B947F6"/>
    <w:rsid w:val="00BB4616"/>
    <w:rsid w:val="00BF16AA"/>
    <w:rsid w:val="00C157DA"/>
    <w:rsid w:val="00C2251A"/>
    <w:rsid w:val="00C354B8"/>
    <w:rsid w:val="00C51C81"/>
    <w:rsid w:val="00C52517"/>
    <w:rsid w:val="00C55AE9"/>
    <w:rsid w:val="00C60921"/>
    <w:rsid w:val="00C62936"/>
    <w:rsid w:val="00C653F2"/>
    <w:rsid w:val="00C679E6"/>
    <w:rsid w:val="00C908F9"/>
    <w:rsid w:val="00CA0917"/>
    <w:rsid w:val="00CA1099"/>
    <w:rsid w:val="00CE5230"/>
    <w:rsid w:val="00CF4FAD"/>
    <w:rsid w:val="00D417C2"/>
    <w:rsid w:val="00D60936"/>
    <w:rsid w:val="00D709EB"/>
    <w:rsid w:val="00D74714"/>
    <w:rsid w:val="00D82F3F"/>
    <w:rsid w:val="00D833F4"/>
    <w:rsid w:val="00D921C6"/>
    <w:rsid w:val="00D958C2"/>
    <w:rsid w:val="00DE0C3C"/>
    <w:rsid w:val="00DE2A31"/>
    <w:rsid w:val="00E04AB5"/>
    <w:rsid w:val="00E114BB"/>
    <w:rsid w:val="00E21EDC"/>
    <w:rsid w:val="00E24C92"/>
    <w:rsid w:val="00E43C2C"/>
    <w:rsid w:val="00E47AC4"/>
    <w:rsid w:val="00E50EEA"/>
    <w:rsid w:val="00E52F58"/>
    <w:rsid w:val="00EA76CE"/>
    <w:rsid w:val="00EB4948"/>
    <w:rsid w:val="00EC26AA"/>
    <w:rsid w:val="00EC5D3B"/>
    <w:rsid w:val="00ED7A53"/>
    <w:rsid w:val="00EE19F5"/>
    <w:rsid w:val="00EE4273"/>
    <w:rsid w:val="00F02004"/>
    <w:rsid w:val="00F042CB"/>
    <w:rsid w:val="00F240CC"/>
    <w:rsid w:val="00F60A20"/>
    <w:rsid w:val="00FA1303"/>
    <w:rsid w:val="00FC0A95"/>
    <w:rsid w:val="00FC3D9C"/>
    <w:rsid w:val="00FE6B8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3E3756"/>
  <w15:chartTrackingRefBased/>
  <w15:docId w15:val="{57BCE826-3B86-469F-89FC-F447D3F13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CE5230"/>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264997"/>
    <w:pPr>
      <w:ind w:left="720"/>
      <w:contextualSpacing/>
    </w:pPr>
  </w:style>
  <w:style w:type="paragraph" w:styleId="NormalWeb">
    <w:name w:val="Normal (Web)"/>
    <w:basedOn w:val="Normal"/>
    <w:uiPriority w:val="99"/>
    <w:unhideWhenUsed/>
    <w:rsid w:val="00102937"/>
    <w:pPr>
      <w:spacing w:before="100" w:beforeAutospacing="1" w:after="100" w:afterAutospacing="1"/>
    </w:pPr>
    <w:rPr>
      <w:szCs w:val="24"/>
    </w:rPr>
  </w:style>
  <w:style w:type="character" w:customStyle="1" w:styleId="apple-converted-space">
    <w:name w:val="apple-converted-space"/>
    <w:basedOn w:val="DefaultParagraphFont"/>
    <w:rsid w:val="00102937"/>
  </w:style>
  <w:style w:type="character" w:customStyle="1" w:styleId="truncate">
    <w:name w:val="truncate"/>
    <w:basedOn w:val="DefaultParagraphFont"/>
    <w:rsid w:val="00102937"/>
  </w:style>
  <w:style w:type="paragraph" w:customStyle="1" w:styleId="p1">
    <w:name w:val="p1"/>
    <w:basedOn w:val="Normal"/>
    <w:rsid w:val="00CE5230"/>
    <w:rPr>
      <w:color w:val="000000"/>
      <w:sz w:val="18"/>
      <w:szCs w:val="18"/>
    </w:rPr>
  </w:style>
  <w:style w:type="paragraph" w:customStyle="1" w:styleId="p2">
    <w:name w:val="p2"/>
    <w:basedOn w:val="Normal"/>
    <w:rsid w:val="00CE5230"/>
    <w:rPr>
      <w:color w:val="0000FF"/>
      <w:sz w:val="18"/>
      <w:szCs w:val="18"/>
    </w:rPr>
  </w:style>
  <w:style w:type="character" w:customStyle="1" w:styleId="s1">
    <w:name w:val="s1"/>
    <w:basedOn w:val="DefaultParagraphFont"/>
    <w:rsid w:val="00CE5230"/>
    <w:rPr>
      <w:color w:val="0000FF"/>
    </w:rPr>
  </w:style>
  <w:style w:type="character" w:customStyle="1" w:styleId="s2">
    <w:name w:val="s2"/>
    <w:basedOn w:val="DefaultParagraphFont"/>
    <w:rsid w:val="00CE5230"/>
    <w:rPr>
      <w:color w:val="000000"/>
    </w:rPr>
  </w:style>
  <w:style w:type="character" w:customStyle="1" w:styleId="Heading3Char">
    <w:name w:val="Heading 3 Char"/>
    <w:basedOn w:val="DefaultParagraphFont"/>
    <w:link w:val="Heading3"/>
    <w:uiPriority w:val="9"/>
    <w:semiHidden/>
    <w:rsid w:val="00CE5230"/>
    <w:rPr>
      <w:rFonts w:asciiTheme="majorHAnsi" w:eastAsiaTheme="majorEastAsia" w:hAnsiTheme="majorHAnsi" w:cstheme="majorBidi"/>
      <w:color w:val="1F4D78" w:themeColor="accent1" w:themeShade="7F"/>
      <w:sz w:val="24"/>
      <w:szCs w:val="24"/>
      <w:lang w:val="en-US" w:eastAsia="en-US"/>
    </w:rPr>
  </w:style>
  <w:style w:type="character" w:styleId="Strong">
    <w:name w:val="Strong"/>
    <w:basedOn w:val="DefaultParagraphFont"/>
    <w:uiPriority w:val="22"/>
    <w:qFormat/>
    <w:rsid w:val="00CE5230"/>
    <w:rPr>
      <w:b/>
      <w:bCs/>
    </w:rPr>
  </w:style>
  <w:style w:type="character" w:styleId="Emphasis">
    <w:name w:val="Emphasis"/>
    <w:basedOn w:val="DefaultParagraphFont"/>
    <w:uiPriority w:val="20"/>
    <w:qFormat/>
    <w:rsid w:val="00CE52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12585">
      <w:bodyDiv w:val="1"/>
      <w:marLeft w:val="0"/>
      <w:marRight w:val="0"/>
      <w:marTop w:val="0"/>
      <w:marBottom w:val="0"/>
      <w:divBdr>
        <w:top w:val="none" w:sz="0" w:space="0" w:color="auto"/>
        <w:left w:val="none" w:sz="0" w:space="0" w:color="auto"/>
        <w:bottom w:val="none" w:sz="0" w:space="0" w:color="auto"/>
        <w:right w:val="none" w:sz="0" w:space="0" w:color="auto"/>
      </w:divBdr>
    </w:div>
    <w:div w:id="76558031">
      <w:bodyDiv w:val="1"/>
      <w:marLeft w:val="0"/>
      <w:marRight w:val="0"/>
      <w:marTop w:val="0"/>
      <w:marBottom w:val="0"/>
      <w:divBdr>
        <w:top w:val="none" w:sz="0" w:space="0" w:color="auto"/>
        <w:left w:val="none" w:sz="0" w:space="0" w:color="auto"/>
        <w:bottom w:val="none" w:sz="0" w:space="0" w:color="auto"/>
        <w:right w:val="none" w:sz="0" w:space="0" w:color="auto"/>
      </w:divBdr>
    </w:div>
    <w:div w:id="100420052">
      <w:bodyDiv w:val="1"/>
      <w:marLeft w:val="0"/>
      <w:marRight w:val="0"/>
      <w:marTop w:val="0"/>
      <w:marBottom w:val="0"/>
      <w:divBdr>
        <w:top w:val="none" w:sz="0" w:space="0" w:color="auto"/>
        <w:left w:val="none" w:sz="0" w:space="0" w:color="auto"/>
        <w:bottom w:val="none" w:sz="0" w:space="0" w:color="auto"/>
        <w:right w:val="none" w:sz="0" w:space="0" w:color="auto"/>
      </w:divBdr>
    </w:div>
    <w:div w:id="457920987">
      <w:bodyDiv w:val="1"/>
      <w:marLeft w:val="0"/>
      <w:marRight w:val="0"/>
      <w:marTop w:val="0"/>
      <w:marBottom w:val="0"/>
      <w:divBdr>
        <w:top w:val="none" w:sz="0" w:space="0" w:color="auto"/>
        <w:left w:val="none" w:sz="0" w:space="0" w:color="auto"/>
        <w:bottom w:val="none" w:sz="0" w:space="0" w:color="auto"/>
        <w:right w:val="none" w:sz="0" w:space="0" w:color="auto"/>
      </w:divBdr>
    </w:div>
    <w:div w:id="896890989">
      <w:bodyDiv w:val="1"/>
      <w:marLeft w:val="0"/>
      <w:marRight w:val="0"/>
      <w:marTop w:val="0"/>
      <w:marBottom w:val="0"/>
      <w:divBdr>
        <w:top w:val="none" w:sz="0" w:space="0" w:color="auto"/>
        <w:left w:val="none" w:sz="0" w:space="0" w:color="auto"/>
        <w:bottom w:val="none" w:sz="0" w:space="0" w:color="auto"/>
        <w:right w:val="none" w:sz="0" w:space="0" w:color="auto"/>
      </w:divBdr>
    </w:div>
    <w:div w:id="926693006">
      <w:bodyDiv w:val="1"/>
      <w:marLeft w:val="0"/>
      <w:marRight w:val="0"/>
      <w:marTop w:val="0"/>
      <w:marBottom w:val="0"/>
      <w:divBdr>
        <w:top w:val="none" w:sz="0" w:space="0" w:color="auto"/>
        <w:left w:val="none" w:sz="0" w:space="0" w:color="auto"/>
        <w:bottom w:val="none" w:sz="0" w:space="0" w:color="auto"/>
        <w:right w:val="none" w:sz="0" w:space="0" w:color="auto"/>
      </w:divBdr>
    </w:div>
    <w:div w:id="1347948943">
      <w:bodyDiv w:val="1"/>
      <w:marLeft w:val="0"/>
      <w:marRight w:val="0"/>
      <w:marTop w:val="0"/>
      <w:marBottom w:val="0"/>
      <w:divBdr>
        <w:top w:val="none" w:sz="0" w:space="0" w:color="auto"/>
        <w:left w:val="none" w:sz="0" w:space="0" w:color="auto"/>
        <w:bottom w:val="none" w:sz="0" w:space="0" w:color="auto"/>
        <w:right w:val="none" w:sz="0" w:space="0" w:color="auto"/>
      </w:divBdr>
    </w:div>
    <w:div w:id="1361122512">
      <w:bodyDiv w:val="1"/>
      <w:marLeft w:val="0"/>
      <w:marRight w:val="0"/>
      <w:marTop w:val="0"/>
      <w:marBottom w:val="0"/>
      <w:divBdr>
        <w:top w:val="none" w:sz="0" w:space="0" w:color="auto"/>
        <w:left w:val="none" w:sz="0" w:space="0" w:color="auto"/>
        <w:bottom w:val="none" w:sz="0" w:space="0" w:color="auto"/>
        <w:right w:val="none" w:sz="0" w:space="0" w:color="auto"/>
      </w:divBdr>
    </w:div>
    <w:div w:id="1399473122">
      <w:bodyDiv w:val="1"/>
      <w:marLeft w:val="0"/>
      <w:marRight w:val="0"/>
      <w:marTop w:val="0"/>
      <w:marBottom w:val="0"/>
      <w:divBdr>
        <w:top w:val="none" w:sz="0" w:space="0" w:color="auto"/>
        <w:left w:val="none" w:sz="0" w:space="0" w:color="auto"/>
        <w:bottom w:val="none" w:sz="0" w:space="0" w:color="auto"/>
        <w:right w:val="none" w:sz="0" w:space="0" w:color="auto"/>
      </w:divBdr>
      <w:divsChild>
        <w:div w:id="1983999165">
          <w:marLeft w:val="0"/>
          <w:marRight w:val="0"/>
          <w:marTop w:val="0"/>
          <w:marBottom w:val="0"/>
          <w:divBdr>
            <w:top w:val="none" w:sz="0" w:space="0" w:color="auto"/>
            <w:left w:val="none" w:sz="0" w:space="0" w:color="auto"/>
            <w:bottom w:val="none" w:sz="0" w:space="0" w:color="auto"/>
            <w:right w:val="none" w:sz="0" w:space="0" w:color="auto"/>
          </w:divBdr>
        </w:div>
        <w:div w:id="929968236">
          <w:marLeft w:val="0"/>
          <w:marRight w:val="0"/>
          <w:marTop w:val="0"/>
          <w:marBottom w:val="0"/>
          <w:divBdr>
            <w:top w:val="none" w:sz="0" w:space="0" w:color="auto"/>
            <w:left w:val="none" w:sz="0" w:space="0" w:color="auto"/>
            <w:bottom w:val="none" w:sz="0" w:space="0" w:color="auto"/>
            <w:right w:val="none" w:sz="0" w:space="0" w:color="auto"/>
          </w:divBdr>
        </w:div>
        <w:div w:id="848758261">
          <w:marLeft w:val="0"/>
          <w:marRight w:val="0"/>
          <w:marTop w:val="0"/>
          <w:marBottom w:val="0"/>
          <w:divBdr>
            <w:top w:val="none" w:sz="0" w:space="0" w:color="auto"/>
            <w:left w:val="none" w:sz="0" w:space="0" w:color="auto"/>
            <w:bottom w:val="none" w:sz="0" w:space="0" w:color="auto"/>
            <w:right w:val="none" w:sz="0" w:space="0" w:color="auto"/>
          </w:divBdr>
        </w:div>
        <w:div w:id="431513428">
          <w:marLeft w:val="0"/>
          <w:marRight w:val="0"/>
          <w:marTop w:val="0"/>
          <w:marBottom w:val="0"/>
          <w:divBdr>
            <w:top w:val="none" w:sz="0" w:space="0" w:color="auto"/>
            <w:left w:val="none" w:sz="0" w:space="0" w:color="auto"/>
            <w:bottom w:val="none" w:sz="0" w:space="0" w:color="auto"/>
            <w:right w:val="none" w:sz="0" w:space="0" w:color="auto"/>
          </w:divBdr>
        </w:div>
        <w:div w:id="1259873732">
          <w:marLeft w:val="0"/>
          <w:marRight w:val="0"/>
          <w:marTop w:val="0"/>
          <w:marBottom w:val="0"/>
          <w:divBdr>
            <w:top w:val="none" w:sz="0" w:space="0" w:color="auto"/>
            <w:left w:val="none" w:sz="0" w:space="0" w:color="auto"/>
            <w:bottom w:val="none" w:sz="0" w:space="0" w:color="auto"/>
            <w:right w:val="none" w:sz="0" w:space="0" w:color="auto"/>
          </w:divBdr>
        </w:div>
      </w:divsChild>
    </w:div>
    <w:div w:id="1402941731">
      <w:bodyDiv w:val="1"/>
      <w:marLeft w:val="0"/>
      <w:marRight w:val="0"/>
      <w:marTop w:val="0"/>
      <w:marBottom w:val="0"/>
      <w:divBdr>
        <w:top w:val="none" w:sz="0" w:space="0" w:color="auto"/>
        <w:left w:val="none" w:sz="0" w:space="0" w:color="auto"/>
        <w:bottom w:val="none" w:sz="0" w:space="0" w:color="auto"/>
        <w:right w:val="none" w:sz="0" w:space="0" w:color="auto"/>
      </w:divBdr>
    </w:div>
    <w:div w:id="1536389924">
      <w:bodyDiv w:val="1"/>
      <w:marLeft w:val="0"/>
      <w:marRight w:val="0"/>
      <w:marTop w:val="0"/>
      <w:marBottom w:val="0"/>
      <w:divBdr>
        <w:top w:val="none" w:sz="0" w:space="0" w:color="auto"/>
        <w:left w:val="none" w:sz="0" w:space="0" w:color="auto"/>
        <w:bottom w:val="none" w:sz="0" w:space="0" w:color="auto"/>
        <w:right w:val="none" w:sz="0" w:space="0" w:color="auto"/>
      </w:divBdr>
    </w:div>
    <w:div w:id="1596136952">
      <w:bodyDiv w:val="1"/>
      <w:marLeft w:val="0"/>
      <w:marRight w:val="0"/>
      <w:marTop w:val="0"/>
      <w:marBottom w:val="0"/>
      <w:divBdr>
        <w:top w:val="none" w:sz="0" w:space="0" w:color="auto"/>
        <w:left w:val="none" w:sz="0" w:space="0" w:color="auto"/>
        <w:bottom w:val="none" w:sz="0" w:space="0" w:color="auto"/>
        <w:right w:val="none" w:sz="0" w:space="0" w:color="auto"/>
      </w:divBdr>
    </w:div>
    <w:div w:id="1601600847">
      <w:bodyDiv w:val="1"/>
      <w:marLeft w:val="0"/>
      <w:marRight w:val="0"/>
      <w:marTop w:val="0"/>
      <w:marBottom w:val="0"/>
      <w:divBdr>
        <w:top w:val="none" w:sz="0" w:space="0" w:color="auto"/>
        <w:left w:val="none" w:sz="0" w:space="0" w:color="auto"/>
        <w:bottom w:val="none" w:sz="0" w:space="0" w:color="auto"/>
        <w:right w:val="none" w:sz="0" w:space="0" w:color="auto"/>
      </w:divBdr>
      <w:divsChild>
        <w:div w:id="18959210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0295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37968285">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642057">
          <w:blockQuote w:val="1"/>
          <w:marLeft w:val="720"/>
          <w:marRight w:val="720"/>
          <w:marTop w:val="100"/>
          <w:marBottom w:val="100"/>
          <w:divBdr>
            <w:top w:val="none" w:sz="0" w:space="0" w:color="auto"/>
            <w:left w:val="none" w:sz="0" w:space="0" w:color="auto"/>
            <w:bottom w:val="none" w:sz="0" w:space="0" w:color="auto"/>
            <w:right w:val="none" w:sz="0" w:space="0" w:color="auto"/>
          </w:divBdr>
        </w:div>
        <w:div w:id="94885861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1900061">
          <w:blockQuote w:val="1"/>
          <w:marLeft w:val="720"/>
          <w:marRight w:val="720"/>
          <w:marTop w:val="100"/>
          <w:marBottom w:val="100"/>
          <w:divBdr>
            <w:top w:val="none" w:sz="0" w:space="0" w:color="auto"/>
            <w:left w:val="none" w:sz="0" w:space="0" w:color="auto"/>
            <w:bottom w:val="none" w:sz="0" w:space="0" w:color="auto"/>
            <w:right w:val="none" w:sz="0" w:space="0" w:color="auto"/>
          </w:divBdr>
        </w:div>
        <w:div w:id="1391491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3844764">
      <w:bodyDiv w:val="1"/>
      <w:marLeft w:val="0"/>
      <w:marRight w:val="0"/>
      <w:marTop w:val="0"/>
      <w:marBottom w:val="0"/>
      <w:divBdr>
        <w:top w:val="none" w:sz="0" w:space="0" w:color="auto"/>
        <w:left w:val="none" w:sz="0" w:space="0" w:color="auto"/>
        <w:bottom w:val="none" w:sz="0" w:space="0" w:color="auto"/>
        <w:right w:val="none" w:sz="0" w:space="0" w:color="auto"/>
      </w:divBdr>
    </w:div>
    <w:div w:id="206617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1811</Words>
  <Characters>9903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Bárbara Sierra Nieves</cp:lastModifiedBy>
  <cp:revision>4</cp:revision>
  <cp:lastPrinted>2025-03-06T23:55:00Z</cp:lastPrinted>
  <dcterms:created xsi:type="dcterms:W3CDTF">2025-03-10T18:35:00Z</dcterms:created>
  <dcterms:modified xsi:type="dcterms:W3CDTF">2025-03-11T14:58:00Z</dcterms:modified>
</cp:coreProperties>
</file>