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D154A0" w:rsidRDefault="00A22D3B" w:rsidP="002B6C03">
      <w:pPr>
        <w:jc w:val="center"/>
        <w:rPr>
          <w:rFonts w:ascii="Book Antiqua" w:hAnsi="Book Antiqua"/>
          <w:bCs/>
          <w:sz w:val="28"/>
          <w:szCs w:val="28"/>
          <w:lang w:val="es-PR"/>
        </w:rPr>
      </w:pPr>
      <w:r w:rsidRPr="00D154A0">
        <w:rPr>
          <w:rFonts w:ascii="Book Antiqua" w:hAnsi="Book Antiqua"/>
          <w:bCs/>
          <w:sz w:val="28"/>
          <w:szCs w:val="28"/>
          <w:lang w:val="es-PR"/>
        </w:rPr>
        <w:t>GOBIERNO DE PUERTO RICO</w:t>
      </w:r>
    </w:p>
    <w:p w14:paraId="22705FC2" w14:textId="67E1CC06" w:rsidR="002B6C03" w:rsidRPr="002B6C03" w:rsidRDefault="002B6C03" w:rsidP="002B6C03">
      <w:pPr>
        <w:jc w:val="center"/>
        <w:rPr>
          <w:rFonts w:ascii="Book Antiqua" w:hAnsi="Book Antiqua"/>
          <w:bCs/>
          <w:lang w:val="es-PR"/>
        </w:rPr>
      </w:pPr>
    </w:p>
    <w:p w14:paraId="2F72E3E0" w14:textId="110C5868" w:rsidR="0086165E" w:rsidRDefault="002B6C03" w:rsidP="002B6C03">
      <w:pP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20ma.</w:t>
      </w:r>
      <w:r>
        <w:rPr>
          <w:rFonts w:ascii="Book Antiqua" w:eastAsia="Book Antiqua" w:hAnsi="Book Antiqua" w:cs="Book Antiqua"/>
          <w:color w:val="000000" w:themeColor="text1"/>
          <w:vertAlign w:val="superscript"/>
          <w:lang w:val="es-PR"/>
        </w:rPr>
        <w:t xml:space="preserve"> </w:t>
      </w:r>
      <w:r w:rsidR="0099207B">
        <w:rPr>
          <w:rFonts w:ascii="Book Antiqua" w:eastAsia="Book Antiqua" w:hAnsi="Book Antiqua" w:cs="Book Antiqua"/>
          <w:color w:val="000000" w:themeColor="text1"/>
          <w:lang w:val="es-PR"/>
        </w:rPr>
        <w:t>Asamblea</w:t>
      </w:r>
      <w:r w:rsidR="0099207B">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 xml:space="preserve">           1ra.</w:t>
      </w:r>
      <w:r>
        <w:rPr>
          <w:rFonts w:ascii="Book Antiqua" w:eastAsia="Book Antiqua" w:hAnsi="Book Antiqua" w:cs="Book Antiqua"/>
          <w:color w:val="000000" w:themeColor="text1"/>
          <w:vertAlign w:val="superscript"/>
          <w:lang w:val="es-PR"/>
        </w:rPr>
        <w:t xml:space="preserve"> </w:t>
      </w:r>
      <w:r w:rsidR="0099207B">
        <w:rPr>
          <w:rFonts w:ascii="Book Antiqua" w:eastAsia="Book Antiqua" w:hAnsi="Book Antiqua" w:cs="Book Antiqua"/>
          <w:color w:val="000000" w:themeColor="text1"/>
          <w:lang w:val="es-PR"/>
        </w:rPr>
        <w:t>Sesión</w:t>
      </w:r>
    </w:p>
    <w:p w14:paraId="2F72E3E2" w14:textId="7D0247B9" w:rsidR="0086165E" w:rsidRDefault="002B6C03" w:rsidP="002B6C03">
      <w:pP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r w:rsidR="0099207B">
        <w:rPr>
          <w:rFonts w:ascii="Book Antiqua" w:eastAsia="Book Antiqua" w:hAnsi="Book Antiqua" w:cs="Book Antiqua"/>
          <w:color w:val="000000" w:themeColor="text1"/>
          <w:lang w:val="es-PR"/>
        </w:rPr>
        <w:t>Legislativa</w:t>
      </w:r>
      <w:r w:rsidR="0099207B">
        <w:rPr>
          <w:rFonts w:ascii="Book Antiqua" w:eastAsia="Book Antiqua" w:hAnsi="Book Antiqua" w:cs="Book Antiqua"/>
          <w:color w:val="000000" w:themeColor="text1"/>
          <w:lang w:val="es-PR"/>
        </w:rPr>
        <w:tab/>
      </w:r>
      <w:r w:rsidR="0099207B">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 xml:space="preserve">      </w:t>
      </w:r>
      <w:r w:rsidR="0099207B">
        <w:rPr>
          <w:rFonts w:ascii="Book Antiqua" w:eastAsia="Book Antiqua" w:hAnsi="Book Antiqua" w:cs="Book Antiqua"/>
          <w:color w:val="000000" w:themeColor="text1"/>
          <w:lang w:val="es-PR"/>
        </w:rPr>
        <w:t>Ordinaria</w:t>
      </w:r>
    </w:p>
    <w:p w14:paraId="3A971F35" w14:textId="77777777" w:rsidR="002B6C03" w:rsidRPr="002B6C03" w:rsidRDefault="002B6C03" w:rsidP="002B6C03">
      <w:pPr>
        <w:jc w:val="center"/>
        <w:rPr>
          <w:rFonts w:ascii="Book Antiqua" w:hAnsi="Book Antiqua"/>
          <w:b/>
          <w:lang w:val="es-ES"/>
        </w:rPr>
      </w:pPr>
    </w:p>
    <w:p w14:paraId="4B1DE8F2" w14:textId="35B34CD4" w:rsidR="006C4E23" w:rsidRDefault="006C4E23" w:rsidP="002B6C0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39EBD02B" w14:textId="77777777" w:rsidR="002B6C03" w:rsidRPr="002B6C03" w:rsidRDefault="002B6C03" w:rsidP="002B6C03">
      <w:pPr>
        <w:jc w:val="center"/>
        <w:rPr>
          <w:rFonts w:ascii="Book Antiqua" w:eastAsia="Book Antiqua" w:hAnsi="Book Antiqua" w:cs="Book Antiqua"/>
          <w:b/>
          <w:color w:val="000000" w:themeColor="text1"/>
          <w:lang w:val="es-PR"/>
        </w:rPr>
      </w:pPr>
    </w:p>
    <w:p w14:paraId="2F72E3E4" w14:textId="529504F3" w:rsidR="0086165E" w:rsidRDefault="0099207B" w:rsidP="002B6C0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7E037D">
        <w:rPr>
          <w:rFonts w:ascii="Book Antiqua" w:eastAsia="Book Antiqua" w:hAnsi="Book Antiqua" w:cs="Book Antiqua"/>
          <w:b/>
          <w:color w:val="000000" w:themeColor="text1"/>
          <w:sz w:val="52"/>
          <w:szCs w:val="52"/>
          <w:lang w:val="es-PR"/>
        </w:rPr>
        <w:t>395</w:t>
      </w:r>
    </w:p>
    <w:p w14:paraId="3A1E1C19" w14:textId="77777777" w:rsidR="002B6C03" w:rsidRDefault="002B6C03" w:rsidP="002B6C03">
      <w:pPr>
        <w:jc w:val="center"/>
        <w:rPr>
          <w:rFonts w:ascii="Book Antiqua" w:eastAsia="Book Antiqua" w:hAnsi="Book Antiqua" w:cs="Book Antiqua"/>
          <w:color w:val="000000" w:themeColor="text1"/>
          <w:lang w:val="es-PR"/>
        </w:rPr>
      </w:pPr>
    </w:p>
    <w:p w14:paraId="6E03E3EB" w14:textId="4010F312" w:rsidR="006C4E23" w:rsidRDefault="00E937FE" w:rsidP="002B6C0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2B6C03">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2B6C03">
      <w:pPr>
        <w:jc w:val="center"/>
        <w:rPr>
          <w:rFonts w:ascii="Book Antiqua" w:eastAsia="Book Antiqua" w:hAnsi="Book Antiqua" w:cs="Book Antiqua"/>
          <w:color w:val="000000" w:themeColor="text1"/>
          <w:lang w:val="es-PR"/>
        </w:rPr>
      </w:pPr>
    </w:p>
    <w:p w14:paraId="7D8F4762" w14:textId="77777777" w:rsidR="00D154A0" w:rsidRPr="00D154A0" w:rsidRDefault="00D154A0" w:rsidP="00D154A0">
      <w:pPr>
        <w:ind w:left="810" w:hanging="810"/>
        <w:jc w:val="both"/>
        <w:rPr>
          <w:rFonts w:ascii="Book Antiqua" w:eastAsia="Book Antiqua" w:hAnsi="Book Antiqua" w:cs="Book Antiqua"/>
          <w:i/>
          <w:iCs/>
          <w:color w:val="000000" w:themeColor="text1"/>
          <w:lang w:val="es-ES"/>
        </w:rPr>
      </w:pPr>
      <w:bookmarkStart w:id="0" w:name="_heading=h.gjdgxs" w:colFirst="0" w:colLast="0"/>
      <w:bookmarkStart w:id="1" w:name="_Hlk192583991"/>
      <w:bookmarkEnd w:id="0"/>
      <w:r w:rsidRPr="00D154A0">
        <w:rPr>
          <w:rFonts w:ascii="Book Antiqua" w:eastAsia="Book Antiqua" w:hAnsi="Book Antiqua" w:cs="Book Antiqua"/>
          <w:color w:val="000000" w:themeColor="text1"/>
          <w:lang w:val="es-PR"/>
        </w:rPr>
        <w:t xml:space="preserve">Presentado por </w:t>
      </w:r>
      <w:r w:rsidRPr="00D154A0">
        <w:rPr>
          <w:rFonts w:ascii="Book Antiqua" w:eastAsia="Book Antiqua" w:hAnsi="Book Antiqua" w:cs="Book Antiqua"/>
          <w:color w:val="000000" w:themeColor="text1"/>
          <w:lang w:val="es-ES"/>
        </w:rPr>
        <w:t xml:space="preserve">los representantes </w:t>
      </w:r>
      <w:r w:rsidRPr="00D154A0">
        <w:rPr>
          <w:rFonts w:ascii="Book Antiqua" w:eastAsia="Book Antiqua" w:hAnsi="Book Antiqua" w:cs="Book Antiqua"/>
          <w:i/>
          <w:iCs/>
          <w:color w:val="000000" w:themeColor="text1"/>
          <w:lang w:val="es-ES"/>
        </w:rPr>
        <w:t xml:space="preserve">Peña Ramírez </w:t>
      </w:r>
      <w:r w:rsidRPr="00D154A0">
        <w:rPr>
          <w:rFonts w:ascii="Book Antiqua" w:eastAsia="Book Antiqua" w:hAnsi="Book Antiqua" w:cs="Book Antiqua"/>
          <w:color w:val="000000" w:themeColor="text1"/>
          <w:lang w:val="es-ES"/>
        </w:rPr>
        <w:t xml:space="preserve">y </w:t>
      </w:r>
      <w:r w:rsidRPr="00D154A0">
        <w:rPr>
          <w:rFonts w:ascii="Book Antiqua" w:eastAsia="Book Antiqua" w:hAnsi="Book Antiqua" w:cs="Book Antiqua"/>
          <w:i/>
          <w:iCs/>
          <w:color w:val="000000" w:themeColor="text1"/>
          <w:lang w:val="es-PR"/>
        </w:rPr>
        <w:t xml:space="preserve">Méndez Núñez;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Lebrón Rodríguez;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Torres Zamora, Román López, Aponte Hernández, Carlo Acosta, Charbonier Chinea, Colón Rodríguez;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del Valle Correa;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Estévez Vélez, </w:t>
      </w:r>
      <w:proofErr w:type="spellStart"/>
      <w:r w:rsidRPr="00D154A0">
        <w:rPr>
          <w:rFonts w:ascii="Book Antiqua" w:eastAsia="Book Antiqua" w:hAnsi="Book Antiqua" w:cs="Book Antiqua"/>
          <w:i/>
          <w:iCs/>
          <w:color w:val="000000" w:themeColor="text1"/>
          <w:lang w:val="es-ES"/>
        </w:rPr>
        <w:t>Franqui</w:t>
      </w:r>
      <w:proofErr w:type="spellEnd"/>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Atiles</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González Aguayo, González </w:t>
      </w:r>
      <w:proofErr w:type="spellStart"/>
      <w:r w:rsidRPr="00D154A0">
        <w:rPr>
          <w:rFonts w:ascii="Book Antiqua" w:eastAsia="Book Antiqua" w:hAnsi="Book Antiqua" w:cs="Book Antiqua"/>
          <w:i/>
          <w:iCs/>
          <w:color w:val="000000" w:themeColor="text1"/>
          <w:lang w:val="es-ES"/>
        </w:rPr>
        <w:t>González</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Hernández Concepción, Jiménez Torres;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Martínez Vázquez, Medina Calderón;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Morey</w:t>
      </w:r>
      <w:proofErr w:type="spellEnd"/>
      <w:r w:rsidRPr="00D154A0">
        <w:rPr>
          <w:rFonts w:ascii="Book Antiqua" w:eastAsia="Book Antiqua" w:hAnsi="Book Antiqua" w:cs="Book Antiqua"/>
          <w:i/>
          <w:iCs/>
          <w:color w:val="000000" w:themeColor="text1"/>
          <w:lang w:val="es-ES"/>
        </w:rPr>
        <w:t xml:space="preserve"> Noble, Muriel Sánchez, Navarro Suárez, Nieves, Rosario, Ocasio Ramos, Pacheco Burgos, Parés Otero;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Peña Dávila;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Pérez Cordero, Pérez Ortiz;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Pérez Ramírez, Ramos Rivera;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Robles Rivera, Rodríguez Aguiló, Rodríguez Torres, Roque Gracia, Sanabria Colón y Santiago Guzmán</w:t>
      </w:r>
    </w:p>
    <w:bookmarkEnd w:id="1"/>
    <w:p w14:paraId="619A291A" w14:textId="77777777" w:rsidR="006C4E23" w:rsidRPr="006C4E23" w:rsidRDefault="006C4E23" w:rsidP="002B6C03">
      <w:pPr>
        <w:ind w:left="810" w:hanging="810"/>
        <w:jc w:val="both"/>
        <w:rPr>
          <w:rFonts w:ascii="Book Antiqua" w:eastAsia="Aptos" w:hAnsi="Book Antiqua"/>
          <w:i/>
          <w:iCs/>
          <w:kern w:val="2"/>
          <w:lang w:val="es-ES"/>
          <w14:ligatures w14:val="standardContextual"/>
        </w:rPr>
      </w:pPr>
    </w:p>
    <w:p w14:paraId="2F72E3E9" w14:textId="1246B738" w:rsidR="0086165E" w:rsidRPr="002B6C03" w:rsidRDefault="002B6C03" w:rsidP="002B6C03">
      <w:pPr>
        <w:ind w:left="720" w:hanging="630"/>
        <w:jc w:val="center"/>
        <w:rPr>
          <w:rFonts w:ascii="Book Antiqua" w:eastAsia="Book Antiqua" w:hAnsi="Book Antiqua" w:cs="Book Antiqua"/>
          <w:iCs/>
          <w:color w:val="000000" w:themeColor="text1"/>
          <w:lang w:val="es-PR"/>
        </w:rPr>
      </w:pPr>
      <w:r>
        <w:rPr>
          <w:rFonts w:ascii="Book Antiqua" w:eastAsia="Book Antiqua" w:hAnsi="Book Antiqua" w:cs="Book Antiqua"/>
          <w:iCs/>
          <w:color w:val="000000" w:themeColor="text1"/>
          <w:lang w:val="es-PR"/>
        </w:rPr>
        <w:t xml:space="preserve">Referido a la Comisión de </w:t>
      </w:r>
      <w:r w:rsidR="0045666E">
        <w:rPr>
          <w:rFonts w:ascii="Book Antiqua" w:eastAsia="Book Antiqua" w:hAnsi="Book Antiqua" w:cs="Book Antiqua"/>
          <w:iCs/>
          <w:color w:val="000000" w:themeColor="text1"/>
          <w:lang w:val="es-PR"/>
        </w:rPr>
        <w:t>Adultos Mayores y Bienestar Social</w:t>
      </w:r>
    </w:p>
    <w:p w14:paraId="6D8A4821" w14:textId="77777777" w:rsidR="00A22D3B" w:rsidRPr="002B6C03" w:rsidRDefault="00A22D3B" w:rsidP="002B6C03">
      <w:pPr>
        <w:jc w:val="center"/>
        <w:rPr>
          <w:rFonts w:ascii="Book Antiqua" w:eastAsia="Book Antiqua" w:hAnsi="Book Antiqua" w:cs="Book Antiqua"/>
          <w:iCs/>
          <w:color w:val="000000" w:themeColor="text1"/>
          <w:lang w:val="es-PR"/>
        </w:rPr>
      </w:pPr>
    </w:p>
    <w:p w14:paraId="2F72E3EA" w14:textId="77777777" w:rsidR="0086165E" w:rsidRDefault="0099207B" w:rsidP="002B6C0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2B6C03">
      <w:pPr>
        <w:jc w:val="both"/>
        <w:rPr>
          <w:rFonts w:ascii="Book Antiqua" w:eastAsia="Book Antiqua" w:hAnsi="Book Antiqua" w:cs="Book Antiqua"/>
          <w:color w:val="000000" w:themeColor="text1"/>
          <w:lang w:val="es-PR"/>
        </w:rPr>
      </w:pPr>
    </w:p>
    <w:p w14:paraId="07F6FAEE" w14:textId="3DE92832" w:rsidR="00A22D3B" w:rsidRDefault="0099207B" w:rsidP="002B6C03">
      <w:pPr>
        <w:ind w:left="720" w:hanging="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9276B3" w:rsidRPr="00525F1B">
        <w:rPr>
          <w:rFonts w:ascii="Book Antiqua" w:eastAsia="Book Antiqua" w:hAnsi="Book Antiqua" w:cs="Book Antiqua"/>
          <w:color w:val="000000" w:themeColor="text1"/>
          <w:lang w:val="es-PR"/>
        </w:rPr>
        <w:t>crear un nuevo Artículo 10, y reenumerar los Artículos 10, 11, y 12 del Plan de Reorganización del Departamento de la Familia, Plan de Reorganización Número 1 de 28 de julio de 1995, según enmendado, como los Artículos 11, 12, y 13 respectivamente, con el propósito de transformar la estructura interna de la Administración para el Cuidado y Desarrollo Integral de la Niñez, a los fines de  eliminar la fragmentación administrativa, maximizar la eficiencia en la asignación de recursos y agilizar la respuesta a las necesidades de nuestros niños; y para otros fines relacionados.</w:t>
      </w:r>
    </w:p>
    <w:p w14:paraId="6861B91C" w14:textId="77777777" w:rsidR="002B6C03" w:rsidRDefault="002B6C03" w:rsidP="002B6C03">
      <w:pPr>
        <w:ind w:left="720" w:hanging="720"/>
        <w:jc w:val="both"/>
        <w:rPr>
          <w:rFonts w:ascii="Book Antiqua" w:eastAsia="Book Antiqua" w:hAnsi="Book Antiqua" w:cs="Book Antiqua"/>
          <w:color w:val="000000" w:themeColor="text1"/>
          <w:lang w:val="es-PR"/>
        </w:rPr>
      </w:pPr>
    </w:p>
    <w:p w14:paraId="27D49318" w14:textId="29052DD7" w:rsidR="00A22D3B" w:rsidRDefault="00A22D3B" w:rsidP="002B6C03">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A22D3B">
      <w:pPr>
        <w:jc w:val="center"/>
        <w:rPr>
          <w:rFonts w:ascii="Book Antiqua" w:hAnsi="Book Antiqua"/>
          <w:bCs/>
          <w:lang w:val="es-PR"/>
        </w:rPr>
      </w:pPr>
    </w:p>
    <w:p w14:paraId="1030EC29" w14:textId="77777777"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 xml:space="preserve">Garantizar el bienestar, la seguridad y el desarrollo integral de la niñez no solo constituye un deber ineludible del Estado, sino también un pilar fundamental para fortalecer el tejido social y promover un desarrollo sostenible en la sociedad. Consciente de esta responsabilidad, el Gobierno de Puerto Rico ha desarrollado múltiples programas </w:t>
      </w:r>
      <w:r w:rsidRPr="00525F1B">
        <w:rPr>
          <w:rFonts w:ascii="Book Antiqua" w:eastAsia="Book Antiqua" w:hAnsi="Book Antiqua" w:cs="Book Antiqua"/>
          <w:color w:val="000000" w:themeColor="text1"/>
          <w:lang w:val="es-PR"/>
        </w:rPr>
        <w:lastRenderedPageBreak/>
        <w:t>e iniciativas dirigidos a atender las necesidades de nuestros niños y sus familias. No obstante, la dispersión de estos esfuerzos entre diversas entidades ha generado falta de uniformidad en la prestación de servicios y barreras burocráticas que limitan el acceso eficiente y oportuno a recursos esenciales.</w:t>
      </w:r>
    </w:p>
    <w:p w14:paraId="2F0EB7B8" w14:textId="77777777" w:rsidR="009276B3" w:rsidRDefault="009276B3" w:rsidP="002B6C03">
      <w:pPr>
        <w:ind w:firstLine="720"/>
        <w:jc w:val="both"/>
        <w:rPr>
          <w:rFonts w:ascii="Book Antiqua" w:eastAsia="Book Antiqua" w:hAnsi="Book Antiqua" w:cs="Book Antiqua"/>
          <w:color w:val="000000" w:themeColor="text1"/>
          <w:lang w:val="es-PR"/>
        </w:rPr>
      </w:pPr>
    </w:p>
    <w:p w14:paraId="3FE0ACB9" w14:textId="78FD78C3"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Ante esta realidad, se hace imprescindible adoptar un enfoque integral y estructurado que optimice la gestión del Gobierno de Puerto Rico y garantice una atención efectiva y eficiente a la niñez puertorriqueña. En respuesta a esta necesidad, se propone la transformación de la Administración para el Cuidado y Desarrollo Integral de la Niñez (“ACUDEN”), con el objetivo de modernizar su estructura operativa, consolidar la supervisión de los programas dirigidos a la infancia y eliminar la fragmentación administrativa. Esta reingeniería permitirá maximizar la eficiencia en la asignación de recursos, agilizar la respuesta a las necesidades de los niños y sus familias y asegurar la prestación de servicios con los más altos estándares de calidad, seguridad y accesibilidad, en cumplimiento con las leyes estatales y federales aplicables.</w:t>
      </w:r>
    </w:p>
    <w:p w14:paraId="31A96E61" w14:textId="77777777" w:rsidR="009276B3" w:rsidRDefault="009276B3" w:rsidP="002B6C03">
      <w:pPr>
        <w:ind w:firstLine="720"/>
        <w:jc w:val="both"/>
        <w:rPr>
          <w:rFonts w:ascii="Book Antiqua" w:eastAsia="Book Antiqua" w:hAnsi="Book Antiqua" w:cs="Book Antiqua"/>
          <w:color w:val="000000" w:themeColor="text1"/>
          <w:lang w:val="es-PR"/>
        </w:rPr>
      </w:pPr>
    </w:p>
    <w:p w14:paraId="294F0828" w14:textId="1736F032"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Asimismo, esta iniciativa facilitará una planificación estratégica más eficaz, promoviendo la innovación en la gestión de programas y asegurando una integración armónica con los esfuerzos del Gobierno de Puerto Rico para el bienestar de la niñez. Con ello, no solo se optimiza el funcionamiento de ACUDEN, sino que se consolidan las bases para un modelo de atención más equitativo, sostenible y centrado en el desarrollo integral de la infancia.</w:t>
      </w:r>
    </w:p>
    <w:p w14:paraId="476F01F1" w14:textId="77777777" w:rsidR="009276B3" w:rsidRDefault="009276B3" w:rsidP="002B6C03">
      <w:pPr>
        <w:ind w:firstLine="720"/>
        <w:jc w:val="both"/>
        <w:rPr>
          <w:rFonts w:ascii="Book Antiqua" w:eastAsia="Book Antiqua" w:hAnsi="Book Antiqua" w:cs="Book Antiqua"/>
          <w:color w:val="000000" w:themeColor="text1"/>
          <w:lang w:val="es-PR"/>
        </w:rPr>
      </w:pPr>
    </w:p>
    <w:p w14:paraId="57F89CEE" w14:textId="36DD89C4"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 xml:space="preserve">Por todo lo anterior, la aprobación de esta </w:t>
      </w:r>
      <w:r w:rsidR="00541592">
        <w:rPr>
          <w:rFonts w:ascii="Book Antiqua" w:eastAsia="Book Antiqua" w:hAnsi="Book Antiqua" w:cs="Book Antiqua"/>
          <w:color w:val="000000" w:themeColor="text1"/>
          <w:lang w:val="es-PR"/>
        </w:rPr>
        <w:t>Ley</w:t>
      </w:r>
      <w:r w:rsidRPr="00525F1B">
        <w:rPr>
          <w:rFonts w:ascii="Book Antiqua" w:eastAsia="Book Antiqua" w:hAnsi="Book Antiqua" w:cs="Book Antiqua"/>
          <w:color w:val="000000" w:themeColor="text1"/>
          <w:lang w:val="es-PR"/>
        </w:rPr>
        <w:t xml:space="preserve"> es esencial para fortalecer la infraestructura institucional encargada del bienestar infantil y familiar en Puerto Rico. A través de esta transformación, el Gobierno reafirma su compromiso con la niñez y sienta las bases para un futuro más justo, inclusivo y prometedor para las nuevas generaciones.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1DA62DBA" w14:textId="784A1995" w:rsidR="009276B3" w:rsidRPr="00525F1B" w:rsidRDefault="009276B3" w:rsidP="009276B3">
      <w:pPr>
        <w:pStyle w:val="BodyText"/>
        <w:spacing w:line="480" w:lineRule="auto"/>
        <w:ind w:firstLine="720"/>
        <w:rPr>
          <w:rFonts w:ascii="Book Antiqua" w:hAnsi="Book Antiqua"/>
          <w:color w:val="000000" w:themeColor="text1"/>
        </w:rPr>
      </w:pPr>
      <w:bookmarkStart w:id="2" w:name="{20F4}"/>
      <w:bookmarkStart w:id="3" w:name="{20D8}"/>
      <w:bookmarkStart w:id="4" w:name="_Hlk189832381"/>
      <w:bookmarkEnd w:id="2"/>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1.</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crea un nuevo Artículo 10 del Plan de Reorganización del Departamento de la Familia, Plan de Reorganización Núm. 1 de 28 de julio de 1995, según enmendado, el cual se leerá como sigue: </w:t>
      </w:r>
    </w:p>
    <w:p w14:paraId="0B350A9F" w14:textId="77777777" w:rsidR="009276B3" w:rsidRPr="00525F1B" w:rsidRDefault="009276B3" w:rsidP="009276B3">
      <w:pPr>
        <w:pStyle w:val="BodyText"/>
        <w:spacing w:line="480" w:lineRule="auto"/>
        <w:ind w:left="720" w:firstLine="720"/>
        <w:rPr>
          <w:rFonts w:ascii="Book Antiqua" w:hAnsi="Book Antiqua"/>
          <w:i/>
          <w:iCs/>
          <w:color w:val="000000" w:themeColor="text1"/>
        </w:rPr>
      </w:pPr>
      <w:r w:rsidRPr="00525F1B">
        <w:rPr>
          <w:rFonts w:ascii="Book Antiqua" w:hAnsi="Book Antiqua"/>
          <w:color w:val="000000" w:themeColor="text1"/>
        </w:rPr>
        <w:t>“</w:t>
      </w:r>
      <w:r w:rsidRPr="00525F1B">
        <w:rPr>
          <w:rFonts w:ascii="Book Antiqua" w:hAnsi="Book Antiqua"/>
          <w:i/>
          <w:iCs/>
          <w:color w:val="000000" w:themeColor="text1"/>
        </w:rPr>
        <w:t>Artículo 10.</w:t>
      </w:r>
      <w:r w:rsidRPr="00525F1B">
        <w:rPr>
          <w:rFonts w:ascii="Book Antiqua" w:eastAsiaTheme="minorHAnsi" w:hAnsi="Book Antiqua" w:cs="Times"/>
          <w:bCs/>
          <w:color w:val="000000" w:themeColor="text1"/>
        </w:rPr>
        <w:t xml:space="preserve"> —</w:t>
      </w:r>
      <w:r w:rsidRPr="00525F1B">
        <w:rPr>
          <w:rFonts w:ascii="Book Antiqua" w:hAnsi="Book Antiqua"/>
          <w:i/>
          <w:iCs/>
          <w:color w:val="000000" w:themeColor="text1"/>
        </w:rPr>
        <w:t xml:space="preserve">Sistema Integrado para el Desarrollo de la Niñez Temprana. </w:t>
      </w:r>
    </w:p>
    <w:p w14:paraId="0CE52545" w14:textId="77777777" w:rsidR="009276B3" w:rsidRPr="00525F1B" w:rsidRDefault="009276B3" w:rsidP="009276B3">
      <w:pPr>
        <w:pStyle w:val="BodyText"/>
        <w:spacing w:line="480" w:lineRule="auto"/>
        <w:ind w:left="720"/>
        <w:rPr>
          <w:rFonts w:ascii="Book Antiqua" w:hAnsi="Book Antiqua"/>
          <w:i/>
          <w:iCs/>
          <w:color w:val="000000" w:themeColor="text1"/>
        </w:rPr>
      </w:pPr>
      <w:r w:rsidRPr="00525F1B">
        <w:rPr>
          <w:rFonts w:ascii="Book Antiqua" w:hAnsi="Book Antiqua"/>
          <w:i/>
          <w:iCs/>
          <w:color w:val="000000" w:themeColor="text1"/>
        </w:rPr>
        <w:t xml:space="preserve">Con el propósito de establecer una estructura operativa interna que consolide y centralice la coordinación y supervisión de los servicios que provee la Administración para el Cuidado </w:t>
      </w:r>
      <w:r w:rsidRPr="00525F1B">
        <w:rPr>
          <w:rFonts w:ascii="Book Antiqua" w:hAnsi="Book Antiqua"/>
          <w:i/>
          <w:iCs/>
          <w:color w:val="000000" w:themeColor="text1"/>
        </w:rPr>
        <w:lastRenderedPageBreak/>
        <w:t>y Desarrollo Integral de la Niñez, así como otras agencias del Gobierno de Puerto Rico que provean servicios a fines, se crean las siguientes unidades administrativas internas:</w:t>
      </w:r>
    </w:p>
    <w:p w14:paraId="4DD381B0"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(1) Administración Auxiliar para el Desarrollo de la Niñez.</w:t>
      </w:r>
    </w:p>
    <w:p w14:paraId="46230A90"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Esta unidad será responsable de coordinar y supervisar los programas enfocados en el cuidado y desarrollo infantil. Su objetivo principal será fortalecer la calidad de los servicios dirigidos a la primera infancia y garantizar la implementación de programas alineados con las mejores prácticas en educación y desarrollo temprano. Como parte de sus funciones, coordinará y supervisará los siguientes programas:</w:t>
      </w:r>
    </w:p>
    <w:p w14:paraId="4959170B" w14:textId="77777777" w:rsidR="009276B3" w:rsidRPr="00525F1B" w:rsidRDefault="009276B3" w:rsidP="009276B3">
      <w:pPr>
        <w:pStyle w:val="BodyText"/>
        <w:spacing w:line="480" w:lineRule="auto"/>
        <w:ind w:left="1800"/>
        <w:rPr>
          <w:rFonts w:ascii="Book Antiqua" w:hAnsi="Book Antiqua"/>
          <w:i/>
          <w:iCs/>
          <w:color w:val="000000" w:themeColor="text1"/>
          <w:lang w:val="en-US"/>
        </w:rPr>
      </w:pPr>
      <w:r w:rsidRPr="00525F1B">
        <w:rPr>
          <w:rFonts w:ascii="Book Antiqua" w:hAnsi="Book Antiqua"/>
          <w:i/>
          <w:iCs/>
          <w:color w:val="000000" w:themeColor="text1"/>
          <w:lang w:val="en-US"/>
        </w:rPr>
        <w:t xml:space="preserve">(a) </w:t>
      </w:r>
      <w:proofErr w:type="spellStart"/>
      <w:r w:rsidRPr="00525F1B">
        <w:rPr>
          <w:rFonts w:ascii="Book Antiqua" w:hAnsi="Book Antiqua"/>
          <w:i/>
          <w:iCs/>
          <w:color w:val="000000" w:themeColor="text1"/>
          <w:lang w:val="en-US"/>
        </w:rPr>
        <w:t>el</w:t>
      </w:r>
      <w:proofErr w:type="spellEnd"/>
      <w:r w:rsidRPr="00525F1B">
        <w:rPr>
          <w:rFonts w:ascii="Book Antiqua" w:hAnsi="Book Antiqua"/>
          <w:i/>
          <w:iCs/>
          <w:color w:val="000000" w:themeColor="text1"/>
          <w:lang w:val="en-US"/>
        </w:rPr>
        <w:t xml:space="preserve"> </w:t>
      </w:r>
      <w:proofErr w:type="spellStart"/>
      <w:r w:rsidRPr="00525F1B">
        <w:rPr>
          <w:rFonts w:ascii="Book Antiqua" w:hAnsi="Book Antiqua"/>
          <w:i/>
          <w:iCs/>
          <w:color w:val="000000" w:themeColor="text1"/>
          <w:lang w:val="en-US"/>
        </w:rPr>
        <w:t>Programa</w:t>
      </w:r>
      <w:proofErr w:type="spellEnd"/>
      <w:r w:rsidRPr="00525F1B">
        <w:rPr>
          <w:rFonts w:ascii="Book Antiqua" w:hAnsi="Book Antiqua"/>
          <w:i/>
          <w:iCs/>
          <w:color w:val="000000" w:themeColor="text1"/>
          <w:lang w:val="en-US"/>
        </w:rPr>
        <w:t xml:space="preserve"> Child </w:t>
      </w:r>
      <w:proofErr w:type="gramStart"/>
      <w:r w:rsidRPr="00525F1B">
        <w:rPr>
          <w:rFonts w:ascii="Book Antiqua" w:hAnsi="Book Antiqua"/>
          <w:i/>
          <w:iCs/>
          <w:color w:val="000000" w:themeColor="text1"/>
          <w:lang w:val="en-US"/>
        </w:rPr>
        <w:t>Care;</w:t>
      </w:r>
      <w:proofErr w:type="gramEnd"/>
    </w:p>
    <w:p w14:paraId="79D5EDF0" w14:textId="77777777" w:rsidR="009276B3" w:rsidRPr="00525F1B" w:rsidRDefault="009276B3" w:rsidP="009276B3">
      <w:pPr>
        <w:pStyle w:val="BodyText"/>
        <w:spacing w:line="480" w:lineRule="auto"/>
        <w:ind w:left="1800"/>
        <w:rPr>
          <w:rFonts w:ascii="Book Antiqua" w:hAnsi="Book Antiqua"/>
          <w:i/>
          <w:iCs/>
          <w:color w:val="000000" w:themeColor="text1"/>
          <w:lang w:val="en-US"/>
        </w:rPr>
      </w:pPr>
      <w:r w:rsidRPr="00525F1B">
        <w:rPr>
          <w:rFonts w:ascii="Book Antiqua" w:hAnsi="Book Antiqua"/>
          <w:i/>
          <w:iCs/>
          <w:color w:val="000000" w:themeColor="text1"/>
          <w:lang w:val="en-US"/>
        </w:rPr>
        <w:t xml:space="preserve">(b) </w:t>
      </w:r>
      <w:proofErr w:type="spellStart"/>
      <w:r w:rsidRPr="00525F1B">
        <w:rPr>
          <w:rFonts w:ascii="Book Antiqua" w:hAnsi="Book Antiqua"/>
          <w:i/>
          <w:iCs/>
          <w:color w:val="000000" w:themeColor="text1"/>
          <w:lang w:val="en-US"/>
        </w:rPr>
        <w:t>los</w:t>
      </w:r>
      <w:proofErr w:type="spellEnd"/>
      <w:r w:rsidRPr="00525F1B">
        <w:rPr>
          <w:rFonts w:ascii="Book Antiqua" w:hAnsi="Book Antiqua"/>
          <w:i/>
          <w:iCs/>
          <w:color w:val="000000" w:themeColor="text1"/>
          <w:lang w:val="en-US"/>
        </w:rPr>
        <w:t xml:space="preserve"> </w:t>
      </w:r>
      <w:proofErr w:type="spellStart"/>
      <w:r w:rsidRPr="00525F1B">
        <w:rPr>
          <w:rFonts w:ascii="Book Antiqua" w:hAnsi="Book Antiqua"/>
          <w:i/>
          <w:iCs/>
          <w:color w:val="000000" w:themeColor="text1"/>
          <w:lang w:val="en-US"/>
        </w:rPr>
        <w:t>Programas</w:t>
      </w:r>
      <w:proofErr w:type="spellEnd"/>
      <w:r w:rsidRPr="00525F1B">
        <w:rPr>
          <w:rFonts w:ascii="Book Antiqua" w:hAnsi="Book Antiqua"/>
          <w:i/>
          <w:iCs/>
          <w:color w:val="000000" w:themeColor="text1"/>
          <w:lang w:val="en-US"/>
        </w:rPr>
        <w:t xml:space="preserve"> Head Start </w:t>
      </w:r>
      <w:proofErr w:type="gramStart"/>
      <w:r w:rsidRPr="00525F1B">
        <w:rPr>
          <w:rFonts w:ascii="Book Antiqua" w:hAnsi="Book Antiqua"/>
          <w:i/>
          <w:iCs/>
          <w:color w:val="000000" w:themeColor="text1"/>
          <w:lang w:val="en-US"/>
        </w:rPr>
        <w:t>y</w:t>
      </w:r>
      <w:proofErr w:type="gramEnd"/>
      <w:r w:rsidRPr="00525F1B">
        <w:rPr>
          <w:rFonts w:ascii="Book Antiqua" w:hAnsi="Book Antiqua"/>
          <w:i/>
          <w:iCs/>
          <w:color w:val="000000" w:themeColor="text1"/>
          <w:lang w:val="en-US"/>
        </w:rPr>
        <w:t xml:space="preserve"> Early Head Start;</w:t>
      </w:r>
    </w:p>
    <w:p w14:paraId="1F161470"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(c) el Sistema Preescolar de las Escuelas del Departamento de Educación; y</w:t>
      </w:r>
    </w:p>
    <w:p w14:paraId="2D1AD718"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(d) el Programa de Asistencia Técnica a los Proveedores de Servicios a la Niñez.</w:t>
      </w:r>
    </w:p>
    <w:p w14:paraId="79BA755A"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(2) Administración Auxiliar para el Bienestar de la Niñez y las Familias.</w:t>
      </w:r>
    </w:p>
    <w:p w14:paraId="01350266"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Esta unidad será responsable de coordinar y supervisar los programas dirigidos al bienestar de la niñez y las familias, garantizando una gestión eficiente y efectiva en la prestación de servicios. Su enfoque principal será la integración de esfuerzos para optimizar los recursos, fortalecer la calidad de los programas y agilizar la respuesta a las necesidades de la población infantil y sus familias.</w:t>
      </w:r>
    </w:p>
    <w:p w14:paraId="69A9AA8A"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(3) Administración Auxiliar para el Apoyo a las Familias y la Comunidad.</w:t>
      </w:r>
    </w:p>
    <w:p w14:paraId="2D0065C6"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 xml:space="preserve"> Esta unidad tendrá la responsabilidad de coordinar y supervisar los programas enfocados en educar al consumidor, coordinar orientaciones y recursos, y coordinar esfuerzos para garantizar el acceso equitativo a servicios esenciales, incluyendo:</w:t>
      </w:r>
    </w:p>
    <w:p w14:paraId="034D229E"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lastRenderedPageBreak/>
        <w:t>(a) la Oficina de Familia y Comunidad;</w:t>
      </w:r>
    </w:p>
    <w:p w14:paraId="4135B807"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(b) el Programa de Centros 2Gen;</w:t>
      </w:r>
    </w:p>
    <w:p w14:paraId="44E1B9F7"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(c) la Oficina de Colaboración Estatal de Head </w:t>
      </w:r>
      <w:proofErr w:type="spellStart"/>
      <w:r w:rsidRPr="00525F1B">
        <w:rPr>
          <w:rFonts w:ascii="Book Antiqua" w:hAnsi="Book Antiqua"/>
          <w:i/>
          <w:iCs/>
          <w:color w:val="000000" w:themeColor="text1"/>
        </w:rPr>
        <w:t>Start</w:t>
      </w:r>
      <w:proofErr w:type="spellEnd"/>
      <w:r w:rsidRPr="00525F1B">
        <w:rPr>
          <w:rFonts w:ascii="Book Antiqua" w:hAnsi="Book Antiqua"/>
          <w:i/>
          <w:iCs/>
          <w:color w:val="000000" w:themeColor="text1"/>
        </w:rPr>
        <w:t>; y</w:t>
      </w:r>
    </w:p>
    <w:p w14:paraId="22A805E9"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(d) la Oficina del Consejo Multisectorial de la Niñez.</w:t>
      </w:r>
    </w:p>
    <w:p w14:paraId="22F77292"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 xml:space="preserve">(4) Administración Auxiliar de Licenciamiento y Seguridad. </w:t>
      </w:r>
    </w:p>
    <w:p w14:paraId="09F303FD"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Esta unidad tendrá la responsabilidad de coordinar, supervisar y garantizar el cumplimiento de las leyes, reglamentos y disposiciones estatales y federales aplicables a los establecimientos de cuidado infantil, asegurando condiciones óptimas de seguridad, bienestar y desarrollo para los menores.</w:t>
      </w:r>
    </w:p>
    <w:p w14:paraId="4AECB62F"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 xml:space="preserve">Además, brindará apoyo y asistencia técnica a los operadores y empresarios del sector, promoviendo el fortalecimiento de la calidad en la prestación de servicios. Para garantizar una coordinación efectiva, podrá requerir información a cualquier agencia, entidad gubernamental o municipio sobre programas en funcionamiento, disponibles o financiados con fondos públicos o federales, que beneficien a la niñez temprana, sus padres o su núcleo familiar. A tenor, esta unidad incluirá: </w:t>
      </w:r>
    </w:p>
    <w:p w14:paraId="76160888"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(a) la Oficina de Licenciamiento, Salud y Seguridad; </w:t>
      </w:r>
    </w:p>
    <w:p w14:paraId="465232FB"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(b) la Oficina para la Preparación de Emergencias; y </w:t>
      </w:r>
    </w:p>
    <w:p w14:paraId="5A7A9E79"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(c) la Junta Revisora para el Desarrollo Profesional en los Servicios a la Niñez.”</w:t>
      </w:r>
    </w:p>
    <w:p w14:paraId="2D1E7940" w14:textId="61436FAC"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2.</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Renumeración. </w:t>
      </w:r>
    </w:p>
    <w:p w14:paraId="051E584E" w14:textId="259EC778"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 reenumeran los Artículos 10, 11 y 12 del Plan de Reorganización del Departamento de la Familia, Plan de Reorganización Núm. 1 de 28 de julio de 1995, según enmendado, como los Artículos 11, 12 y 13, respectivamente. </w:t>
      </w:r>
    </w:p>
    <w:p w14:paraId="782E69D2" w14:textId="3DFCD8C1"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lastRenderedPageBreak/>
        <w:t xml:space="preserve">Sección </w:t>
      </w:r>
      <w:r w:rsidRPr="00525F1B">
        <w:rPr>
          <w:rFonts w:ascii="Book Antiqua" w:eastAsia="Book Antiqua" w:hAnsi="Book Antiqua" w:cs="Book Antiqua"/>
          <w:color w:val="000000" w:themeColor="text1"/>
        </w:rPr>
        <w:t>3.</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Ajustes administrativos y fiscales. </w:t>
      </w:r>
    </w:p>
    <w:p w14:paraId="279E940D"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La Administración para el Cuidado y Desarrollo Integral de la Niñez realizará los ajustes administrativos y fiscales pertinentes en su estructura interna para garantizar la efectiva implementación de las disposiciones y propósitos de esta Ley. El establecimiento de estas unidades no afectará la operatividad ni la existencia de otras unidades administrativas dentro de la agencia, siempre que su funcionamiento sea compatible con los objetivos y disposiciones de esta Ley.</w:t>
      </w:r>
    </w:p>
    <w:p w14:paraId="09A28CD2" w14:textId="7E40CED0"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4.</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Reglamentación. </w:t>
      </w:r>
    </w:p>
    <w:p w14:paraId="3C00FC74"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 faculta a la </w:t>
      </w:r>
      <w:proofErr w:type="gramStart"/>
      <w:r w:rsidRPr="00525F1B">
        <w:rPr>
          <w:rFonts w:ascii="Book Antiqua" w:hAnsi="Book Antiqua"/>
          <w:color w:val="000000" w:themeColor="text1"/>
        </w:rPr>
        <w:t>Secretaria</w:t>
      </w:r>
      <w:proofErr w:type="gramEnd"/>
      <w:r w:rsidRPr="00525F1B">
        <w:rPr>
          <w:rFonts w:ascii="Book Antiqua" w:hAnsi="Book Antiqua"/>
          <w:color w:val="000000" w:themeColor="text1"/>
        </w:rPr>
        <w:t xml:space="preserve"> del Departamento de la Familia y a la Administradora de la Administración para el Cuidado y Desarrollo Integral de la Niñez a promulgar aquella reglamentación que entiendan </w:t>
      </w:r>
      <w:bookmarkStart w:id="5" w:name="_Hlk192504157"/>
      <w:r w:rsidRPr="00525F1B">
        <w:rPr>
          <w:rFonts w:ascii="Book Antiqua" w:hAnsi="Book Antiqua"/>
          <w:color w:val="000000" w:themeColor="text1"/>
        </w:rPr>
        <w:t>pertinente para la mejor implementación de las disposiciones y propósitos de esta Ley</w:t>
      </w:r>
      <w:bookmarkEnd w:id="5"/>
      <w:r w:rsidRPr="00525F1B">
        <w:rPr>
          <w:rFonts w:ascii="Book Antiqua" w:hAnsi="Book Antiqua"/>
          <w:color w:val="000000" w:themeColor="text1"/>
        </w:rPr>
        <w:t>.</w:t>
      </w:r>
    </w:p>
    <w:p w14:paraId="0CE1AF68" w14:textId="495579E8"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5.</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Derogación tácita. </w:t>
      </w:r>
    </w:p>
    <w:p w14:paraId="4912E446"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74CC33CF" w14:textId="1C9BA999"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6.</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58EC78FE"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w:t>
      </w:r>
      <w:r w:rsidRPr="00525F1B">
        <w:rPr>
          <w:rFonts w:ascii="Book Antiqua" w:hAnsi="Book Antiqua"/>
          <w:color w:val="000000" w:themeColor="text1"/>
        </w:rPr>
        <w:lastRenderedPageBreak/>
        <w:t>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02EA9E97" w14:textId="575F9BDC"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7.</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2F72E411" w14:textId="2EB1E69D" w:rsidR="0086165E" w:rsidRPr="009276B3"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3"/>
      <w:bookmarkEnd w:id="4"/>
      <w:r w:rsidRPr="00525F1B">
        <w:rPr>
          <w:rFonts w:ascii="Book Antiqua" w:hAnsi="Book Antiqua"/>
          <w:color w:val="000000" w:themeColor="text1"/>
          <w:lang w:val="es-ES"/>
        </w:rPr>
        <w:t xml:space="preserve">. </w:t>
      </w:r>
    </w:p>
    <w:sectPr w:rsidR="0086165E" w:rsidRPr="009276B3" w:rsidSect="009276B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9004CB88-449E-44C6-BFB1-F0E79D13E5CB}"/>
    <w:embedBold r:id="rId2" w:fontKey="{C90DAFAB-ADFA-4171-9291-7E7DE483E2A0}"/>
    <w:embedItalic r:id="rId3" w:fontKey="{53AECFBD-7EAE-48C5-847C-C8ECE993E05C}"/>
  </w:font>
  <w:font w:name="Segoe UI">
    <w:panose1 w:val="020B0502040204020203"/>
    <w:charset w:val="00"/>
    <w:family w:val="swiss"/>
    <w:pitch w:val="variable"/>
    <w:sig w:usb0="E4002EFF" w:usb1="C000E47F" w:usb2="00000009" w:usb3="00000000" w:csb0="000001FF" w:csb1="00000000"/>
    <w:embedRegular r:id="rId4" w:fontKey="{54EB2944-EC2E-4F30-B51C-0359691364AB}"/>
  </w:font>
  <w:font w:name="Georgia">
    <w:panose1 w:val="02040502050405020303"/>
    <w:charset w:val="00"/>
    <w:family w:val="roman"/>
    <w:pitch w:val="variable"/>
    <w:sig w:usb0="00000287" w:usb1="00000000" w:usb2="00000000" w:usb3="00000000" w:csb0="0000009F" w:csb1="00000000"/>
    <w:embedRegular r:id="rId5" w:fontKey="{C7370E1D-0416-41E2-8E52-6F1FBDA1D793}"/>
    <w:embedItalic r:id="rId6" w:fontKey="{CD7467AE-29B7-4A8C-86FC-1CEB0B5DFD0B}"/>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A544DD69-D956-488C-A61A-ADCE5373DFF5}"/>
  </w:font>
  <w:font w:name="Calibri">
    <w:panose1 w:val="020F0502020204030204"/>
    <w:charset w:val="00"/>
    <w:family w:val="swiss"/>
    <w:pitch w:val="variable"/>
    <w:sig w:usb0="E4002EFF" w:usb1="C000247B" w:usb2="00000009" w:usb3="00000000" w:csb0="000001FF" w:csb1="00000000"/>
    <w:embedRegular r:id="rId8" w:fontKey="{87865A36-CC3A-4354-8AAD-DAA1292F4B4E}"/>
  </w:font>
  <w:font w:name="Times">
    <w:panose1 w:val="02020603050405020304"/>
    <w:charset w:val="00"/>
    <w:family w:val="roman"/>
    <w:pitch w:val="variable"/>
    <w:sig w:usb0="E0002EFF" w:usb1="C000785B" w:usb2="00000009" w:usb3="00000000" w:csb0="000001FF" w:csb1="00000000"/>
    <w:embedBold r:id="rId9" w:fontKey="{850D0492-9847-4E10-857E-34D0A97CC71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1A0071EA-0C38-4BD6-B3C5-EE8F22DA5F5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C4D1A"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AD3B605" w14:textId="77777777">
      <w:trPr>
        <w:trHeight w:val="300"/>
      </w:trPr>
      <w:tc>
        <w:tcPr>
          <w:tcW w:w="3120" w:type="dxa"/>
          <w:tcMar>
            <w:top w:w="0" w:type="dxa"/>
            <w:left w:w="108" w:type="dxa"/>
            <w:bottom w:w="0" w:type="dxa"/>
            <w:right w:w="108" w:type="dxa"/>
          </w:tcMar>
        </w:tcPr>
        <w:p w14:paraId="19969239"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0745BE4"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AF602BC" w14:textId="77777777" w:rsidR="00FF2214" w:rsidRDefault="00FF2214">
          <w:pPr>
            <w:tabs>
              <w:tab w:val="center" w:pos="4320"/>
              <w:tab w:val="right" w:pos="8640"/>
            </w:tabs>
            <w:ind w:right="-115"/>
            <w:jc w:val="right"/>
            <w:rPr>
              <w:color w:val="000000"/>
            </w:rPr>
          </w:pPr>
        </w:p>
      </w:tc>
    </w:tr>
  </w:tbl>
  <w:p w14:paraId="06FAC1D9"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608E9"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3CD58CA9" w14:textId="77777777">
      <w:trPr>
        <w:trHeight w:val="300"/>
      </w:trPr>
      <w:tc>
        <w:tcPr>
          <w:tcW w:w="3120" w:type="dxa"/>
          <w:tcMar>
            <w:top w:w="0" w:type="dxa"/>
            <w:left w:w="108" w:type="dxa"/>
            <w:bottom w:w="0" w:type="dxa"/>
            <w:right w:w="108" w:type="dxa"/>
          </w:tcMar>
        </w:tcPr>
        <w:p w14:paraId="5890AD75"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5B410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64DAE6CF" w14:textId="77777777" w:rsidR="00FF2214" w:rsidRDefault="00FF2214">
          <w:pPr>
            <w:tabs>
              <w:tab w:val="center" w:pos="4320"/>
              <w:tab w:val="right" w:pos="8640"/>
            </w:tabs>
            <w:ind w:right="-115"/>
            <w:jc w:val="right"/>
            <w:rPr>
              <w:color w:val="000000"/>
            </w:rPr>
          </w:pPr>
        </w:p>
      </w:tc>
    </w:tr>
  </w:tbl>
  <w:p w14:paraId="6781F3BA"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5CF54B92" w:rsidR="0086165E" w:rsidRDefault="0099207B">
    <w:pPr>
      <w:tabs>
        <w:tab w:val="center" w:pos="4320"/>
        <w:tab w:val="right" w:pos="8640"/>
      </w:tabs>
      <w:jc w:val="right"/>
      <w:rPr>
        <w:color w:val="000000"/>
      </w:rPr>
    </w:pPr>
    <w:r>
      <w:rPr>
        <w:color w:val="000000"/>
      </w:rPr>
      <w:t>A-0</w:t>
    </w:r>
    <w:r w:rsidR="006A141E">
      <w:rPr>
        <w:color w:val="000000"/>
      </w:rPr>
      <w:t>10</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1"/>
  </w:num>
  <w:num w:numId="3" w16cid:durableId="681591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76278"/>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03"/>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5666E"/>
    <w:rsid w:val="00461FBD"/>
    <w:rsid w:val="00464BCF"/>
    <w:rsid w:val="004675CC"/>
    <w:rsid w:val="00477224"/>
    <w:rsid w:val="00480C72"/>
    <w:rsid w:val="00493F9B"/>
    <w:rsid w:val="004943B1"/>
    <w:rsid w:val="004A4994"/>
    <w:rsid w:val="004A5974"/>
    <w:rsid w:val="004B769A"/>
    <w:rsid w:val="004B7EA0"/>
    <w:rsid w:val="004C179C"/>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15128"/>
    <w:rsid w:val="005209C9"/>
    <w:rsid w:val="00524FBA"/>
    <w:rsid w:val="005258EB"/>
    <w:rsid w:val="00526AC9"/>
    <w:rsid w:val="00527B13"/>
    <w:rsid w:val="00535D65"/>
    <w:rsid w:val="00535E82"/>
    <w:rsid w:val="0054159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037D"/>
    <w:rsid w:val="007E3AC3"/>
    <w:rsid w:val="00806DB0"/>
    <w:rsid w:val="008104B2"/>
    <w:rsid w:val="00812840"/>
    <w:rsid w:val="00820EC0"/>
    <w:rsid w:val="00826B88"/>
    <w:rsid w:val="00831773"/>
    <w:rsid w:val="0083435F"/>
    <w:rsid w:val="00834801"/>
    <w:rsid w:val="00837B0B"/>
    <w:rsid w:val="00843BF2"/>
    <w:rsid w:val="00844B88"/>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276B3"/>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DFC"/>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154A0"/>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7FE"/>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1FB7"/>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1518</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Bárbara Sierra Nieves</cp:lastModifiedBy>
  <cp:revision>5</cp:revision>
  <cp:lastPrinted>2025-03-11T15:19:00Z</cp:lastPrinted>
  <dcterms:created xsi:type="dcterms:W3CDTF">2025-03-11T14:00:00Z</dcterms:created>
  <dcterms:modified xsi:type="dcterms:W3CDTF">2025-03-11T20:33:00Z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