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E0438" w14:textId="77777777" w:rsidR="00A22D3B" w:rsidRPr="00BC63DB" w:rsidRDefault="00A22D3B" w:rsidP="001270C9">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1270C9">
      <w:pPr>
        <w:jc w:val="center"/>
        <w:rPr>
          <w:rFonts w:ascii="Book Antiqua" w:eastAsia="Book Antiqua" w:hAnsi="Book Antiqua" w:cs="Book Antiqua"/>
          <w:color w:val="000000" w:themeColor="text1"/>
          <w:lang w:val="es-PR"/>
        </w:rPr>
      </w:pPr>
    </w:p>
    <w:p w14:paraId="2F72E3E0" w14:textId="77777777" w:rsidR="0086165E" w:rsidRDefault="0099207B" w:rsidP="001270C9">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1270C9">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1270C9">
      <w:pPr>
        <w:rPr>
          <w:rFonts w:ascii="Book Antiqua" w:eastAsia="Book Antiqua" w:hAnsi="Book Antiqua" w:cs="Book Antiqua"/>
          <w:color w:val="000000" w:themeColor="text1"/>
          <w:lang w:val="es-PR"/>
        </w:rPr>
      </w:pPr>
    </w:p>
    <w:p w14:paraId="4B1DE8F2" w14:textId="77777777" w:rsidR="006C4E23" w:rsidRDefault="006C4E23" w:rsidP="001270C9">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6961820A" w14:textId="77777777" w:rsidR="001270C9" w:rsidRPr="001270C9" w:rsidRDefault="001270C9" w:rsidP="001270C9">
      <w:pPr>
        <w:jc w:val="center"/>
        <w:rPr>
          <w:rFonts w:ascii="Book Antiqua" w:eastAsia="Book Antiqua" w:hAnsi="Book Antiqua" w:cs="Book Antiqua"/>
          <w:b/>
          <w:color w:val="000000" w:themeColor="text1"/>
          <w:lang w:val="es-PR"/>
        </w:rPr>
      </w:pPr>
    </w:p>
    <w:p w14:paraId="2F72E3E4" w14:textId="6C1AB2F2" w:rsidR="0086165E" w:rsidRDefault="0099207B" w:rsidP="001270C9">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BE0907">
        <w:rPr>
          <w:rFonts w:ascii="Book Antiqua" w:eastAsia="Book Antiqua" w:hAnsi="Book Antiqua" w:cs="Book Antiqua"/>
          <w:b/>
          <w:color w:val="000000" w:themeColor="text1"/>
          <w:sz w:val="52"/>
          <w:szCs w:val="52"/>
          <w:lang w:val="es-PR"/>
        </w:rPr>
        <w:t>397</w:t>
      </w:r>
    </w:p>
    <w:p w14:paraId="4BEB99E9" w14:textId="77777777" w:rsidR="001270C9" w:rsidRPr="001270C9" w:rsidRDefault="001270C9" w:rsidP="001270C9">
      <w:pPr>
        <w:jc w:val="center"/>
        <w:rPr>
          <w:rFonts w:ascii="Book Antiqua" w:eastAsia="Book Antiqua" w:hAnsi="Book Antiqua" w:cs="Book Antiqua"/>
          <w:b/>
          <w:color w:val="000000" w:themeColor="text1"/>
          <w:lang w:val="es-PR"/>
        </w:rPr>
      </w:pPr>
    </w:p>
    <w:p w14:paraId="6E03E3EB" w14:textId="2FE1C735" w:rsidR="006C4E23" w:rsidRDefault="001270C9" w:rsidP="001270C9">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11 DE</w:t>
      </w:r>
      <w:r>
        <w:rPr>
          <w:color w:val="000000" w:themeColor="text1"/>
          <w:lang w:val="es-PR"/>
        </w:rPr>
        <w:t xml:space="preserve"> </w:t>
      </w:r>
      <w:r>
        <w:rPr>
          <w:rFonts w:ascii="Book Antiqua" w:eastAsia="Book Antiqua" w:hAnsi="Book Antiqua" w:cs="Book Antiqua"/>
          <w:color w:val="000000" w:themeColor="text1"/>
          <w:lang w:val="es-PR"/>
        </w:rPr>
        <w:t>MARZO DE 2025</w:t>
      </w:r>
    </w:p>
    <w:p w14:paraId="24DF9322" w14:textId="77777777" w:rsidR="006C4E23" w:rsidRDefault="006C4E23" w:rsidP="001270C9">
      <w:pPr>
        <w:jc w:val="center"/>
        <w:rPr>
          <w:rFonts w:ascii="Book Antiqua" w:eastAsia="Book Antiqua" w:hAnsi="Book Antiqua" w:cs="Book Antiqua"/>
          <w:color w:val="000000" w:themeColor="text1"/>
          <w:lang w:val="es-PR"/>
        </w:rPr>
      </w:pPr>
    </w:p>
    <w:p w14:paraId="0D749A65" w14:textId="587BA3DC" w:rsidR="006C4E23" w:rsidRDefault="0099207B" w:rsidP="001270C9">
      <w:pPr>
        <w:ind w:left="810" w:hanging="810"/>
        <w:jc w:val="both"/>
        <w:rPr>
          <w:rFonts w:ascii="Book Antiqua" w:eastAsia="Aptos" w:hAnsi="Book Antiqua"/>
          <w:i/>
          <w:iCs/>
          <w:kern w:val="2"/>
          <w:lang w:val="es-ES"/>
          <w14:ligatures w14:val="standardContextual"/>
        </w:rPr>
      </w:pPr>
      <w:bookmarkStart w:id="0" w:name="_heading=h.gjdgxs" w:colFirst="0" w:colLast="0"/>
      <w:bookmarkStart w:id="1" w:name="_Hlk192583991"/>
      <w:bookmarkEnd w:id="0"/>
      <w:r>
        <w:rPr>
          <w:rFonts w:ascii="Book Antiqua" w:eastAsia="Book Antiqua" w:hAnsi="Book Antiqua" w:cs="Book Antiqua"/>
          <w:color w:val="000000" w:themeColor="text1"/>
          <w:lang w:val="es-PR"/>
        </w:rPr>
        <w:t xml:space="preserve">Presentado por </w:t>
      </w:r>
      <w:r w:rsidR="006C4E23" w:rsidRPr="00BC63DB">
        <w:rPr>
          <w:rFonts w:ascii="Book Antiqua" w:hAnsi="Book Antiqua"/>
          <w:lang w:val="es-ES"/>
        </w:rPr>
        <w:t>l</w:t>
      </w:r>
      <w:r w:rsidR="001270C9">
        <w:rPr>
          <w:rFonts w:ascii="Book Antiqua" w:hAnsi="Book Antiqua"/>
          <w:lang w:val="es-ES"/>
        </w:rPr>
        <w:t>os</w:t>
      </w:r>
      <w:r w:rsidR="006C4E23" w:rsidRPr="00BC63DB">
        <w:rPr>
          <w:rFonts w:ascii="Book Antiqua" w:hAnsi="Book Antiqua"/>
          <w:lang w:val="es-ES"/>
        </w:rPr>
        <w:t xml:space="preserve"> representante</w:t>
      </w:r>
      <w:r w:rsidR="001270C9">
        <w:rPr>
          <w:rFonts w:ascii="Book Antiqua" w:hAnsi="Book Antiqua"/>
          <w:lang w:val="es-ES"/>
        </w:rPr>
        <w:t>s</w:t>
      </w:r>
      <w:r w:rsidR="006C4E23" w:rsidRPr="00BC63DB">
        <w:rPr>
          <w:rFonts w:ascii="Book Antiqua" w:hAnsi="Book Antiqua"/>
          <w:lang w:val="es-ES"/>
        </w:rPr>
        <w:t xml:space="preserve"> </w:t>
      </w:r>
      <w:r w:rsidR="001270C9" w:rsidRPr="00BC63DB">
        <w:rPr>
          <w:rFonts w:ascii="Book Antiqua" w:eastAsia="Aptos" w:hAnsi="Book Antiqua"/>
          <w:i/>
          <w:iCs/>
          <w:kern w:val="2"/>
          <w:lang w:val="es-ES"/>
          <w14:ligatures w14:val="standardContextual"/>
        </w:rPr>
        <w:t>Peña Ramírez</w:t>
      </w:r>
      <w:r w:rsidR="001270C9">
        <w:rPr>
          <w:rFonts w:ascii="Book Antiqua" w:eastAsia="Aptos" w:hAnsi="Book Antiqua"/>
          <w:i/>
          <w:iCs/>
          <w:kern w:val="2"/>
          <w:lang w:val="es-ES"/>
          <w14:ligatures w14:val="standardContextual"/>
        </w:rPr>
        <w:t xml:space="preserve"> </w:t>
      </w:r>
      <w:r w:rsidR="001270C9">
        <w:rPr>
          <w:rFonts w:ascii="Book Antiqua" w:eastAsia="Aptos" w:hAnsi="Book Antiqua"/>
          <w:kern w:val="2"/>
          <w:lang w:val="es-ES"/>
          <w14:ligatures w14:val="standardContextual"/>
        </w:rPr>
        <w:t xml:space="preserve">y </w:t>
      </w:r>
      <w:r w:rsidR="006C4E23" w:rsidRPr="00BC63DB">
        <w:rPr>
          <w:rFonts w:ascii="Book Antiqua" w:hAnsi="Book Antiqua"/>
          <w:i/>
          <w:iCs/>
          <w:lang w:val="es-PR"/>
        </w:rPr>
        <w:t>Méndez Núñez</w:t>
      </w:r>
      <w:r w:rsidR="006C4E23">
        <w:rPr>
          <w:rFonts w:ascii="Book Antiqua" w:hAnsi="Book Antiqua"/>
          <w:i/>
          <w:iCs/>
          <w:lang w:val="es-PR"/>
        </w:rPr>
        <w:t>;</w:t>
      </w:r>
      <w:r w:rsidR="006C4E23" w:rsidRPr="00BC63DB">
        <w:rPr>
          <w:rFonts w:ascii="Book Antiqua" w:hAnsi="Book Antiqua"/>
          <w:i/>
          <w:iCs/>
          <w:lang w:val="es-PR"/>
        </w:rPr>
        <w:t xml:space="preserve">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Lebrón Rodríguez;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Torres Zamora, Román López, Aponte Hernández, Carlo Acosta, Charbonier Chinea, Colón Rodríguez;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del Valle Correa;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Estévez Vélez, </w:t>
      </w:r>
      <w:proofErr w:type="spellStart"/>
      <w:r w:rsidR="006C4E23" w:rsidRPr="00BC63DB">
        <w:rPr>
          <w:rFonts w:ascii="Book Antiqua" w:eastAsia="Aptos" w:hAnsi="Book Antiqua"/>
          <w:i/>
          <w:iCs/>
          <w:kern w:val="2"/>
          <w:lang w:val="es-ES"/>
          <w14:ligatures w14:val="standardContextual"/>
        </w:rPr>
        <w:t>Franqui</w:t>
      </w:r>
      <w:proofErr w:type="spellEnd"/>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Atiles</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González Aguayo, González </w:t>
      </w:r>
      <w:proofErr w:type="spellStart"/>
      <w:r w:rsidR="006C4E23" w:rsidRPr="00BC63DB">
        <w:rPr>
          <w:rFonts w:ascii="Book Antiqua" w:eastAsia="Aptos" w:hAnsi="Book Antiqua"/>
          <w:i/>
          <w:iCs/>
          <w:kern w:val="2"/>
          <w:lang w:val="es-ES"/>
          <w14:ligatures w14:val="standardContextual"/>
        </w:rPr>
        <w:t>González</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Hernández Concepción, Jiménez Torres;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Martínez Vázquez, Medina Calderón;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Morey</w:t>
      </w:r>
      <w:proofErr w:type="spellEnd"/>
      <w:r w:rsidR="006C4E23"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Peña Dávila;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Pérez Cordero, Pérez Ortiz;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Pérez Ramírez, Ramos Rivera;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bookmarkEnd w:id="1"/>
    <w:p w14:paraId="619A291A" w14:textId="77777777" w:rsidR="006C4E23" w:rsidRPr="006C4E23" w:rsidRDefault="006C4E23" w:rsidP="001270C9">
      <w:pPr>
        <w:ind w:left="810" w:hanging="810"/>
        <w:jc w:val="both"/>
        <w:rPr>
          <w:rFonts w:ascii="Book Antiqua" w:eastAsia="Aptos" w:hAnsi="Book Antiqua"/>
          <w:i/>
          <w:iCs/>
          <w:kern w:val="2"/>
          <w:lang w:val="es-ES"/>
          <w14:ligatures w14:val="standardContextual"/>
        </w:rPr>
      </w:pPr>
    </w:p>
    <w:p w14:paraId="2F72E3E9" w14:textId="6ED98391" w:rsidR="0086165E" w:rsidRPr="001270C9" w:rsidRDefault="0099207B" w:rsidP="001270C9">
      <w:pPr>
        <w:ind w:left="720" w:hanging="630"/>
        <w:jc w:val="center"/>
        <w:rPr>
          <w:rFonts w:ascii="Book Antiqua" w:eastAsia="Book Antiqua" w:hAnsi="Book Antiqua" w:cs="Book Antiqua"/>
          <w:iCs/>
          <w:color w:val="000000" w:themeColor="text1"/>
          <w:lang w:val="es-PR"/>
        </w:rPr>
      </w:pPr>
      <w:r w:rsidRPr="001270C9">
        <w:rPr>
          <w:rFonts w:ascii="Book Antiqua" w:eastAsia="Book Antiqua" w:hAnsi="Book Antiqua" w:cs="Book Antiqua"/>
          <w:iCs/>
          <w:color w:val="000000" w:themeColor="text1"/>
          <w:lang w:val="es-PR"/>
        </w:rPr>
        <w:t>Referido a</w:t>
      </w:r>
      <w:r w:rsidR="001D4DEA">
        <w:rPr>
          <w:rFonts w:ascii="Book Antiqua" w:eastAsia="Book Antiqua" w:hAnsi="Book Antiqua" w:cs="Book Antiqua"/>
          <w:iCs/>
          <w:color w:val="000000" w:themeColor="text1"/>
          <w:lang w:val="es-PR"/>
        </w:rPr>
        <w:t xml:space="preserve"> la Comisión de Salud</w:t>
      </w:r>
    </w:p>
    <w:p w14:paraId="6D8A4821" w14:textId="77777777" w:rsidR="00A22D3B" w:rsidRPr="00A22D3B" w:rsidRDefault="00A22D3B" w:rsidP="001270C9">
      <w:pPr>
        <w:jc w:val="center"/>
        <w:rPr>
          <w:rFonts w:ascii="Book Antiqua" w:eastAsia="Book Antiqua" w:hAnsi="Book Antiqua" w:cs="Book Antiqua"/>
          <w:i/>
          <w:color w:val="000000" w:themeColor="text1"/>
          <w:lang w:val="es-PR"/>
        </w:rPr>
      </w:pPr>
    </w:p>
    <w:p w14:paraId="2F72E3EA" w14:textId="77777777" w:rsidR="0086165E" w:rsidRDefault="0099207B" w:rsidP="001270C9">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1270C9">
      <w:pPr>
        <w:jc w:val="both"/>
        <w:rPr>
          <w:rFonts w:ascii="Book Antiqua" w:eastAsia="Book Antiqua" w:hAnsi="Book Antiqua" w:cs="Book Antiqua"/>
          <w:color w:val="000000" w:themeColor="text1"/>
          <w:lang w:val="es-PR"/>
        </w:rPr>
      </w:pPr>
    </w:p>
    <w:p w14:paraId="07F6FAEE" w14:textId="5A9D3F8B" w:rsidR="00A22D3B" w:rsidRDefault="0099207B" w:rsidP="001270C9">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Para </w:t>
      </w:r>
      <w:r w:rsidR="000E0C97" w:rsidRPr="009F76BB">
        <w:rPr>
          <w:rFonts w:ascii="Book Antiqua" w:eastAsia="Book Antiqua" w:hAnsi="Book Antiqua" w:cs="Book Antiqua"/>
          <w:color w:val="000000" w:themeColor="text1"/>
          <w:lang w:val="es-PR"/>
        </w:rPr>
        <w:t>establecer la “Ley de la Oficina Enlace para el Apoyo y Registro de las Personas con Enfermedades Raras”, adscrita al Departamento de Salud,</w:t>
      </w:r>
      <w:r w:rsidR="000E0C97" w:rsidRPr="009F76BB">
        <w:rPr>
          <w:lang w:val="es-PR"/>
        </w:rPr>
        <w:t xml:space="preserve"> a los fines</w:t>
      </w:r>
      <w:r w:rsidR="000E0C97" w:rsidRPr="009F76BB">
        <w:rPr>
          <w:rFonts w:ascii="Book Antiqua" w:eastAsia="Book Antiqua" w:hAnsi="Book Antiqua" w:cs="Book Antiqua"/>
          <w:color w:val="000000" w:themeColor="text1"/>
          <w:lang w:val="es-PR"/>
        </w:rPr>
        <w:t xml:space="preserve"> de recopilar, mantener y actualizar un registro oficial de las personas con enfermedades raras en la Isla; disponer su funcionamiento; determinar sus deberes, facultades y responsabilidades; y para otros fines relacionados.</w:t>
      </w:r>
    </w:p>
    <w:p w14:paraId="7AFBEFF6" w14:textId="77777777" w:rsidR="000E0C97" w:rsidRDefault="000E0C97" w:rsidP="001270C9">
      <w:pPr>
        <w:ind w:left="540" w:hanging="540"/>
        <w:jc w:val="both"/>
        <w:rPr>
          <w:rFonts w:ascii="Book Antiqua" w:eastAsia="Book Antiqua" w:hAnsi="Book Antiqua" w:cs="Book Antiqua"/>
          <w:color w:val="000000" w:themeColor="text1"/>
          <w:lang w:val="es-PR"/>
        </w:rPr>
      </w:pPr>
    </w:p>
    <w:p w14:paraId="27D49318" w14:textId="29052DD7" w:rsidR="00A22D3B" w:rsidRDefault="00A22D3B" w:rsidP="001270C9">
      <w:pPr>
        <w:jc w:val="center"/>
        <w:rPr>
          <w:rFonts w:ascii="Book Antiqua" w:hAnsi="Book Antiqua"/>
          <w:bCs/>
          <w:lang w:val="es-PR"/>
        </w:rPr>
      </w:pPr>
      <w:r w:rsidRPr="00BC63DB">
        <w:rPr>
          <w:rFonts w:ascii="Book Antiqua" w:hAnsi="Book Antiqua"/>
          <w:bCs/>
          <w:lang w:val="es-PR"/>
        </w:rPr>
        <w:t>EXPOSICIÓN DE MOTIVOS</w:t>
      </w:r>
    </w:p>
    <w:p w14:paraId="43A7CB5F" w14:textId="77777777" w:rsidR="00A22D3B" w:rsidRPr="00A22D3B" w:rsidRDefault="00A22D3B" w:rsidP="001270C9">
      <w:pPr>
        <w:jc w:val="center"/>
        <w:rPr>
          <w:rFonts w:ascii="Book Antiqua" w:hAnsi="Book Antiqua"/>
          <w:bCs/>
          <w:lang w:val="es-PR"/>
        </w:rPr>
      </w:pPr>
    </w:p>
    <w:p w14:paraId="4066EC93"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 xml:space="preserve">Las enfermedades raras, también conocidas como enfermedades huérfanas, son condiciones de salud que afectan a un pequeño porcentaje de la población. Generalmente, una enfermedad se considera rara cuando su prevalencia es menor a una (1) de cada dos mil (2,000) personas. No obstante, aunque individualmente sean poco frecuentes, en su conjunto representan un desafío significativo para los sistemas de salud y para quienes las padecen. La mayoría de estas enfermedades tienen un origen genético, son crónicas, </w:t>
      </w:r>
      <w:proofErr w:type="spellStart"/>
      <w:r w:rsidRPr="009F76BB">
        <w:rPr>
          <w:rFonts w:ascii="Book Antiqua" w:eastAsia="Book Antiqua" w:hAnsi="Book Antiqua" w:cs="Book Antiqua"/>
          <w:color w:val="000000" w:themeColor="text1"/>
          <w:lang w:val="es-PR"/>
        </w:rPr>
        <w:lastRenderedPageBreak/>
        <w:t>discapacitantes</w:t>
      </w:r>
      <w:proofErr w:type="spellEnd"/>
      <w:r w:rsidRPr="009F76BB">
        <w:rPr>
          <w:rFonts w:ascii="Book Antiqua" w:eastAsia="Book Antiqua" w:hAnsi="Book Antiqua" w:cs="Book Antiqua"/>
          <w:color w:val="000000" w:themeColor="text1"/>
          <w:lang w:val="es-PR"/>
        </w:rPr>
        <w:t xml:space="preserve"> y carecen de tratamientos efectivos, lo que impacta gravemente la calidad de vida de los pacientes y sus familias.</w:t>
      </w:r>
    </w:p>
    <w:p w14:paraId="478E954D" w14:textId="77777777" w:rsidR="000E0C97" w:rsidRDefault="000E0C97" w:rsidP="001270C9">
      <w:pPr>
        <w:jc w:val="both"/>
        <w:rPr>
          <w:rFonts w:ascii="Book Antiqua" w:eastAsia="Book Antiqua" w:hAnsi="Book Antiqua" w:cs="Book Antiqua"/>
          <w:color w:val="000000" w:themeColor="text1"/>
          <w:lang w:val="es-PR"/>
        </w:rPr>
      </w:pPr>
    </w:p>
    <w:p w14:paraId="440272E7"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En Puerto Rico, la situación de las enfermedades raras es aún más preocupante. Se estima que hasta un veintiocho por ciento (28%) de la población puertorriqueña podría estar afectada por alguna de estas condiciones, lo que evidencia la necesidad urgente de una política pública que garantice el acceso a diagnósticos precisos, tratamientos adecuados y apoyo integral para los pacientes. Sin embargo, la Isla carece de un registro oficial que permita conocer con exactitud la cantidad de personas afectadas, sus características clínicas y sus necesidades específicas. Esta ausencia de datos y de una estructura gubernamental especializada limita la capacidad del Estado para desarrollar estrategias de intervención efectivas, lo que se traduce en demoras en los diagnósticos, restricciones en el acceso a terapias especializadas y una desconexión con centros de investigación y tratamiento fuera de la Isla.</w:t>
      </w:r>
    </w:p>
    <w:p w14:paraId="2CFEF025" w14:textId="77777777" w:rsidR="000E0C97" w:rsidRDefault="000E0C97" w:rsidP="001270C9">
      <w:pPr>
        <w:jc w:val="both"/>
        <w:rPr>
          <w:rFonts w:ascii="Book Antiqua" w:eastAsia="Book Antiqua" w:hAnsi="Book Antiqua" w:cs="Book Antiqua"/>
          <w:color w:val="000000" w:themeColor="text1"/>
          <w:lang w:val="es-PR"/>
        </w:rPr>
      </w:pPr>
    </w:p>
    <w:p w14:paraId="4B4F8851"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Los pacientes con enfermedades raras enfrentan múltiples barreras para obtener un diagnóstico oportuno y acceder a tratamientos innovadores. La falta de conocimiento dentro de la comunidad médica y la escasez de especialistas capacitados en estas condiciones prolongan la incertidumbre de los pacientes, retrasan el inicio de terapias y aumentan el riesgo de complicaciones graves. Además, la ausencia de un sistema estructurado de apoyo limita la orientación y asistencia que tanto los pacientes como sus familias requieren para afrontar los desafíos médicos, económicos y emocionales asociados con estas enfermedades.</w:t>
      </w:r>
    </w:p>
    <w:p w14:paraId="452D7334" w14:textId="77777777" w:rsidR="000E0C97" w:rsidRDefault="000E0C97" w:rsidP="001270C9">
      <w:pPr>
        <w:jc w:val="both"/>
        <w:rPr>
          <w:rFonts w:ascii="Book Antiqua" w:eastAsia="Book Antiqua" w:hAnsi="Book Antiqua" w:cs="Book Antiqua"/>
          <w:color w:val="000000" w:themeColor="text1"/>
          <w:lang w:val="es-PR"/>
        </w:rPr>
      </w:pPr>
    </w:p>
    <w:p w14:paraId="7BA95B51"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 xml:space="preserve">A nivel nacional, la </w:t>
      </w:r>
      <w:r w:rsidRPr="009F76BB">
        <w:rPr>
          <w:rFonts w:ascii="Book Antiqua" w:eastAsia="Book Antiqua" w:hAnsi="Book Antiqua" w:cs="Book Antiqua"/>
          <w:smallCaps/>
          <w:color w:val="000000" w:themeColor="text1"/>
          <w:lang w:val="es-PR"/>
        </w:rPr>
        <w:t xml:space="preserve">Rare </w:t>
      </w:r>
      <w:proofErr w:type="spellStart"/>
      <w:r w:rsidRPr="009F76BB">
        <w:rPr>
          <w:rFonts w:ascii="Book Antiqua" w:eastAsia="Book Antiqua" w:hAnsi="Book Antiqua" w:cs="Book Antiqua"/>
          <w:smallCaps/>
          <w:color w:val="000000" w:themeColor="text1"/>
          <w:lang w:val="es-PR"/>
        </w:rPr>
        <w:t>Diseases</w:t>
      </w:r>
      <w:proofErr w:type="spellEnd"/>
      <w:r w:rsidRPr="009F76BB">
        <w:rPr>
          <w:rFonts w:ascii="Book Antiqua" w:eastAsia="Book Antiqua" w:hAnsi="Book Antiqua" w:cs="Book Antiqua"/>
          <w:smallCaps/>
          <w:color w:val="000000" w:themeColor="text1"/>
          <w:lang w:val="es-PR"/>
        </w:rPr>
        <w:t xml:space="preserve"> </w:t>
      </w:r>
      <w:proofErr w:type="spellStart"/>
      <w:r w:rsidRPr="009F76BB">
        <w:rPr>
          <w:rFonts w:ascii="Book Antiqua" w:eastAsia="Book Antiqua" w:hAnsi="Book Antiqua" w:cs="Book Antiqua"/>
          <w:smallCaps/>
          <w:color w:val="000000" w:themeColor="text1"/>
          <w:lang w:val="es-PR"/>
        </w:rPr>
        <w:t>Act</w:t>
      </w:r>
      <w:proofErr w:type="spellEnd"/>
      <w:r w:rsidRPr="009F76BB">
        <w:rPr>
          <w:rFonts w:ascii="Book Antiqua" w:eastAsia="Book Antiqua" w:hAnsi="Book Antiqua" w:cs="Book Antiqua"/>
          <w:smallCaps/>
          <w:color w:val="000000" w:themeColor="text1"/>
          <w:lang w:val="es-PR"/>
        </w:rPr>
        <w:t>, 42 U.S.C. § 283h (2002)</w:t>
      </w:r>
      <w:r w:rsidRPr="009F76BB">
        <w:rPr>
          <w:rFonts w:ascii="Book Antiqua" w:eastAsia="Book Antiqua" w:hAnsi="Book Antiqua" w:cs="Book Antiqua"/>
          <w:color w:val="000000" w:themeColor="text1"/>
          <w:lang w:val="es-PR"/>
        </w:rPr>
        <w:t>, estableció la “</w:t>
      </w:r>
      <w:r w:rsidRPr="009F76BB">
        <w:rPr>
          <w:rFonts w:ascii="Book Antiqua" w:eastAsia="Book Antiqua" w:hAnsi="Book Antiqua" w:cs="Book Antiqua"/>
          <w:i/>
          <w:iCs/>
          <w:color w:val="000000" w:themeColor="text1"/>
          <w:lang w:val="es-PR"/>
        </w:rPr>
        <w:t xml:space="preserve">Office </w:t>
      </w:r>
      <w:proofErr w:type="spellStart"/>
      <w:r w:rsidRPr="009F76BB">
        <w:rPr>
          <w:rFonts w:ascii="Book Antiqua" w:eastAsia="Book Antiqua" w:hAnsi="Book Antiqua" w:cs="Book Antiqua"/>
          <w:i/>
          <w:iCs/>
          <w:color w:val="000000" w:themeColor="text1"/>
          <w:lang w:val="es-PR"/>
        </w:rPr>
        <w:t>of</w:t>
      </w:r>
      <w:proofErr w:type="spellEnd"/>
      <w:r w:rsidRPr="009F76BB">
        <w:rPr>
          <w:rFonts w:ascii="Book Antiqua" w:eastAsia="Book Antiqua" w:hAnsi="Book Antiqua" w:cs="Book Antiqua"/>
          <w:i/>
          <w:iCs/>
          <w:color w:val="000000" w:themeColor="text1"/>
          <w:lang w:val="es-PR"/>
        </w:rPr>
        <w:t xml:space="preserve"> Rare </w:t>
      </w:r>
      <w:proofErr w:type="spellStart"/>
      <w:r w:rsidRPr="009F76BB">
        <w:rPr>
          <w:rFonts w:ascii="Book Antiqua" w:eastAsia="Book Antiqua" w:hAnsi="Book Antiqua" w:cs="Book Antiqua"/>
          <w:i/>
          <w:iCs/>
          <w:color w:val="000000" w:themeColor="text1"/>
          <w:lang w:val="es-PR"/>
        </w:rPr>
        <w:t>Diseases</w:t>
      </w:r>
      <w:proofErr w:type="spellEnd"/>
      <w:r w:rsidRPr="009F76BB">
        <w:rPr>
          <w:rFonts w:ascii="Book Antiqua" w:eastAsia="Book Antiqua" w:hAnsi="Book Antiqua" w:cs="Book Antiqua"/>
          <w:i/>
          <w:iCs/>
          <w:color w:val="000000" w:themeColor="text1"/>
          <w:lang w:val="es-PR"/>
        </w:rPr>
        <w:t xml:space="preserve"> </w:t>
      </w:r>
      <w:proofErr w:type="spellStart"/>
      <w:r w:rsidRPr="009F76BB">
        <w:rPr>
          <w:rFonts w:ascii="Book Antiqua" w:eastAsia="Book Antiqua" w:hAnsi="Book Antiqua" w:cs="Book Antiqua"/>
          <w:i/>
          <w:iCs/>
          <w:color w:val="000000" w:themeColor="text1"/>
          <w:lang w:val="es-PR"/>
        </w:rPr>
        <w:t>Research</w:t>
      </w:r>
      <w:proofErr w:type="spellEnd"/>
      <w:r w:rsidRPr="009F76BB">
        <w:rPr>
          <w:rFonts w:ascii="Book Antiqua" w:eastAsia="Book Antiqua" w:hAnsi="Book Antiqua" w:cs="Book Antiqua"/>
          <w:color w:val="000000" w:themeColor="text1"/>
          <w:lang w:val="es-PR"/>
        </w:rPr>
        <w:t>” (ORDR) para fortalecer la investigación y el desarrollo de tratamientos dirigidos a estas condiciones. Asimismo, diversas entidades federales y estatales coordinan esfuerzos en la investigación y el apoyo a personas con enfermedades raras, promoviendo iniciativas que mejoran su calidad de vida.</w:t>
      </w:r>
    </w:p>
    <w:p w14:paraId="2B2132EE" w14:textId="77777777" w:rsidR="000E0C97" w:rsidRDefault="000E0C97" w:rsidP="001270C9">
      <w:pPr>
        <w:jc w:val="both"/>
        <w:rPr>
          <w:rFonts w:ascii="Book Antiqua" w:eastAsia="Book Antiqua" w:hAnsi="Book Antiqua" w:cs="Book Antiqua"/>
          <w:color w:val="000000" w:themeColor="text1"/>
          <w:lang w:val="es-PR"/>
        </w:rPr>
      </w:pPr>
    </w:p>
    <w:p w14:paraId="33AB9BB8"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Ante esta realidad, es imperativo establecer la Oficina Enlace para el Registro y Apoyo a Personas con Enfermedades Raras, adscrita al Departamento de Salud de Puerto Rico. Esta entidad tendrá como misión principal la recopilación, mantenimiento y actualización de un registro oficial de personas con enfermedades raras en la Isla, proporcionando así una base de datos confiable para el desarrollo de estrategias de salud pública fundamentadas en evidencia.</w:t>
      </w:r>
    </w:p>
    <w:p w14:paraId="5981B1B7" w14:textId="77777777" w:rsidR="000E0C97" w:rsidRDefault="000E0C97" w:rsidP="001270C9">
      <w:pPr>
        <w:jc w:val="both"/>
        <w:rPr>
          <w:rFonts w:ascii="Book Antiqua" w:eastAsia="Book Antiqua" w:hAnsi="Book Antiqua" w:cs="Book Antiqua"/>
          <w:color w:val="000000" w:themeColor="text1"/>
          <w:lang w:val="es-PR"/>
        </w:rPr>
      </w:pPr>
    </w:p>
    <w:p w14:paraId="5F8BAB72"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 xml:space="preserve">Además, la Oficina Enlace para el Registro y Apoyo a Personas con Enfermedades Raras servirá como un canal de comunicación y coordinación entre los pacientes, sus familias, los proveedores de servicios de salud, los centros de investigación y las entidades gubernamentales. Será responsable de gestionar acuerdos de colaboración con hospitales, </w:t>
      </w:r>
      <w:r w:rsidRPr="009F76BB">
        <w:rPr>
          <w:rFonts w:ascii="Book Antiqua" w:eastAsia="Book Antiqua" w:hAnsi="Book Antiqua" w:cs="Book Antiqua"/>
          <w:color w:val="000000" w:themeColor="text1"/>
          <w:lang w:val="es-PR"/>
        </w:rPr>
        <w:lastRenderedPageBreak/>
        <w:t>universidades y laboratorios de investigación, tanto a nivel local como internacional, con el propósito de facilitar el acceso temprano a diagnósticos certeros y terapias avanzadas.</w:t>
      </w:r>
    </w:p>
    <w:p w14:paraId="0C3D18D2" w14:textId="77777777" w:rsidR="000E0C97" w:rsidRDefault="000E0C97" w:rsidP="001270C9">
      <w:pPr>
        <w:jc w:val="both"/>
        <w:rPr>
          <w:rFonts w:ascii="Book Antiqua" w:eastAsia="Book Antiqua" w:hAnsi="Book Antiqua" w:cs="Book Antiqua"/>
          <w:color w:val="000000" w:themeColor="text1"/>
          <w:lang w:val="es-PR"/>
        </w:rPr>
      </w:pPr>
    </w:p>
    <w:p w14:paraId="1EEDF30D"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El establecimiento de esta Oficina permitirá mejorar la calidad de vida de los pacientes con enfermedades raras en Puerto Rico, promoviendo la equidad en el acceso a la atención médica y fomentando la investigación de estas condiciones en la Isla. Asimismo, facilitará la integración de Puerto Rico en la red global de estudios y tratamientos para enfermedades raras, asegurando que los ciudadanos puedan beneficiarse de los avances científicos y médicos disponibles en otras jurisdicciones. Con este esfuerzo, el Gobierno de Puerto Rico reafirma su compromiso con el bienestar de sus ciudadanos y con la promoción de políticas inclusivas que garanticen el derecho a la salud para todos, especialmente para quienes padecen enfermedades raras y que, por demasiado tiempo, han permanecido invisibilizados.</w:t>
      </w:r>
    </w:p>
    <w:p w14:paraId="3C71C18B" w14:textId="77777777" w:rsidR="008D6F92" w:rsidRDefault="008D6F92" w:rsidP="001270C9">
      <w:pPr>
        <w:jc w:val="both"/>
        <w:rPr>
          <w:rFonts w:ascii="Book Antiqua" w:eastAsia="Book Antiqua" w:hAnsi="Book Antiqua" w:cs="Book Antiqua"/>
          <w:color w:val="000000" w:themeColor="text1"/>
          <w:lang w:val="es-PR"/>
        </w:rPr>
      </w:pPr>
    </w:p>
    <w:p w14:paraId="2F72E3F5" w14:textId="77777777" w:rsidR="0086165E" w:rsidRDefault="0099207B" w:rsidP="001270C9">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6C7504BB" w14:textId="77777777" w:rsidR="000E0C97" w:rsidRPr="009F76BB" w:rsidRDefault="000E0C97" w:rsidP="000E0C97">
      <w:pPr>
        <w:pStyle w:val="Textoindependiente"/>
        <w:spacing w:line="480" w:lineRule="auto"/>
        <w:ind w:firstLine="360"/>
        <w:rPr>
          <w:rFonts w:ascii="Book Antiqua" w:hAnsi="Book Antiqua"/>
        </w:rPr>
      </w:pPr>
      <w:bookmarkStart w:id="2" w:name="{20F4}"/>
      <w:bookmarkEnd w:id="2"/>
      <w:r w:rsidRPr="009F76BB">
        <w:rPr>
          <w:rFonts w:ascii="Book Antiqua" w:hAnsi="Book Antiqua"/>
        </w:rPr>
        <w:t>Artículo 1.-Título.</w:t>
      </w:r>
    </w:p>
    <w:p w14:paraId="60435DA9"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 xml:space="preserve">Esta Ley se conocerá y podrá ser citada como la “Ley de la Oficina Enlace para el Apoyo y Registro de las Personas con Enfermedades Raras”. </w:t>
      </w:r>
      <w:bookmarkStart w:id="3" w:name="{20D8}"/>
    </w:p>
    <w:p w14:paraId="136D139C"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Artículo 2.-Propósito.</w:t>
      </w:r>
    </w:p>
    <w:p w14:paraId="5A95FAC6"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Esta Ley tiene la finalidad de recopilar, mantener y actualizar un registro oficial de las personas con enfermedades raras en la Isla, facilitar el acceso a diagnósticos precisos y tratamientos innovadores, y coordinar esfuerzos con entidades nacionales e internacionales especializadas en la investigación y manejo de estas condiciones, promoviendo así una atención integral y efectiva para los pacientes.</w:t>
      </w:r>
    </w:p>
    <w:p w14:paraId="46C25320"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 xml:space="preserve">Artículo 3.-Creación. </w:t>
      </w:r>
    </w:p>
    <w:p w14:paraId="27FBBA42"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Se establece la Oficina Enlace para el Apoyo y Registro de las Personas con Enfermedades Raras, la cual estará adscrita al Departamento de Salud de Puerto Rico.</w:t>
      </w:r>
    </w:p>
    <w:p w14:paraId="7F254253"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 xml:space="preserve">Artículo 4.-Definiciones. </w:t>
      </w:r>
    </w:p>
    <w:p w14:paraId="536E6DE0"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lastRenderedPageBreak/>
        <w:t>Para efectos de esta Ley, los siguientes términos tendrán el significado que se indica a continuación:</w:t>
      </w:r>
    </w:p>
    <w:p w14:paraId="4E7A10CD" w14:textId="77777777" w:rsidR="000E0C97" w:rsidRPr="009F76BB" w:rsidRDefault="000E0C97" w:rsidP="000E0C97">
      <w:pPr>
        <w:pStyle w:val="Textoindependiente"/>
        <w:numPr>
          <w:ilvl w:val="0"/>
          <w:numId w:val="3"/>
        </w:numPr>
        <w:spacing w:line="480" w:lineRule="auto"/>
        <w:rPr>
          <w:rFonts w:ascii="Book Antiqua" w:hAnsi="Book Antiqua"/>
        </w:rPr>
      </w:pPr>
      <w:r w:rsidRPr="009F76BB">
        <w:rPr>
          <w:rFonts w:ascii="Book Antiqua" w:hAnsi="Book Antiqua"/>
        </w:rPr>
        <w:t xml:space="preserve">Comité </w:t>
      </w:r>
      <w:proofErr w:type="gramStart"/>
      <w:r w:rsidRPr="009F76BB">
        <w:rPr>
          <w:rFonts w:ascii="Book Antiqua" w:hAnsi="Book Antiqua"/>
        </w:rPr>
        <w:t>Asesor</w:t>
      </w:r>
      <w:r w:rsidRPr="009F76BB">
        <w:rPr>
          <w:rFonts w:ascii="Book Antiqua" w:hAnsi="Book Antiqua"/>
          <w:snapToGrid w:val="0"/>
        </w:rPr>
        <w:t>.–</w:t>
      </w:r>
      <w:bookmarkStart w:id="4" w:name="_Hlk190032931"/>
      <w:proofErr w:type="gramEnd"/>
      <w:r w:rsidRPr="009F76BB">
        <w:rPr>
          <w:rFonts w:ascii="Book Antiqua" w:hAnsi="Book Antiqua"/>
        </w:rPr>
        <w:t>Significará</w:t>
      </w:r>
      <w:bookmarkEnd w:id="4"/>
      <w:r w:rsidRPr="009F76BB">
        <w:rPr>
          <w:rFonts w:ascii="Book Antiqua" w:hAnsi="Book Antiqua"/>
        </w:rPr>
        <w:t xml:space="preserve"> el órgano consultivo compuesto por expertos y representantes de sectores pertinentes, encargado de asesorar al Departamento de Salud en políticas públicas y estrategias para la atención, tratamiento y calidad de vida de personas con enfermedades raras en Puerto Rico.</w:t>
      </w:r>
    </w:p>
    <w:p w14:paraId="3BE36DED" w14:textId="77777777" w:rsidR="000E0C97" w:rsidRPr="009F76BB" w:rsidRDefault="000E0C97" w:rsidP="000E0C97">
      <w:pPr>
        <w:pStyle w:val="Textoindependiente"/>
        <w:numPr>
          <w:ilvl w:val="0"/>
          <w:numId w:val="3"/>
        </w:numPr>
        <w:spacing w:line="480" w:lineRule="auto"/>
        <w:rPr>
          <w:rFonts w:ascii="Book Antiqua" w:hAnsi="Book Antiqua"/>
        </w:rPr>
      </w:pPr>
      <w:r w:rsidRPr="009F76BB">
        <w:rPr>
          <w:rFonts w:ascii="Book Antiqua" w:hAnsi="Book Antiqua"/>
        </w:rPr>
        <w:t xml:space="preserve">Enfermedades </w:t>
      </w:r>
      <w:proofErr w:type="gramStart"/>
      <w:r w:rsidRPr="009F76BB">
        <w:rPr>
          <w:rFonts w:ascii="Book Antiqua" w:hAnsi="Book Antiqua"/>
        </w:rPr>
        <w:t>Raras</w:t>
      </w:r>
      <w:r w:rsidRPr="009F76BB">
        <w:rPr>
          <w:rFonts w:ascii="Book Antiqua" w:hAnsi="Book Antiqua"/>
          <w:snapToGrid w:val="0"/>
        </w:rPr>
        <w:t>.–</w:t>
      </w:r>
      <w:proofErr w:type="gramEnd"/>
      <w:r>
        <w:rPr>
          <w:rFonts w:ascii="Book Antiqua" w:hAnsi="Book Antiqua"/>
          <w:snapToGrid w:val="0"/>
        </w:rPr>
        <w:t xml:space="preserve"> </w:t>
      </w:r>
      <w:r w:rsidRPr="009F76BB">
        <w:rPr>
          <w:rFonts w:ascii="Book Antiqua" w:hAnsi="Book Antiqua"/>
        </w:rPr>
        <w:t>Significará aquellas condiciones de salud reconocidas por la “</w:t>
      </w:r>
      <w:r w:rsidRPr="009F76BB">
        <w:rPr>
          <w:rFonts w:ascii="Book Antiqua" w:hAnsi="Book Antiqua"/>
          <w:i/>
          <w:iCs/>
        </w:rPr>
        <w:t xml:space="preserve">Office </w:t>
      </w:r>
      <w:proofErr w:type="spellStart"/>
      <w:r w:rsidRPr="009F76BB">
        <w:rPr>
          <w:rFonts w:ascii="Book Antiqua" w:hAnsi="Book Antiqua"/>
          <w:i/>
          <w:iCs/>
        </w:rPr>
        <w:t>of</w:t>
      </w:r>
      <w:proofErr w:type="spellEnd"/>
      <w:r w:rsidRPr="009F76BB">
        <w:rPr>
          <w:rFonts w:ascii="Book Antiqua" w:hAnsi="Book Antiqua"/>
          <w:i/>
          <w:iCs/>
        </w:rPr>
        <w:t xml:space="preserve"> Rare </w:t>
      </w:r>
      <w:proofErr w:type="spellStart"/>
      <w:r w:rsidRPr="009F76BB">
        <w:rPr>
          <w:rFonts w:ascii="Book Antiqua" w:hAnsi="Book Antiqua"/>
          <w:i/>
          <w:iCs/>
        </w:rPr>
        <w:t>Diseases</w:t>
      </w:r>
      <w:proofErr w:type="spellEnd"/>
      <w:r w:rsidRPr="009F76BB">
        <w:rPr>
          <w:rFonts w:ascii="Book Antiqua" w:hAnsi="Book Antiqua"/>
          <w:i/>
          <w:iCs/>
        </w:rPr>
        <w:t xml:space="preserve"> </w:t>
      </w:r>
      <w:proofErr w:type="spellStart"/>
      <w:r w:rsidRPr="009F76BB">
        <w:rPr>
          <w:rFonts w:ascii="Book Antiqua" w:hAnsi="Book Antiqua"/>
          <w:i/>
          <w:iCs/>
        </w:rPr>
        <w:t>Research</w:t>
      </w:r>
      <w:proofErr w:type="spellEnd"/>
      <w:r w:rsidRPr="009F76BB">
        <w:rPr>
          <w:rFonts w:ascii="Book Antiqua" w:hAnsi="Book Antiqua"/>
        </w:rPr>
        <w:t>” a través del “</w:t>
      </w:r>
      <w:proofErr w:type="spellStart"/>
      <w:r w:rsidRPr="009F76BB">
        <w:rPr>
          <w:rFonts w:ascii="Book Antiqua" w:hAnsi="Book Antiqua"/>
          <w:i/>
          <w:iCs/>
        </w:rPr>
        <w:t>Genetic</w:t>
      </w:r>
      <w:proofErr w:type="spellEnd"/>
      <w:r w:rsidRPr="009F76BB">
        <w:rPr>
          <w:rFonts w:ascii="Book Antiqua" w:hAnsi="Book Antiqua"/>
          <w:i/>
          <w:iCs/>
        </w:rPr>
        <w:t xml:space="preserve"> and Rare </w:t>
      </w:r>
      <w:proofErr w:type="spellStart"/>
      <w:r w:rsidRPr="009F76BB">
        <w:rPr>
          <w:rFonts w:ascii="Book Antiqua" w:hAnsi="Book Antiqua"/>
          <w:i/>
          <w:iCs/>
        </w:rPr>
        <w:t>Diseases</w:t>
      </w:r>
      <w:proofErr w:type="spellEnd"/>
      <w:r w:rsidRPr="009F76BB">
        <w:rPr>
          <w:rFonts w:ascii="Book Antiqua" w:hAnsi="Book Antiqua"/>
          <w:i/>
          <w:iCs/>
        </w:rPr>
        <w:t xml:space="preserve"> </w:t>
      </w:r>
      <w:proofErr w:type="spellStart"/>
      <w:r w:rsidRPr="009F76BB">
        <w:rPr>
          <w:rFonts w:ascii="Book Antiqua" w:hAnsi="Book Antiqua"/>
          <w:i/>
          <w:iCs/>
        </w:rPr>
        <w:t>Information</w:t>
      </w:r>
      <w:proofErr w:type="spellEnd"/>
      <w:r w:rsidRPr="009F76BB">
        <w:rPr>
          <w:rFonts w:ascii="Book Antiqua" w:hAnsi="Book Antiqua"/>
          <w:i/>
          <w:iCs/>
        </w:rPr>
        <w:t xml:space="preserve"> Center</w:t>
      </w:r>
      <w:r w:rsidRPr="009F76BB">
        <w:rPr>
          <w:rFonts w:ascii="Book Antiqua" w:hAnsi="Book Antiqua"/>
        </w:rPr>
        <w:t xml:space="preserve">”. </w:t>
      </w:r>
    </w:p>
    <w:p w14:paraId="1EFCF4B1" w14:textId="77777777" w:rsidR="000E0C97" w:rsidRPr="009F76BB" w:rsidRDefault="000E0C97" w:rsidP="000E0C97">
      <w:pPr>
        <w:pStyle w:val="Textoindependiente"/>
        <w:numPr>
          <w:ilvl w:val="0"/>
          <w:numId w:val="3"/>
        </w:numPr>
        <w:spacing w:line="480" w:lineRule="auto"/>
        <w:rPr>
          <w:rFonts w:ascii="Book Antiqua" w:hAnsi="Book Antiqua"/>
        </w:rPr>
      </w:pPr>
      <w:r w:rsidRPr="009F76BB">
        <w:rPr>
          <w:rFonts w:ascii="Book Antiqua" w:hAnsi="Book Antiqua"/>
        </w:rPr>
        <w:t xml:space="preserve">Oficina </w:t>
      </w:r>
      <w:proofErr w:type="gramStart"/>
      <w:r w:rsidRPr="009F76BB">
        <w:rPr>
          <w:rFonts w:ascii="Book Antiqua" w:hAnsi="Book Antiqua"/>
        </w:rPr>
        <w:t>Enlace</w:t>
      </w:r>
      <w:r w:rsidRPr="009F76BB">
        <w:rPr>
          <w:rFonts w:ascii="Book Antiqua" w:hAnsi="Book Antiqua"/>
          <w:snapToGrid w:val="0"/>
        </w:rPr>
        <w:t>.–</w:t>
      </w:r>
      <w:proofErr w:type="gramEnd"/>
      <w:r w:rsidRPr="009F76BB">
        <w:t xml:space="preserve"> </w:t>
      </w:r>
      <w:r w:rsidRPr="009F76BB">
        <w:rPr>
          <w:rFonts w:ascii="Book Antiqua" w:hAnsi="Book Antiqua"/>
        </w:rPr>
        <w:t>Significará la Oficina Enlace para el Apoyo y Registro de las Personas con Enfermedades Raras, adscrita al Departamento de Salud de Puerto Rico, encargada del registro, apoyo, orientación y coordinación de servicios para personas con enfermedades raras.</w:t>
      </w:r>
    </w:p>
    <w:p w14:paraId="6943EABD" w14:textId="77777777" w:rsidR="000E0C97" w:rsidRPr="009F76BB" w:rsidRDefault="000E0C97" w:rsidP="000E0C97">
      <w:pPr>
        <w:pStyle w:val="Textoindependiente"/>
        <w:numPr>
          <w:ilvl w:val="0"/>
          <w:numId w:val="3"/>
        </w:numPr>
        <w:spacing w:line="480" w:lineRule="auto"/>
        <w:rPr>
          <w:rFonts w:ascii="Book Antiqua" w:hAnsi="Book Antiqua"/>
        </w:rPr>
      </w:pPr>
      <w:r w:rsidRPr="009F76BB">
        <w:rPr>
          <w:rFonts w:ascii="Book Antiqua" w:hAnsi="Book Antiqua"/>
        </w:rPr>
        <w:t xml:space="preserve">Registro Oficial de Enfermedades </w:t>
      </w:r>
      <w:proofErr w:type="gramStart"/>
      <w:r w:rsidRPr="009F76BB">
        <w:rPr>
          <w:rFonts w:ascii="Book Antiqua" w:hAnsi="Book Antiqua"/>
        </w:rPr>
        <w:t>Raras.-</w:t>
      </w:r>
      <w:proofErr w:type="gramEnd"/>
      <w:r>
        <w:rPr>
          <w:rFonts w:ascii="Book Antiqua" w:hAnsi="Book Antiqua"/>
        </w:rPr>
        <w:t xml:space="preserve"> </w:t>
      </w:r>
      <w:r w:rsidRPr="009F76BB">
        <w:rPr>
          <w:rFonts w:ascii="Book Antiqua" w:hAnsi="Book Antiqua"/>
        </w:rPr>
        <w:t>Significará Base de datos administrada por la Oficina Enlace con información actualizada de los pacientes con enfermedades raras en Puerto Rico.</w:t>
      </w:r>
    </w:p>
    <w:p w14:paraId="6D913697" w14:textId="77777777" w:rsidR="000E0C97" w:rsidRPr="009F76BB" w:rsidRDefault="000E0C97" w:rsidP="000E0C97">
      <w:pPr>
        <w:pStyle w:val="Textoindependiente"/>
        <w:numPr>
          <w:ilvl w:val="0"/>
          <w:numId w:val="3"/>
        </w:numPr>
        <w:spacing w:line="480" w:lineRule="auto"/>
        <w:rPr>
          <w:rFonts w:ascii="Book Antiqua" w:hAnsi="Book Antiqua"/>
        </w:rPr>
      </w:pPr>
      <w:r w:rsidRPr="009F76BB">
        <w:rPr>
          <w:rFonts w:ascii="Book Antiqua" w:hAnsi="Book Antiqua"/>
        </w:rPr>
        <w:t xml:space="preserve">Medicamentos </w:t>
      </w:r>
      <w:proofErr w:type="gramStart"/>
      <w:r w:rsidRPr="009F76BB">
        <w:rPr>
          <w:rFonts w:ascii="Book Antiqua" w:hAnsi="Book Antiqua"/>
        </w:rPr>
        <w:t>Huérfanos</w:t>
      </w:r>
      <w:r w:rsidRPr="009F76BB">
        <w:rPr>
          <w:rFonts w:ascii="Book Antiqua" w:hAnsi="Book Antiqua"/>
          <w:snapToGrid w:val="0"/>
        </w:rPr>
        <w:t>.–</w:t>
      </w:r>
      <w:proofErr w:type="gramEnd"/>
      <w:r>
        <w:rPr>
          <w:rFonts w:ascii="Book Antiqua" w:hAnsi="Book Antiqua"/>
          <w:snapToGrid w:val="0"/>
        </w:rPr>
        <w:t xml:space="preserve"> </w:t>
      </w:r>
      <w:r w:rsidRPr="009F76BB">
        <w:rPr>
          <w:rFonts w:ascii="Book Antiqua" w:hAnsi="Book Antiqua"/>
        </w:rPr>
        <w:t>Significará</w:t>
      </w:r>
      <w:r w:rsidRPr="009F76BB">
        <w:rPr>
          <w:rFonts w:ascii="Book Antiqua" w:hAnsi="Book Antiqua"/>
          <w:snapToGrid w:val="0"/>
        </w:rPr>
        <w:t xml:space="preserve"> </w:t>
      </w:r>
      <w:r w:rsidRPr="009F76BB">
        <w:rPr>
          <w:rFonts w:ascii="Book Antiqua" w:hAnsi="Book Antiqua"/>
        </w:rPr>
        <w:t xml:space="preserve">aquellos fármacos o productos biológicos destinados a prevenir, diagnosticar o tratar enfermedades raras, cuya baja prevalencia limita su desarrollo e inversión. Se consideran tales aquellos reconocidos por la </w:t>
      </w:r>
      <w:r w:rsidRPr="009F76BB">
        <w:rPr>
          <w:rFonts w:ascii="Book Antiqua" w:hAnsi="Book Antiqua"/>
          <w:smallCaps/>
        </w:rPr>
        <w:t xml:space="preserve">Federal </w:t>
      </w:r>
      <w:proofErr w:type="spellStart"/>
      <w:r w:rsidRPr="009F76BB">
        <w:rPr>
          <w:rFonts w:ascii="Book Antiqua" w:hAnsi="Book Antiqua"/>
          <w:smallCaps/>
        </w:rPr>
        <w:t>Food</w:t>
      </w:r>
      <w:proofErr w:type="spellEnd"/>
      <w:r w:rsidRPr="009F76BB">
        <w:rPr>
          <w:rFonts w:ascii="Book Antiqua" w:hAnsi="Book Antiqua"/>
          <w:smallCaps/>
        </w:rPr>
        <w:t xml:space="preserve">, </w:t>
      </w:r>
      <w:proofErr w:type="spellStart"/>
      <w:r w:rsidRPr="009F76BB">
        <w:rPr>
          <w:rFonts w:ascii="Book Antiqua" w:hAnsi="Book Antiqua"/>
          <w:smallCaps/>
        </w:rPr>
        <w:t>Drug</w:t>
      </w:r>
      <w:proofErr w:type="spellEnd"/>
      <w:r w:rsidRPr="009F76BB">
        <w:rPr>
          <w:rFonts w:ascii="Book Antiqua" w:hAnsi="Book Antiqua"/>
          <w:smallCaps/>
        </w:rPr>
        <w:t xml:space="preserve">, and </w:t>
      </w:r>
      <w:proofErr w:type="spellStart"/>
      <w:r w:rsidRPr="009F76BB">
        <w:rPr>
          <w:rFonts w:ascii="Book Antiqua" w:hAnsi="Book Antiqua"/>
          <w:smallCaps/>
        </w:rPr>
        <w:t>Cosmetic</w:t>
      </w:r>
      <w:proofErr w:type="spellEnd"/>
      <w:r w:rsidRPr="009F76BB">
        <w:rPr>
          <w:rFonts w:ascii="Book Antiqua" w:hAnsi="Book Antiqua"/>
          <w:smallCaps/>
        </w:rPr>
        <w:t xml:space="preserve"> </w:t>
      </w:r>
      <w:proofErr w:type="spellStart"/>
      <w:r w:rsidRPr="009F76BB">
        <w:rPr>
          <w:rFonts w:ascii="Book Antiqua" w:hAnsi="Book Antiqua"/>
          <w:smallCaps/>
        </w:rPr>
        <w:t>Act</w:t>
      </w:r>
      <w:proofErr w:type="spellEnd"/>
      <w:r w:rsidRPr="009F76BB">
        <w:rPr>
          <w:rFonts w:ascii="Book Antiqua" w:hAnsi="Book Antiqua"/>
          <w:smallCaps/>
        </w:rPr>
        <w:t>, 21 U.S.C. §§ 301-399 (1938)</w:t>
      </w:r>
      <w:r w:rsidRPr="009F76BB">
        <w:rPr>
          <w:rFonts w:ascii="Book Antiqua" w:hAnsi="Book Antiqua"/>
        </w:rPr>
        <w:t xml:space="preserve"> y la </w:t>
      </w:r>
      <w:proofErr w:type="spellStart"/>
      <w:r w:rsidRPr="009F76BB">
        <w:rPr>
          <w:rFonts w:ascii="Book Antiqua" w:hAnsi="Book Antiqua"/>
          <w:smallCaps/>
        </w:rPr>
        <w:t>Orphan</w:t>
      </w:r>
      <w:proofErr w:type="spellEnd"/>
      <w:r w:rsidRPr="009F76BB">
        <w:rPr>
          <w:rFonts w:ascii="Book Antiqua" w:hAnsi="Book Antiqua"/>
          <w:smallCaps/>
        </w:rPr>
        <w:t xml:space="preserve"> </w:t>
      </w:r>
      <w:proofErr w:type="spellStart"/>
      <w:r w:rsidRPr="009F76BB">
        <w:rPr>
          <w:rFonts w:ascii="Book Antiqua" w:hAnsi="Book Antiqua"/>
          <w:smallCaps/>
        </w:rPr>
        <w:t>Drug</w:t>
      </w:r>
      <w:proofErr w:type="spellEnd"/>
      <w:r w:rsidRPr="009F76BB">
        <w:rPr>
          <w:rFonts w:ascii="Book Antiqua" w:hAnsi="Book Antiqua"/>
          <w:smallCaps/>
        </w:rPr>
        <w:t xml:space="preserve"> </w:t>
      </w:r>
      <w:proofErr w:type="spellStart"/>
      <w:r w:rsidRPr="009F76BB">
        <w:rPr>
          <w:rFonts w:ascii="Book Antiqua" w:hAnsi="Book Antiqua"/>
          <w:smallCaps/>
        </w:rPr>
        <w:t>Act</w:t>
      </w:r>
      <w:proofErr w:type="spellEnd"/>
      <w:r w:rsidRPr="009F76BB">
        <w:rPr>
          <w:rFonts w:ascii="Book Antiqua" w:hAnsi="Book Antiqua"/>
          <w:smallCaps/>
        </w:rPr>
        <w:t>, 21 U.S.C. §§ 360aa-360ff (1983</w:t>
      </w:r>
      <w:r w:rsidRPr="009F76BB">
        <w:rPr>
          <w:rFonts w:ascii="Book Antiqua" w:hAnsi="Book Antiqua"/>
        </w:rPr>
        <w:t>).</w:t>
      </w:r>
    </w:p>
    <w:p w14:paraId="76E82834" w14:textId="77777777" w:rsidR="000E0C97" w:rsidRPr="009F76BB" w:rsidRDefault="000E0C97" w:rsidP="000E0C97">
      <w:pPr>
        <w:pStyle w:val="Textoindependiente"/>
        <w:spacing w:line="480" w:lineRule="auto"/>
        <w:ind w:firstLine="360"/>
        <w:rPr>
          <w:rFonts w:ascii="Book Antiqua" w:hAnsi="Book Antiqua"/>
        </w:rPr>
      </w:pPr>
      <w:bookmarkStart w:id="5" w:name="_Hlk189832381"/>
      <w:r w:rsidRPr="009F76BB">
        <w:rPr>
          <w:rFonts w:ascii="Book Antiqua" w:hAnsi="Book Antiqua"/>
        </w:rPr>
        <w:lastRenderedPageBreak/>
        <w:t xml:space="preserve">Artículo 5.-Dirección y Organización. </w:t>
      </w:r>
    </w:p>
    <w:p w14:paraId="435B3BB7"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 xml:space="preserve">La Oficina Enlace estará dirigida por un </w:t>
      </w:r>
      <w:proofErr w:type="gramStart"/>
      <w:r w:rsidRPr="009F76BB">
        <w:rPr>
          <w:rFonts w:ascii="Book Antiqua" w:hAnsi="Book Antiqua"/>
        </w:rPr>
        <w:t>Director Ejecutivo</w:t>
      </w:r>
      <w:proofErr w:type="gramEnd"/>
      <w:r w:rsidRPr="009F76BB">
        <w:rPr>
          <w:rFonts w:ascii="Book Antiqua" w:hAnsi="Book Antiqua"/>
        </w:rPr>
        <w:t xml:space="preserve">, quien será nombrado por el Secretario del Departamento de Salud de Puerto Rico. El </w:t>
      </w:r>
      <w:proofErr w:type="gramStart"/>
      <w:r w:rsidRPr="009F76BB">
        <w:rPr>
          <w:rFonts w:ascii="Book Antiqua" w:hAnsi="Book Antiqua"/>
        </w:rPr>
        <w:t>Director Ejecutivo</w:t>
      </w:r>
      <w:proofErr w:type="gramEnd"/>
      <w:r w:rsidRPr="009F76BB">
        <w:rPr>
          <w:rFonts w:ascii="Book Antiqua" w:hAnsi="Book Antiqua"/>
        </w:rPr>
        <w:t xml:space="preserve"> será responsable de la implementación y supervisión de las funciones de la Oficina, así como de la ejecución de las políticas y estrategias establecidas por el Comité Asesor. Asimismo, la Oficina Enlace contará con personal especializado en áreas como medicina, trabajo social, asesoramiento legal y funciones administrativas para garantizar el cumplimiento efectivo de sus funciones, conforme con las</w:t>
      </w:r>
      <w:r w:rsidRPr="009F76BB">
        <w:t xml:space="preserve"> </w:t>
      </w:r>
      <w:r w:rsidRPr="009F76BB">
        <w:rPr>
          <w:rFonts w:ascii="Book Antiqua" w:hAnsi="Book Antiqua"/>
        </w:rPr>
        <w:t>cartas circulares, reglas, reglamentos, normas y procedimientos vigentes en el Departamento de Salud.</w:t>
      </w:r>
    </w:p>
    <w:p w14:paraId="1E0EB9D1"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Artículo 6.-</w:t>
      </w:r>
      <w:r w:rsidRPr="009F76BB">
        <w:t xml:space="preserve"> </w:t>
      </w:r>
      <w:r w:rsidRPr="009F76BB">
        <w:rPr>
          <w:rFonts w:ascii="Book Antiqua" w:hAnsi="Book Antiqua"/>
        </w:rPr>
        <w:t>Funciones y Responsabilidades de la Oficina Enlace.</w:t>
      </w:r>
    </w:p>
    <w:p w14:paraId="35FB54B4"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La Oficina Enlace tendrá las siguientes funciones y responsabilidades:</w:t>
      </w:r>
    </w:p>
    <w:p w14:paraId="05ED45B3" w14:textId="77777777" w:rsidR="000E0C97" w:rsidRPr="009F76BB" w:rsidRDefault="000E0C97" w:rsidP="000E0C97">
      <w:pPr>
        <w:pStyle w:val="Textoindependiente"/>
        <w:numPr>
          <w:ilvl w:val="0"/>
          <w:numId w:val="4"/>
        </w:numPr>
        <w:spacing w:line="480" w:lineRule="auto"/>
        <w:rPr>
          <w:rFonts w:ascii="Book Antiqua" w:hAnsi="Book Antiqua"/>
        </w:rPr>
      </w:pPr>
      <w:r w:rsidRPr="009F76BB">
        <w:rPr>
          <w:rFonts w:ascii="Book Antiqua" w:hAnsi="Book Antiqua"/>
        </w:rPr>
        <w:t>Asesorar al secretario del Departamento de Salud en el diseño, implementación y evaluación de políticas públicas y estrategias dirigidas a mejorar la prevención, diagnóstico, tratamiento y calidad de vida de las personas con enfermedades raras en Puerto Rico</w:t>
      </w:r>
    </w:p>
    <w:p w14:paraId="7A97A25D" w14:textId="77777777" w:rsidR="000E0C97" w:rsidRPr="009F76BB" w:rsidRDefault="000E0C97" w:rsidP="000E0C97">
      <w:pPr>
        <w:pStyle w:val="Textoindependiente"/>
        <w:numPr>
          <w:ilvl w:val="0"/>
          <w:numId w:val="4"/>
        </w:numPr>
        <w:spacing w:line="480" w:lineRule="auto"/>
        <w:rPr>
          <w:rFonts w:ascii="Book Antiqua" w:hAnsi="Book Antiqua"/>
        </w:rPr>
      </w:pPr>
      <w:r w:rsidRPr="009F76BB">
        <w:rPr>
          <w:rFonts w:ascii="Book Antiqua" w:hAnsi="Book Antiqua"/>
        </w:rPr>
        <w:t>Crear y mantener un Registro Oficial de Enfermedades Raras de las personas diagnosticadas con enfermedades raras en Puerto Rico;</w:t>
      </w:r>
    </w:p>
    <w:p w14:paraId="263CCEC9" w14:textId="77777777" w:rsidR="000E0C97" w:rsidRPr="009F76BB" w:rsidRDefault="000E0C97" w:rsidP="000E0C97">
      <w:pPr>
        <w:pStyle w:val="Textoindependiente"/>
        <w:numPr>
          <w:ilvl w:val="0"/>
          <w:numId w:val="4"/>
        </w:numPr>
        <w:spacing w:line="480" w:lineRule="auto"/>
        <w:rPr>
          <w:rFonts w:ascii="Book Antiqua" w:hAnsi="Book Antiqua"/>
        </w:rPr>
      </w:pPr>
      <w:r w:rsidRPr="009F76BB">
        <w:rPr>
          <w:rFonts w:ascii="Book Antiqua" w:hAnsi="Book Antiqua"/>
        </w:rPr>
        <w:t>Facilitar el acceso a servicios médicos especializados, terapias y medicamentos huérfanos;</w:t>
      </w:r>
    </w:p>
    <w:p w14:paraId="05D5B862" w14:textId="77777777" w:rsidR="000E0C97" w:rsidRPr="009F76BB" w:rsidRDefault="000E0C97" w:rsidP="000E0C97">
      <w:pPr>
        <w:pStyle w:val="Textoindependiente"/>
        <w:numPr>
          <w:ilvl w:val="0"/>
          <w:numId w:val="4"/>
        </w:numPr>
        <w:spacing w:line="480" w:lineRule="auto"/>
        <w:rPr>
          <w:rFonts w:ascii="Book Antiqua" w:hAnsi="Book Antiqua"/>
        </w:rPr>
      </w:pPr>
      <w:r w:rsidRPr="009F76BB">
        <w:rPr>
          <w:rFonts w:ascii="Book Antiqua" w:hAnsi="Book Antiqua"/>
        </w:rPr>
        <w:t>Proveer orientación a pacientes, familias y profesionales de la salud sobre enfermedades raras y sus tratamientos disponibles;</w:t>
      </w:r>
    </w:p>
    <w:p w14:paraId="730F4664" w14:textId="77777777" w:rsidR="000E0C97" w:rsidRPr="009F76BB" w:rsidRDefault="000E0C97" w:rsidP="000E0C97">
      <w:pPr>
        <w:pStyle w:val="Textoindependiente"/>
        <w:numPr>
          <w:ilvl w:val="0"/>
          <w:numId w:val="4"/>
        </w:numPr>
        <w:spacing w:line="480" w:lineRule="auto"/>
        <w:rPr>
          <w:rFonts w:ascii="Book Antiqua" w:hAnsi="Book Antiqua"/>
        </w:rPr>
      </w:pPr>
      <w:r w:rsidRPr="009F76BB">
        <w:rPr>
          <w:rFonts w:ascii="Book Antiqua" w:hAnsi="Book Antiqua"/>
        </w:rPr>
        <w:lastRenderedPageBreak/>
        <w:t>Establecer acuerdos de cooperación con centros de investigación, universidades y hospitales especializados dentro y fuera de Puerto Rico;</w:t>
      </w:r>
    </w:p>
    <w:p w14:paraId="2C0C4C69" w14:textId="77777777" w:rsidR="000E0C97" w:rsidRPr="009F76BB" w:rsidRDefault="000E0C97" w:rsidP="000E0C97">
      <w:pPr>
        <w:pStyle w:val="Textoindependiente"/>
        <w:numPr>
          <w:ilvl w:val="0"/>
          <w:numId w:val="4"/>
        </w:numPr>
        <w:spacing w:line="480" w:lineRule="auto"/>
        <w:rPr>
          <w:rFonts w:ascii="Book Antiqua" w:hAnsi="Book Antiqua"/>
        </w:rPr>
      </w:pPr>
      <w:r w:rsidRPr="009F76BB">
        <w:rPr>
          <w:rFonts w:ascii="Book Antiqua" w:hAnsi="Book Antiqua"/>
        </w:rPr>
        <w:t>Fomentar el desarrollo de estudios científicos y clínicos sobre enfermedades raras en la Isla;</w:t>
      </w:r>
    </w:p>
    <w:p w14:paraId="6EDC2924" w14:textId="77777777" w:rsidR="000E0C97" w:rsidRPr="009F76BB" w:rsidRDefault="000E0C97" w:rsidP="000E0C97">
      <w:pPr>
        <w:pStyle w:val="Textoindependiente"/>
        <w:numPr>
          <w:ilvl w:val="0"/>
          <w:numId w:val="4"/>
        </w:numPr>
        <w:spacing w:line="480" w:lineRule="auto"/>
        <w:rPr>
          <w:rFonts w:ascii="Book Antiqua" w:hAnsi="Book Antiqua"/>
        </w:rPr>
      </w:pPr>
      <w:r w:rsidRPr="009F76BB">
        <w:rPr>
          <w:rFonts w:ascii="Book Antiqua" w:hAnsi="Book Antiqua"/>
        </w:rPr>
        <w:t>Desarrollar programas de apoyo y asistencia económica, social y psicológica para pacientes y sus cuidadores; y</w:t>
      </w:r>
    </w:p>
    <w:p w14:paraId="0F23317C" w14:textId="77777777" w:rsidR="000E0C97" w:rsidRPr="009F76BB" w:rsidRDefault="000E0C97" w:rsidP="000E0C97">
      <w:pPr>
        <w:pStyle w:val="Textoindependiente"/>
        <w:numPr>
          <w:ilvl w:val="0"/>
          <w:numId w:val="4"/>
        </w:numPr>
        <w:spacing w:line="480" w:lineRule="auto"/>
        <w:rPr>
          <w:rFonts w:ascii="Book Antiqua" w:hAnsi="Book Antiqua"/>
        </w:rPr>
      </w:pPr>
      <w:r w:rsidRPr="009F76BB">
        <w:rPr>
          <w:rFonts w:ascii="Book Antiqua" w:hAnsi="Book Antiqua"/>
        </w:rPr>
        <w:t>Implementar campañas educativas para sensibilizar a la sociedad sobre el impacto de las enfermedades raras y la importancia de su reconocimiento y atención.</w:t>
      </w:r>
    </w:p>
    <w:p w14:paraId="542E08A2"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 xml:space="preserve">Artículo 7.- Registro Oficial de Enfermedades Raras. </w:t>
      </w:r>
    </w:p>
    <w:p w14:paraId="050E1D99"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La Oficina Enlace establecerá y administrará un Registro Oficial de Enfermedades Raras en Puerto Rico, el cual contendrá información detallada y actualizada sobre los pacientes diagnosticados con estas condiciones. El Registro Oficial será utilizado para la planificación y ejecución de estrategias de salud pública, así como para la coordinación de investigaciones científicas y el desarrollo de políticas de apoyo a los pacientes.</w:t>
      </w:r>
    </w:p>
    <w:p w14:paraId="09923BE5"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 xml:space="preserve">Artículo 8.- Confidencialidad de la Información. </w:t>
      </w:r>
    </w:p>
    <w:p w14:paraId="4A107457"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La recopilación y uso de datos en el Registro Oficial estará sujeto a estrictas normas de confidencialidad y protección de datos personales, en conformidad con la legislación vigente.</w:t>
      </w:r>
    </w:p>
    <w:p w14:paraId="744C17A0"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 xml:space="preserve">Artículo 9.- Comité Asesor. </w:t>
      </w:r>
    </w:p>
    <w:p w14:paraId="26335627"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lastRenderedPageBreak/>
        <w:t>Se establecerá un Comité Asesor sobre Enfermedades Raras, el cual estará compuesto por cinco (5) miembros:</w:t>
      </w:r>
    </w:p>
    <w:p w14:paraId="1A7CE7EB" w14:textId="77777777" w:rsidR="000E0C97" w:rsidRPr="009F76BB" w:rsidRDefault="000E0C97" w:rsidP="000E0C97">
      <w:pPr>
        <w:pStyle w:val="Textoindependiente"/>
        <w:numPr>
          <w:ilvl w:val="0"/>
          <w:numId w:val="5"/>
        </w:numPr>
        <w:spacing w:line="480" w:lineRule="auto"/>
        <w:ind w:firstLine="360"/>
        <w:rPr>
          <w:rFonts w:ascii="Book Antiqua" w:hAnsi="Book Antiqua"/>
        </w:rPr>
      </w:pPr>
      <w:r w:rsidRPr="009F76BB">
        <w:rPr>
          <w:rFonts w:ascii="Book Antiqua" w:hAnsi="Book Antiqua"/>
        </w:rPr>
        <w:t xml:space="preserve">El secretario del Departamento de Salud, quien presidirá el Comité Asesor;  </w:t>
      </w:r>
    </w:p>
    <w:p w14:paraId="44D9DC5E" w14:textId="77777777" w:rsidR="000E0C97" w:rsidRPr="009F76BB" w:rsidRDefault="000E0C97" w:rsidP="000E0C97">
      <w:pPr>
        <w:pStyle w:val="Textoindependiente"/>
        <w:numPr>
          <w:ilvl w:val="0"/>
          <w:numId w:val="5"/>
        </w:numPr>
        <w:spacing w:line="480" w:lineRule="auto"/>
        <w:ind w:firstLine="360"/>
        <w:rPr>
          <w:rFonts w:ascii="Book Antiqua" w:hAnsi="Book Antiqua"/>
        </w:rPr>
      </w:pPr>
      <w:r w:rsidRPr="009F76BB">
        <w:rPr>
          <w:rFonts w:ascii="Book Antiqua" w:hAnsi="Book Antiqua"/>
        </w:rPr>
        <w:t xml:space="preserve">Un (1) genetista; </w:t>
      </w:r>
    </w:p>
    <w:p w14:paraId="74E7CC40" w14:textId="77777777" w:rsidR="000E0C97" w:rsidRPr="009F76BB" w:rsidRDefault="000E0C97" w:rsidP="000E0C97">
      <w:pPr>
        <w:pStyle w:val="Textoindependiente"/>
        <w:numPr>
          <w:ilvl w:val="0"/>
          <w:numId w:val="5"/>
        </w:numPr>
        <w:spacing w:line="480" w:lineRule="auto"/>
        <w:ind w:firstLine="360"/>
        <w:rPr>
          <w:rFonts w:ascii="Book Antiqua" w:hAnsi="Book Antiqua"/>
        </w:rPr>
      </w:pPr>
      <w:r w:rsidRPr="009F76BB">
        <w:rPr>
          <w:rFonts w:ascii="Book Antiqua" w:hAnsi="Book Antiqua"/>
        </w:rPr>
        <w:t>Un (1) representante de organizaciones de pacientes;</w:t>
      </w:r>
    </w:p>
    <w:p w14:paraId="7B93A5BD" w14:textId="77777777" w:rsidR="000E0C97" w:rsidRPr="009F76BB" w:rsidRDefault="000E0C97" w:rsidP="000E0C97">
      <w:pPr>
        <w:pStyle w:val="Textoindependiente"/>
        <w:numPr>
          <w:ilvl w:val="1"/>
          <w:numId w:val="5"/>
        </w:numPr>
        <w:spacing w:line="480" w:lineRule="auto"/>
        <w:rPr>
          <w:rFonts w:ascii="Book Antiqua" w:hAnsi="Book Antiqua"/>
        </w:rPr>
      </w:pPr>
      <w:r w:rsidRPr="009F76BB">
        <w:rPr>
          <w:rFonts w:ascii="Book Antiqua" w:hAnsi="Book Antiqua"/>
        </w:rPr>
        <w:t xml:space="preserve">Un (1) académico con experiencia en investigación o políticas de salud pública; y </w:t>
      </w:r>
    </w:p>
    <w:p w14:paraId="6A4A327A" w14:textId="77777777" w:rsidR="000E0C97" w:rsidRPr="009F76BB" w:rsidRDefault="000E0C97" w:rsidP="000E0C97">
      <w:pPr>
        <w:pStyle w:val="Textoindependiente"/>
        <w:numPr>
          <w:ilvl w:val="1"/>
          <w:numId w:val="5"/>
        </w:numPr>
        <w:spacing w:line="480" w:lineRule="auto"/>
        <w:rPr>
          <w:rFonts w:ascii="Book Antiqua" w:hAnsi="Book Antiqua"/>
        </w:rPr>
      </w:pPr>
      <w:r w:rsidRPr="009F76BB">
        <w:rPr>
          <w:rFonts w:ascii="Book Antiqua" w:hAnsi="Book Antiqua"/>
        </w:rPr>
        <w:t>Un (1) profesional de la salud con experiencia en el manejo clínico de enfermedades raras.</w:t>
      </w:r>
    </w:p>
    <w:p w14:paraId="3B7F6509"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El Comité tendrá la responsabilidad de asesorar al Departamento de Salud en el diseño, implementación y evaluación de políticas públicas y estrategias dirigidas a mejorar la prevención, diagnóstico, tratamiento y calidad de vida de las personas con enfermedades raras en Puerto Rico. Asimismo, podrá emitir recomendaciones para la adopción de nuevas medidas o programas que fortalezcan la atención y los derechos de estos pacientes.</w:t>
      </w:r>
    </w:p>
    <w:p w14:paraId="2153E7A2"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Artículo 10.-</w:t>
      </w:r>
      <w:r w:rsidRPr="009F76BB">
        <w:t xml:space="preserve"> </w:t>
      </w:r>
      <w:r w:rsidRPr="009F76BB">
        <w:rPr>
          <w:rFonts w:ascii="Book Antiqua" w:hAnsi="Book Antiqua"/>
        </w:rPr>
        <w:t xml:space="preserve">Financiamiento. </w:t>
      </w:r>
    </w:p>
    <w:p w14:paraId="2AE9F1C4"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La Oficina Enlace será financiada mediante asignaciones presupuestarias</w:t>
      </w:r>
      <w:r>
        <w:rPr>
          <w:rFonts w:ascii="Book Antiqua" w:hAnsi="Book Antiqua"/>
        </w:rPr>
        <w:t xml:space="preserve"> </w:t>
      </w:r>
      <w:r w:rsidRPr="009F76BB">
        <w:rPr>
          <w:rFonts w:ascii="Book Antiqua" w:hAnsi="Book Antiqua"/>
        </w:rPr>
        <w:t xml:space="preserve">del Departamento de Salud. </w:t>
      </w:r>
    </w:p>
    <w:p w14:paraId="6BECC3B8"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Artículo 11.-</w:t>
      </w:r>
      <w:r w:rsidRPr="009F76BB">
        <w:t xml:space="preserve"> </w:t>
      </w:r>
      <w:r w:rsidRPr="009F76BB">
        <w:rPr>
          <w:rFonts w:ascii="Book Antiqua" w:hAnsi="Book Antiqua"/>
        </w:rPr>
        <w:t xml:space="preserve">Reglamentación. </w:t>
      </w:r>
    </w:p>
    <w:p w14:paraId="751D49AD"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lastRenderedPageBreak/>
        <w:t xml:space="preserve">El Departamento de Salud de Puerto Rico adoptará la reglamentación necesaria para la implementación efectiva de esta Ley en un término no mayor de ciento veinte (120) días a partir de su aprobación. </w:t>
      </w:r>
    </w:p>
    <w:p w14:paraId="7FA057F9"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Artículo 12.-Acuerdos Colaborativos.</w:t>
      </w:r>
    </w:p>
    <w:p w14:paraId="455BDB7A"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Con el propósito de garantizar el cumplimiento efectivo de las disposiciones de esta Ley, se faculta al Departamento de Salud a formalizar acuerdos colaborativos con otras entidades gubernamentales, según sea necesario, para viabilizar la implementación y ejecución de las medidas establecidas en la presente Ley.</w:t>
      </w:r>
    </w:p>
    <w:p w14:paraId="6FFFA013"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 xml:space="preserve">Artículo 13.- Cláusula de Separabilidad. </w:t>
      </w:r>
    </w:p>
    <w:p w14:paraId="3CACE10E"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4F429C25" w14:textId="77777777" w:rsidR="000E0C97" w:rsidRPr="009F76BB" w:rsidRDefault="000E0C97" w:rsidP="000E0C97">
      <w:pPr>
        <w:pStyle w:val="Textoindependiente"/>
        <w:spacing w:line="480" w:lineRule="auto"/>
        <w:ind w:firstLine="360"/>
        <w:rPr>
          <w:rFonts w:ascii="Book Antiqua" w:hAnsi="Book Antiqua"/>
        </w:rPr>
      </w:pPr>
      <w:r w:rsidRPr="009F76BB">
        <w:rPr>
          <w:rFonts w:ascii="Book Antiqua" w:hAnsi="Book Antiqua"/>
        </w:rPr>
        <w:lastRenderedPageBreak/>
        <w:t>Artículo 14.- Vigencia.</w:t>
      </w:r>
    </w:p>
    <w:p w14:paraId="2F72E411" w14:textId="1A420BA1" w:rsidR="0086165E" w:rsidRPr="006D6693" w:rsidRDefault="000E0C97" w:rsidP="000E0C97">
      <w:pPr>
        <w:pStyle w:val="Textoindependiente"/>
        <w:spacing w:line="480" w:lineRule="auto"/>
        <w:ind w:firstLine="360"/>
        <w:rPr>
          <w:rFonts w:ascii="Book Antiqua" w:hAnsi="Book Antiqua"/>
        </w:rPr>
      </w:pPr>
      <w:r w:rsidRPr="009F76BB">
        <w:rPr>
          <w:rFonts w:ascii="Book Antiqua" w:hAnsi="Book Antiqua"/>
        </w:rPr>
        <w:t>Esta Ley entrará en vigor inmediatamente después de su aprobación.</w:t>
      </w:r>
      <w:bookmarkEnd w:id="3"/>
      <w:bookmarkEnd w:id="5"/>
    </w:p>
    <w:sectPr w:rsidR="0086165E" w:rsidRPr="006D6693" w:rsidSect="006D6693">
      <w:footerReference w:type="default" r:id="rId11"/>
      <w:footerReference w:type="first" r:id="rId12"/>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62E2FA14-ED43-476B-9FB7-8AA512C3E475}"/>
    <w:embedBold r:id="rId2" w:fontKey="{12239958-74E9-42A9-8469-E51A24CC4873}"/>
    <w:embedItalic r:id="rId3" w:fontKey="{76CC0DD2-9AF2-4A42-81D2-F99219317251}"/>
  </w:font>
  <w:font w:name="Segoe UI">
    <w:panose1 w:val="020B0502040204020203"/>
    <w:charset w:val="00"/>
    <w:family w:val="swiss"/>
    <w:pitch w:val="variable"/>
    <w:sig w:usb0="E4002EFF" w:usb1="C000E47F" w:usb2="00000009" w:usb3="00000000" w:csb0="000001FF" w:csb1="00000000"/>
    <w:embedRegular r:id="rId4" w:fontKey="{C6171E31-DB07-42A9-B18E-DFB74F6144A9}"/>
  </w:font>
  <w:font w:name="Georgia">
    <w:panose1 w:val="02040502050405020303"/>
    <w:charset w:val="00"/>
    <w:family w:val="roman"/>
    <w:pitch w:val="variable"/>
    <w:sig w:usb0="00000287" w:usb1="00000000" w:usb2="00000000" w:usb3="00000000" w:csb0="0000009F" w:csb1="00000000"/>
    <w:embedRegular r:id="rId5" w:fontKey="{04FA3C96-92EB-44E9-A4E5-DBF69F85C673}"/>
    <w:embedItalic r:id="rId6" w:fontKey="{AD5418B9-E289-454E-A9A7-CF4232A1F9E6}"/>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73A55781-7667-4542-B7CE-5C3AD801A09C}"/>
    <w:embedItalic r:id="rId8" w:fontKey="{C5AE36EB-7A6D-451E-ADA8-7A486546C56B}"/>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B331E1FE-B519-4F30-B571-B4C2F9E1E84F}"/>
  </w:font>
  <w:font w:name="Calibri">
    <w:panose1 w:val="020F0502020204030204"/>
    <w:charset w:val="00"/>
    <w:family w:val="swiss"/>
    <w:pitch w:val="variable"/>
    <w:sig w:usb0="E4002EFF" w:usb1="C200247B" w:usb2="00000009" w:usb3="00000000" w:csb0="000001FF" w:csb1="00000000"/>
    <w:embedRegular r:id="rId10" w:fontKey="{E3C94C5B-DF72-43E7-B9FA-D862FD899AF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AD07"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BD06577" w14:textId="77777777">
      <w:trPr>
        <w:trHeight w:val="300"/>
      </w:trPr>
      <w:tc>
        <w:tcPr>
          <w:tcW w:w="3120" w:type="dxa"/>
          <w:tcMar>
            <w:top w:w="0" w:type="dxa"/>
            <w:left w:w="108" w:type="dxa"/>
            <w:bottom w:w="0" w:type="dxa"/>
            <w:right w:w="108" w:type="dxa"/>
          </w:tcMar>
        </w:tcPr>
        <w:p w14:paraId="6935C66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F0A183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14EEC69" w14:textId="77777777" w:rsidR="00FF2214" w:rsidRDefault="00FF2214">
          <w:pPr>
            <w:tabs>
              <w:tab w:val="center" w:pos="4320"/>
              <w:tab w:val="right" w:pos="8640"/>
            </w:tabs>
            <w:ind w:right="-115"/>
            <w:jc w:val="right"/>
            <w:rPr>
              <w:color w:val="000000"/>
            </w:rPr>
          </w:pPr>
        </w:p>
      </w:tc>
    </w:tr>
  </w:tbl>
  <w:p w14:paraId="64D16098"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2A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41450AD3" w14:textId="77777777">
      <w:trPr>
        <w:trHeight w:val="300"/>
      </w:trPr>
      <w:tc>
        <w:tcPr>
          <w:tcW w:w="3120" w:type="dxa"/>
          <w:tcMar>
            <w:top w:w="0" w:type="dxa"/>
            <w:left w:w="108" w:type="dxa"/>
            <w:bottom w:w="0" w:type="dxa"/>
            <w:right w:w="108" w:type="dxa"/>
          </w:tcMar>
        </w:tcPr>
        <w:p w14:paraId="7F3E5D5E"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1690DEF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EC6F22A" w14:textId="77777777" w:rsidR="00FF2214" w:rsidRDefault="00FF2214">
          <w:pPr>
            <w:tabs>
              <w:tab w:val="center" w:pos="4320"/>
              <w:tab w:val="right" w:pos="8640"/>
            </w:tabs>
            <w:ind w:right="-115"/>
            <w:jc w:val="right"/>
            <w:rPr>
              <w:color w:val="000000"/>
            </w:rPr>
          </w:pPr>
        </w:p>
      </w:tc>
    </w:tr>
  </w:tbl>
  <w:p w14:paraId="10BD2B21"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9" w14:textId="09F79D49" w:rsidR="0086165E" w:rsidRDefault="0099207B">
    <w:pPr>
      <w:tabs>
        <w:tab w:val="center" w:pos="4320"/>
        <w:tab w:val="right" w:pos="8640"/>
      </w:tabs>
      <w:jc w:val="right"/>
      <w:rPr>
        <w:color w:val="000000"/>
      </w:rPr>
    </w:pPr>
    <w:r>
      <w:rPr>
        <w:color w:val="000000"/>
      </w:rPr>
      <w:t>A-0</w:t>
    </w:r>
    <w:r w:rsidR="006A141E">
      <w:rPr>
        <w:color w:val="000000"/>
      </w:rPr>
      <w:t>1</w:t>
    </w:r>
    <w:r w:rsidR="000E0C97">
      <w:rPr>
        <w:color w:val="000000"/>
      </w:rPr>
      <w:t>2</w:t>
    </w:r>
  </w:p>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0"/>
  </w:num>
  <w:num w:numId="2" w16cid:durableId="529952247">
    <w:abstractNumId w:val="3"/>
  </w:num>
  <w:num w:numId="3" w16cid:durableId="681591030">
    <w:abstractNumId w:val="4"/>
  </w:num>
  <w:num w:numId="4" w16cid:durableId="1851988970">
    <w:abstractNumId w:val="1"/>
  </w:num>
  <w:num w:numId="5" w16cid:durableId="1092235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36ED"/>
    <w:rsid w:val="00056D71"/>
    <w:rsid w:val="00067E49"/>
    <w:rsid w:val="000700E0"/>
    <w:rsid w:val="000711FC"/>
    <w:rsid w:val="00074B76"/>
    <w:rsid w:val="00076278"/>
    <w:rsid w:val="0008657D"/>
    <w:rsid w:val="000B1BE8"/>
    <w:rsid w:val="000B33EC"/>
    <w:rsid w:val="000B4CF9"/>
    <w:rsid w:val="000C0F6A"/>
    <w:rsid w:val="000C188B"/>
    <w:rsid w:val="000C4A0E"/>
    <w:rsid w:val="000C60AE"/>
    <w:rsid w:val="000C68E5"/>
    <w:rsid w:val="000D1B64"/>
    <w:rsid w:val="000D2EB5"/>
    <w:rsid w:val="000D30A4"/>
    <w:rsid w:val="000E0C97"/>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270C9"/>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92D73"/>
    <w:rsid w:val="00194A5E"/>
    <w:rsid w:val="001969E8"/>
    <w:rsid w:val="001A0C9E"/>
    <w:rsid w:val="001A18F4"/>
    <w:rsid w:val="001A25B8"/>
    <w:rsid w:val="001A2F65"/>
    <w:rsid w:val="001A35E2"/>
    <w:rsid w:val="001A57DF"/>
    <w:rsid w:val="001B1AAC"/>
    <w:rsid w:val="001B6B7A"/>
    <w:rsid w:val="001C50A0"/>
    <w:rsid w:val="001C7468"/>
    <w:rsid w:val="001D07B3"/>
    <w:rsid w:val="001D0FDF"/>
    <w:rsid w:val="001D4DEA"/>
    <w:rsid w:val="001D54A8"/>
    <w:rsid w:val="001D75A8"/>
    <w:rsid w:val="001E1A20"/>
    <w:rsid w:val="001E33DB"/>
    <w:rsid w:val="001E6305"/>
    <w:rsid w:val="001E6E99"/>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6423"/>
    <w:rsid w:val="002D1A9D"/>
    <w:rsid w:val="002D6159"/>
    <w:rsid w:val="002E1467"/>
    <w:rsid w:val="002E255E"/>
    <w:rsid w:val="002E34D5"/>
    <w:rsid w:val="002E4898"/>
    <w:rsid w:val="002F21CF"/>
    <w:rsid w:val="002F3045"/>
    <w:rsid w:val="002F48BA"/>
    <w:rsid w:val="002F5B16"/>
    <w:rsid w:val="0030308D"/>
    <w:rsid w:val="00303699"/>
    <w:rsid w:val="00314D79"/>
    <w:rsid w:val="00314E6B"/>
    <w:rsid w:val="00321AB7"/>
    <w:rsid w:val="00327314"/>
    <w:rsid w:val="0032783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61FBD"/>
    <w:rsid w:val="00464BCF"/>
    <w:rsid w:val="004675CC"/>
    <w:rsid w:val="00477224"/>
    <w:rsid w:val="00480C72"/>
    <w:rsid w:val="00493F9B"/>
    <w:rsid w:val="004943B1"/>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4FBA"/>
    <w:rsid w:val="005258EB"/>
    <w:rsid w:val="00526AC9"/>
    <w:rsid w:val="00527B13"/>
    <w:rsid w:val="00535D65"/>
    <w:rsid w:val="00535E82"/>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5385"/>
    <w:rsid w:val="00694E17"/>
    <w:rsid w:val="00697796"/>
    <w:rsid w:val="006A141E"/>
    <w:rsid w:val="006A292F"/>
    <w:rsid w:val="006A7E28"/>
    <w:rsid w:val="006B78AD"/>
    <w:rsid w:val="006C04BE"/>
    <w:rsid w:val="006C0D59"/>
    <w:rsid w:val="006C217A"/>
    <w:rsid w:val="006C4529"/>
    <w:rsid w:val="006C4E23"/>
    <w:rsid w:val="006D1974"/>
    <w:rsid w:val="006D6693"/>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56E"/>
    <w:rsid w:val="007D76E0"/>
    <w:rsid w:val="007E3AC3"/>
    <w:rsid w:val="00806DB0"/>
    <w:rsid w:val="008104B2"/>
    <w:rsid w:val="00812840"/>
    <w:rsid w:val="00820EC0"/>
    <w:rsid w:val="00826B88"/>
    <w:rsid w:val="00831773"/>
    <w:rsid w:val="0083435F"/>
    <w:rsid w:val="00834801"/>
    <w:rsid w:val="00837B0B"/>
    <w:rsid w:val="00843BF2"/>
    <w:rsid w:val="008443BB"/>
    <w:rsid w:val="00850770"/>
    <w:rsid w:val="0086165E"/>
    <w:rsid w:val="008629CB"/>
    <w:rsid w:val="0087373E"/>
    <w:rsid w:val="00874CE2"/>
    <w:rsid w:val="00876EDE"/>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3029"/>
    <w:rsid w:val="00BD4F99"/>
    <w:rsid w:val="00BD6FA4"/>
    <w:rsid w:val="00BE0907"/>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1703"/>
    <w:rsid w:val="00D52A67"/>
    <w:rsid w:val="00D620EC"/>
    <w:rsid w:val="00D710A7"/>
    <w:rsid w:val="00D763D9"/>
    <w:rsid w:val="00D816EC"/>
    <w:rsid w:val="00D82564"/>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7017"/>
    <w:rsid w:val="00E67BE6"/>
    <w:rsid w:val="00E75D0B"/>
    <w:rsid w:val="00E85654"/>
    <w:rsid w:val="00E87E5A"/>
    <w:rsid w:val="00E937F8"/>
    <w:rsid w:val="00E93811"/>
    <w:rsid w:val="00E97260"/>
    <w:rsid w:val="00EA5801"/>
    <w:rsid w:val="00EA7005"/>
    <w:rsid w:val="00EB7783"/>
    <w:rsid w:val="00EC129D"/>
    <w:rsid w:val="00EC2425"/>
    <w:rsid w:val="00EE0A44"/>
    <w:rsid w:val="00EE3F71"/>
    <w:rsid w:val="00EE5CC5"/>
    <w:rsid w:val="00EF4025"/>
    <w:rsid w:val="00EF75D8"/>
    <w:rsid w:val="00F01CED"/>
    <w:rsid w:val="00F15032"/>
    <w:rsid w:val="00F16456"/>
    <w:rsid w:val="00F16B71"/>
    <w:rsid w:val="00F26059"/>
    <w:rsid w:val="00F2640D"/>
    <w:rsid w:val="00F27415"/>
    <w:rsid w:val="00F309FE"/>
    <w:rsid w:val="00F3506A"/>
    <w:rsid w:val="00F36138"/>
    <w:rsid w:val="00F40C87"/>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Ttulo1">
    <w:name w:val="heading 1"/>
    <w:basedOn w:val="Normal"/>
    <w:next w:val="Normal"/>
    <w:uiPriority w:val="9"/>
    <w:qFormat/>
    <w:pPr>
      <w:spacing w:line="480" w:lineRule="auto"/>
      <w:ind w:firstLine="720"/>
      <w:jc w:val="both"/>
      <w:outlineLvl w:val="0"/>
    </w:pPr>
    <w:rPr>
      <w:rFonts w:ascii="Book Antiqua" w:hAnsi="Book Antiqua"/>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qFormat/>
    <w:rPr>
      <w:rFonts w:ascii="Segoe UI" w:hAnsi="Segoe UI" w:cs="Segoe UI"/>
      <w:sz w:val="18"/>
      <w:szCs w:val="18"/>
    </w:rPr>
  </w:style>
  <w:style w:type="paragraph" w:styleId="Textoindependiente">
    <w:name w:val="Body Text"/>
    <w:basedOn w:val="Normal"/>
    <w:link w:val="TextoindependienteCar"/>
    <w:qFormat/>
    <w:pPr>
      <w:jc w:val="both"/>
    </w:pPr>
    <w:rPr>
      <w:lang w:val="es-PR"/>
    </w:rPr>
  </w:style>
  <w:style w:type="character" w:styleId="Refdecomentario">
    <w:name w:val="annotation reference"/>
    <w:uiPriority w:val="99"/>
    <w:qFormat/>
    <w:rPr>
      <w:sz w:val="16"/>
      <w:szCs w:val="16"/>
    </w:rPr>
  </w:style>
  <w:style w:type="paragraph" w:styleId="Textocomentario">
    <w:name w:val="annotation text"/>
    <w:basedOn w:val="Normal"/>
    <w:link w:val="TextocomentarioCar"/>
    <w:uiPriority w:val="99"/>
    <w:qFormat/>
    <w:rPr>
      <w:sz w:val="20"/>
    </w:rPr>
  </w:style>
  <w:style w:type="paragraph" w:styleId="Asuntodelcomentario">
    <w:name w:val="annotation subject"/>
    <w:basedOn w:val="Textocomentario"/>
    <w:next w:val="Textocomentario"/>
    <w:link w:val="AsuntodelcomentarioCar"/>
    <w:semiHidden/>
    <w:unhideWhenUsed/>
    <w:qFormat/>
    <w:rPr>
      <w:b/>
      <w:bCs/>
    </w:rPr>
  </w:style>
  <w:style w:type="paragraph" w:styleId="Piedepgina">
    <w:name w:val="footer"/>
    <w:basedOn w:val="Normal"/>
    <w:qFormat/>
    <w:pPr>
      <w:tabs>
        <w:tab w:val="center" w:pos="4320"/>
        <w:tab w:val="right" w:pos="8640"/>
      </w:tabs>
    </w:pPr>
  </w:style>
  <w:style w:type="character" w:styleId="Refdenotaalpie">
    <w:name w:val="footnote reference"/>
    <w:qFormat/>
    <w:rPr>
      <w:vertAlign w:val="superscript"/>
    </w:rPr>
  </w:style>
  <w:style w:type="paragraph" w:styleId="Textonotapie">
    <w:name w:val="footnote text"/>
    <w:basedOn w:val="Normal"/>
    <w:link w:val="TextonotapieCar"/>
    <w:qFormat/>
    <w:rPr>
      <w:sz w:val="20"/>
    </w:rPr>
  </w:style>
  <w:style w:type="paragraph" w:styleId="Encabezado">
    <w:name w:val="header"/>
    <w:basedOn w:val="Normal"/>
    <w:link w:val="EncabezadoCar"/>
    <w:uiPriority w:val="99"/>
    <w:qFormat/>
    <w:pPr>
      <w:tabs>
        <w:tab w:val="center" w:pos="4320"/>
        <w:tab w:val="right" w:pos="8640"/>
      </w:tabs>
    </w:pPr>
  </w:style>
  <w:style w:type="character" w:styleId="Hipervnculo">
    <w:name w:val="Hyperlink"/>
    <w:basedOn w:val="Fuentedeprrafopredeter"/>
    <w:qFormat/>
    <w:rPr>
      <w:color w:val="0563C1" w:themeColor="hyperlink"/>
      <w:u w:val="single"/>
    </w:rPr>
  </w:style>
  <w:style w:type="character" w:styleId="Nmerodelnea">
    <w:name w:val="line number"/>
    <w:basedOn w:val="Fuentedeprrafopredeter"/>
    <w:qFormat/>
  </w:style>
  <w:style w:type="character" w:styleId="Nmerodepgina">
    <w:name w:val="page number"/>
    <w:basedOn w:val="Fuentedeprrafopredete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TextonotapieCar">
    <w:name w:val="Texto nota pie Car"/>
    <w:basedOn w:val="Fuentedeprrafopredeter"/>
    <w:link w:val="Textonotapie"/>
    <w:qFormat/>
  </w:style>
  <w:style w:type="character" w:customStyle="1" w:styleId="TextodegloboCar">
    <w:name w:val="Texto de globo Car"/>
    <w:link w:val="Textodeglobo"/>
    <w:qFormat/>
    <w:rPr>
      <w:rFonts w:ascii="Segoe UI" w:hAnsi="Segoe UI" w:cs="Segoe UI"/>
      <w:sz w:val="18"/>
      <w:szCs w:val="18"/>
    </w:rPr>
  </w:style>
  <w:style w:type="character" w:customStyle="1" w:styleId="TextocomentarioCar">
    <w:name w:val="Texto comentario Car"/>
    <w:link w:val="Textocomentario"/>
    <w:uiPriority w:val="99"/>
    <w:qFormat/>
    <w:rPr>
      <w:lang w:val="en-US" w:eastAsia="en-US"/>
    </w:rPr>
  </w:style>
  <w:style w:type="character" w:customStyle="1" w:styleId="AsuntodelcomentarioCar">
    <w:name w:val="Asunto del comentario Car"/>
    <w:link w:val="Asuntodelcomentario"/>
    <w:semiHidden/>
    <w:qFormat/>
    <w:rPr>
      <w:b/>
      <w:bCs/>
      <w:lang w:val="en-US" w:eastAsia="en-US"/>
    </w:rPr>
  </w:style>
  <w:style w:type="paragraph" w:styleId="Prrafodelista">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Fuentedeprrafopredeter"/>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Fuentedeprrafopredeter"/>
    <w:qFormat/>
  </w:style>
  <w:style w:type="character" w:customStyle="1" w:styleId="eop">
    <w:name w:val="eop"/>
    <w:basedOn w:val="Fuentedeprrafopredeter"/>
    <w:qFormat/>
  </w:style>
  <w:style w:type="character" w:customStyle="1" w:styleId="contextualspellingandgrammarerror">
    <w:name w:val="contextualspellingandgrammarerror"/>
    <w:basedOn w:val="Fuentedeprrafopredeter"/>
    <w:qFormat/>
  </w:style>
  <w:style w:type="character" w:customStyle="1" w:styleId="spellingerror">
    <w:name w:val="spellingerror"/>
    <w:basedOn w:val="Fuentedeprrafopredeter"/>
  </w:style>
  <w:style w:type="character" w:customStyle="1" w:styleId="EncabezadoCar">
    <w:name w:val="Encabezado Car"/>
    <w:link w:val="Encabezado"/>
    <w:uiPriority w:val="99"/>
    <w:qFormat/>
    <w:rPr>
      <w:sz w:val="24"/>
      <w:lang w:val="en-US" w:eastAsia="en-US"/>
    </w:rPr>
  </w:style>
  <w:style w:type="character" w:customStyle="1" w:styleId="markedcontent">
    <w:name w:val="markedcontent"/>
    <w:basedOn w:val="Fuentedeprrafopredeter"/>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TextoindependienteCar">
    <w:name w:val="Texto independiente Car"/>
    <w:basedOn w:val="Fuentedeprrafopredeter"/>
    <w:link w:val="Textoindependiente"/>
    <w:rPr>
      <w:sz w:val="24"/>
      <w:szCs w:val="24"/>
      <w:lang w:val="es-PR"/>
    </w:rPr>
  </w:style>
  <w:style w:type="paragraph" w:styleId="Revisi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2020</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Rocío Alayón Morell</cp:lastModifiedBy>
  <cp:revision>4</cp:revision>
  <cp:lastPrinted>2025-03-11T20:35:00Z</cp:lastPrinted>
  <dcterms:created xsi:type="dcterms:W3CDTF">2025-03-11T14:20:00Z</dcterms:created>
  <dcterms:modified xsi:type="dcterms:W3CDTF">2025-03-11T20:35:00Z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