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75512B4B" w:rsidR="006705DD" w:rsidRPr="007749C8" w:rsidRDefault="0042655A" w:rsidP="006705DD">
      <w:pPr>
        <w:jc w:val="center"/>
        <w:rPr>
          <w:rFonts w:ascii="Book Antiqua" w:hAnsi="Book Antiqua"/>
          <w:szCs w:val="24"/>
          <w:lang w:val="es-ES_tradnl"/>
        </w:rPr>
      </w:pPr>
      <w:r w:rsidRPr="0042655A">
        <w:rPr>
          <w:rFonts w:ascii="Book Antiqua" w:hAnsi="Book Antiqua"/>
          <w:b/>
          <w:sz w:val="52"/>
          <w:szCs w:val="52"/>
          <w:lang w:val="es-ES_tradnl"/>
        </w:rPr>
        <w:t>R</w:t>
      </w:r>
      <w:r>
        <w:rPr>
          <w:rFonts w:ascii="Book Antiqua" w:hAnsi="Book Antiqua"/>
          <w:b/>
          <w:sz w:val="52"/>
          <w:szCs w:val="52"/>
          <w:lang w:val="es-ES_tradnl"/>
        </w:rPr>
        <w:t xml:space="preserve">. </w:t>
      </w:r>
      <w:r w:rsidRPr="0042655A">
        <w:rPr>
          <w:rFonts w:ascii="Book Antiqua" w:hAnsi="Book Antiqua"/>
          <w:b/>
          <w:sz w:val="52"/>
          <w:szCs w:val="52"/>
          <w:lang w:val="es-ES_tradnl"/>
        </w:rPr>
        <w:t>C</w:t>
      </w:r>
      <w:r>
        <w:rPr>
          <w:rFonts w:ascii="Book Antiqua" w:hAnsi="Book Antiqua"/>
          <w:b/>
          <w:sz w:val="52"/>
          <w:szCs w:val="52"/>
          <w:lang w:val="es-ES_tradnl"/>
        </w:rPr>
        <w:t xml:space="preserve">. del </w:t>
      </w:r>
      <w:r w:rsidRPr="0042655A">
        <w:rPr>
          <w:rFonts w:ascii="Book Antiqua" w:hAnsi="Book Antiqua"/>
          <w:b/>
          <w:sz w:val="52"/>
          <w:szCs w:val="52"/>
          <w:lang w:val="es-ES_tradnl"/>
        </w:rPr>
        <w:t>S</w:t>
      </w:r>
      <w:r>
        <w:rPr>
          <w:rFonts w:ascii="Book Antiqua" w:hAnsi="Book Antiqua"/>
          <w:b/>
          <w:sz w:val="52"/>
          <w:szCs w:val="52"/>
          <w:lang w:val="es-ES_tradnl"/>
        </w:rPr>
        <w:t xml:space="preserve">. </w:t>
      </w:r>
      <w:r w:rsidRPr="0042655A">
        <w:rPr>
          <w:rFonts w:ascii="Book Antiqua" w:hAnsi="Book Antiqua"/>
          <w:b/>
          <w:sz w:val="52"/>
          <w:szCs w:val="52"/>
          <w:lang w:val="es-ES_tradnl"/>
        </w:rPr>
        <w:t>32</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61E9C5DC" w:rsidR="006705DD" w:rsidRPr="007749C8" w:rsidRDefault="00360C0D" w:rsidP="006705DD">
      <w:pPr>
        <w:jc w:val="center"/>
        <w:rPr>
          <w:rFonts w:ascii="Book Antiqua" w:hAnsi="Book Antiqua"/>
          <w:szCs w:val="24"/>
          <w:lang w:val="es-ES_tradnl"/>
        </w:rPr>
      </w:pPr>
      <w:r>
        <w:rPr>
          <w:rFonts w:ascii="Book Antiqua" w:hAnsi="Book Antiqua"/>
          <w:szCs w:val="24"/>
          <w:lang w:val="es-ES_tradnl"/>
        </w:rPr>
        <w:t xml:space="preserve">26 </w:t>
      </w:r>
      <w:r w:rsidR="00FE1B47" w:rsidRPr="007749C8">
        <w:rPr>
          <w:rFonts w:ascii="Book Antiqua" w:hAnsi="Book Antiqua"/>
          <w:szCs w:val="24"/>
          <w:lang w:val="es-ES_tradnl"/>
        </w:rPr>
        <w:t xml:space="preserve">de </w:t>
      </w:r>
      <w:r w:rsidR="0042655A">
        <w:rPr>
          <w:rFonts w:ascii="Book Antiqua" w:hAnsi="Book Antiqua"/>
          <w:szCs w:val="24"/>
          <w:lang w:val="es-ES_tradnl"/>
        </w:rPr>
        <w:t>mayo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Pr="007749C8" w:rsidRDefault="006705DD" w:rsidP="006705DD">
      <w:pPr>
        <w:jc w:val="center"/>
        <w:rPr>
          <w:rFonts w:ascii="Book Antiqua" w:hAnsi="Book Antiqua"/>
          <w:sz w:val="20"/>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749C8" w:rsidRDefault="00AC0B45" w:rsidP="006C19E0">
      <w:pPr>
        <w:jc w:val="both"/>
        <w:rPr>
          <w:rFonts w:ascii="Book Antiqua" w:hAnsi="Book Antiqua" w:cs="Arial"/>
          <w:szCs w:val="24"/>
          <w:lang w:val="es-ES_tradnl"/>
        </w:rPr>
      </w:pPr>
    </w:p>
    <w:p w14:paraId="37F95BC0" w14:textId="45F6C033" w:rsidR="0087700A"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r w:rsidR="0042655A">
        <w:rPr>
          <w:rFonts w:ascii="Book Antiqua" w:hAnsi="Book Antiqua" w:cs="Arial"/>
          <w:b/>
          <w:bCs/>
          <w:szCs w:val="24"/>
          <w:lang w:val="es-ES"/>
        </w:rPr>
        <w:t>de la Resolución Conjunta del Senado 32</w:t>
      </w:r>
      <w:r w:rsidR="0087700A" w:rsidRPr="007421B4">
        <w:rPr>
          <w:rFonts w:ascii="Book Antiqua" w:hAnsi="Book Antiqua" w:cs="Arial"/>
          <w:b/>
          <w:bCs/>
          <w:szCs w:val="24"/>
          <w:lang w:val="es-ES"/>
        </w:rPr>
        <w:t xml:space="preserve">, </w:t>
      </w:r>
      <w:bookmarkEnd w:id="0"/>
      <w:r w:rsidR="000E5DC1" w:rsidRPr="007421B4">
        <w:rPr>
          <w:rFonts w:ascii="Book Antiqua" w:hAnsi="Book Antiqua" w:cs="Arial"/>
          <w:b/>
          <w:bCs/>
          <w:szCs w:val="24"/>
          <w:lang w:val="es-ES"/>
        </w:rPr>
        <w:t>sin enmiendas</w:t>
      </w:r>
      <w:r w:rsidR="000E5DC1" w:rsidRPr="007749C8">
        <w:rPr>
          <w:rFonts w:ascii="Book Antiqua" w:hAnsi="Book Antiqua" w:cs="Arial"/>
          <w:szCs w:val="24"/>
          <w:lang w:val="es-ES"/>
        </w:rPr>
        <w:t xml:space="preserve">. </w:t>
      </w:r>
    </w:p>
    <w:p w14:paraId="7228C599" w14:textId="77777777" w:rsidR="00E24F6A" w:rsidRPr="007749C8" w:rsidRDefault="00E24F6A" w:rsidP="006C19E0">
      <w:pPr>
        <w:jc w:val="center"/>
        <w:rPr>
          <w:rFonts w:ascii="Book Antiqua" w:hAnsi="Book Antiqua"/>
          <w:b/>
          <w:i/>
          <w:smallCaps/>
          <w:szCs w:val="24"/>
          <w:lang w:val="es-ES"/>
        </w:rPr>
      </w:pPr>
      <w:bookmarkStart w:id="1" w:name="_Hlk189811370"/>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7749C8" w:rsidRDefault="005665D9" w:rsidP="006C19E0">
      <w:pPr>
        <w:jc w:val="center"/>
        <w:rPr>
          <w:rFonts w:ascii="Book Antiqua" w:hAnsi="Book Antiqua"/>
          <w:b/>
          <w:i/>
          <w:smallCaps/>
          <w:szCs w:val="24"/>
          <w:lang w:val="es-ES_tradnl"/>
        </w:rPr>
      </w:pPr>
    </w:p>
    <w:p w14:paraId="05093DDA" w14:textId="77777777" w:rsidR="00D3053D" w:rsidRPr="00D3053D" w:rsidRDefault="00D3053D" w:rsidP="00D3053D">
      <w:pPr>
        <w:jc w:val="both"/>
        <w:rPr>
          <w:rFonts w:ascii="Book Antiqua" w:hAnsi="Book Antiqua"/>
          <w:szCs w:val="24"/>
          <w:lang w:val="es-PR"/>
        </w:rPr>
      </w:pPr>
      <w:bookmarkStart w:id="2" w:name="_Hlk193349736"/>
      <w:bookmarkEnd w:id="1"/>
      <w:r w:rsidRPr="00D3053D">
        <w:rPr>
          <w:rFonts w:ascii="Book Antiqua" w:hAnsi="Book Antiqua"/>
          <w:szCs w:val="24"/>
          <w:lang w:val="es-PR"/>
        </w:rPr>
        <w:t>El propósito principal de la R. C. del S. 32 es ordenar al Departamento de la Vivienda de Puerto Rico a realizar un inventario y depuración de solares y fincas vacantes bajo su administración, incluyendo aquellos con usufructo en abandono, sin propiedades enclavadas y con propiedades enclavadas. Asimismo, la medida dispone la digitalización de dicho inventario, a los fines de garantizar acceso eficiente a la información tanto a los empleados gubernamentales como al público en general.</w:t>
      </w:r>
    </w:p>
    <w:p w14:paraId="4E96960F" w14:textId="77777777" w:rsidR="00D3053D" w:rsidRPr="00D3053D" w:rsidRDefault="00D3053D" w:rsidP="00D3053D">
      <w:pPr>
        <w:jc w:val="both"/>
        <w:rPr>
          <w:rFonts w:ascii="Book Antiqua" w:hAnsi="Book Antiqua"/>
          <w:szCs w:val="24"/>
          <w:lang w:val="es-PR"/>
        </w:rPr>
      </w:pPr>
    </w:p>
    <w:p w14:paraId="6FC2C437" w14:textId="02078A54" w:rsidR="008E3733" w:rsidRDefault="00D3053D" w:rsidP="00D3053D">
      <w:pPr>
        <w:jc w:val="both"/>
        <w:rPr>
          <w:rFonts w:ascii="Book Antiqua" w:hAnsi="Book Antiqua"/>
          <w:szCs w:val="24"/>
          <w:lang w:val="es-PR"/>
        </w:rPr>
      </w:pPr>
      <w:r w:rsidRPr="00D3053D">
        <w:rPr>
          <w:rFonts w:ascii="Book Antiqua" w:hAnsi="Book Antiqua"/>
          <w:szCs w:val="24"/>
          <w:lang w:val="es-PR"/>
        </w:rPr>
        <w:t>Esta iniciativa responde a la necesidad de contar con información actualizada, confiable y accesible sobre los bienes inmuebles disponibles, en momentos en que Puerto Rico enfrenta una marcada escasez de vivienda asequible. Un inventario debidamente actualizado y digitalizado permitirá identificar oportunidades para el uso efectivo de solares y fincas vacantes, mejorar la planificación gubernamental y contribuir a mitigar la problemática de acceso a vivienda digna y asequible para las familias puertorriqueñas.</w:t>
      </w:r>
    </w:p>
    <w:p w14:paraId="551C68E4" w14:textId="77777777" w:rsidR="00D3053D" w:rsidRPr="007749C8" w:rsidRDefault="00D3053D" w:rsidP="00D3053D">
      <w:pPr>
        <w:jc w:val="both"/>
        <w:rPr>
          <w:rFonts w:ascii="Book Antiqua" w:hAnsi="Book Antiqua"/>
          <w:b/>
          <w:i/>
          <w:smallCaps/>
          <w:szCs w:val="24"/>
          <w:lang w:val="es-ES_tradnl"/>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7749C8" w:rsidRDefault="005665D9" w:rsidP="006C19E0">
      <w:pPr>
        <w:spacing w:before="100" w:beforeAutospacing="1" w:after="100" w:afterAutospacing="1"/>
        <w:contextualSpacing/>
        <w:jc w:val="center"/>
        <w:rPr>
          <w:rFonts w:ascii="Book Antiqua" w:hAnsi="Book Antiqua"/>
          <w:b/>
          <w:i/>
          <w:smallCaps/>
          <w:szCs w:val="24"/>
          <w:lang w:val="es-ES_tradnl"/>
        </w:rPr>
      </w:pPr>
    </w:p>
    <w:p w14:paraId="0A365C9A" w14:textId="77777777" w:rsidR="00D3053D" w:rsidRPr="00D3053D" w:rsidRDefault="00D3053D" w:rsidP="00D3053D">
      <w:pPr>
        <w:jc w:val="both"/>
        <w:rPr>
          <w:rFonts w:ascii="Book Antiqua" w:hAnsi="Book Antiqua"/>
          <w:bCs/>
          <w:iCs/>
          <w:szCs w:val="24"/>
          <w:lang w:val="es-ES"/>
        </w:rPr>
      </w:pPr>
      <w:r w:rsidRPr="00D3053D">
        <w:rPr>
          <w:rFonts w:ascii="Book Antiqua" w:hAnsi="Book Antiqua"/>
          <w:bCs/>
          <w:iCs/>
          <w:szCs w:val="24"/>
          <w:lang w:val="es-ES"/>
        </w:rPr>
        <w:t xml:space="preserve">Durante la discusión y análisis legislativo de la presente medida, se evaluó la Ley Núm. 97 de 10 de junio de 1972, según enmendada, conocida como la “Ley Orgánica del Departamento de la Vivienda”, con el propósito de analizar el alcance de las facultades </w:t>
      </w:r>
      <w:r w:rsidRPr="00D3053D">
        <w:rPr>
          <w:rFonts w:ascii="Book Antiqua" w:hAnsi="Book Antiqua"/>
          <w:bCs/>
          <w:iCs/>
          <w:szCs w:val="24"/>
          <w:lang w:val="es-ES"/>
        </w:rPr>
        <w:lastRenderedPageBreak/>
        <w:t>del Departamento de la Vivienda y su relación con la política pública que fundamenta la presente Resolución Conjunta.</w:t>
      </w:r>
    </w:p>
    <w:p w14:paraId="628B45A0" w14:textId="77777777" w:rsidR="00D3053D" w:rsidRPr="00D3053D" w:rsidRDefault="00D3053D" w:rsidP="00D3053D">
      <w:pPr>
        <w:jc w:val="both"/>
        <w:rPr>
          <w:rFonts w:ascii="Book Antiqua" w:hAnsi="Book Antiqua"/>
          <w:bCs/>
          <w:iCs/>
          <w:szCs w:val="24"/>
          <w:lang w:val="es-ES"/>
        </w:rPr>
      </w:pPr>
    </w:p>
    <w:p w14:paraId="7010FCC8" w14:textId="13FB087C" w:rsidR="00C563E4" w:rsidRDefault="00D3053D" w:rsidP="00D3053D">
      <w:pPr>
        <w:jc w:val="both"/>
        <w:rPr>
          <w:rFonts w:ascii="Book Antiqua" w:hAnsi="Book Antiqua"/>
          <w:bCs/>
          <w:iCs/>
          <w:szCs w:val="24"/>
          <w:lang w:val="es-ES"/>
        </w:rPr>
      </w:pPr>
      <w:r w:rsidRPr="00D3053D">
        <w:rPr>
          <w:rFonts w:ascii="Book Antiqua" w:hAnsi="Book Antiqua"/>
          <w:bCs/>
          <w:iCs/>
          <w:szCs w:val="24"/>
          <w:lang w:val="es-ES"/>
        </w:rPr>
        <w:t>Dicho análisis permitió concluir que la medida es cónsona con los fines y responsabilidades del Departamento de la Vivienda, particularmente en lo relacionado con la formulación, administración y ejecución de iniciativas dirigidas a atender las necesidades de vivienda en Puerto Rico.</w:t>
      </w:r>
    </w:p>
    <w:p w14:paraId="1685BDFC" w14:textId="77777777" w:rsidR="00D3053D" w:rsidRPr="007749C8" w:rsidRDefault="00D3053D" w:rsidP="00D3053D">
      <w:pPr>
        <w:jc w:val="both"/>
        <w:rPr>
          <w:rFonts w:ascii="Book Antiqua" w:hAnsi="Book Antiqua"/>
          <w:szCs w:val="24"/>
          <w:lang w:val="es-ES"/>
        </w:rPr>
      </w:pPr>
    </w:p>
    <w:p w14:paraId="28152C71" w14:textId="10985DD9"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7749C8" w:rsidRDefault="00E359DB" w:rsidP="006C19E0">
      <w:pPr>
        <w:rPr>
          <w:rFonts w:ascii="Book Antiqua" w:hAnsi="Book Antiqua"/>
          <w:bCs/>
          <w:iCs/>
          <w:smallCaps/>
          <w:szCs w:val="24"/>
          <w:lang w:val="es-ES_tradnl"/>
        </w:rPr>
      </w:pPr>
    </w:p>
    <w:p w14:paraId="1CA60E40" w14:textId="04FBC6A8" w:rsidR="00C24181" w:rsidRPr="00C24181" w:rsidRDefault="00C24181" w:rsidP="00C24181">
      <w:pPr>
        <w:jc w:val="both"/>
        <w:rPr>
          <w:rFonts w:ascii="Book Antiqua" w:eastAsia="Times New Roman" w:hAnsi="Book Antiqua"/>
          <w:szCs w:val="24"/>
          <w:lang w:val="es-PR" w:eastAsia="es-PR"/>
        </w:rPr>
      </w:pPr>
      <w:r w:rsidRPr="00C24181">
        <w:rPr>
          <w:rFonts w:ascii="Book Antiqua" w:eastAsia="Times New Roman" w:hAnsi="Book Antiqua"/>
          <w:szCs w:val="24"/>
          <w:lang w:val="es-PR" w:eastAsia="es-PR"/>
        </w:rPr>
        <w:t xml:space="preserve">Para una evaluación integral de esta Resolución Conjunta, la Comisión de Vivienda y </w:t>
      </w:r>
      <w:r>
        <w:rPr>
          <w:rFonts w:ascii="Book Antiqua" w:eastAsia="Times New Roman" w:hAnsi="Book Antiqua"/>
          <w:szCs w:val="24"/>
          <w:lang w:val="es-PR" w:eastAsia="es-PR"/>
        </w:rPr>
        <w:t>Desarrollo Urbano</w:t>
      </w:r>
      <w:r w:rsidRPr="00C24181">
        <w:rPr>
          <w:rFonts w:ascii="Book Antiqua" w:eastAsia="Times New Roman" w:hAnsi="Book Antiqua"/>
          <w:szCs w:val="24"/>
          <w:lang w:val="es-PR" w:eastAsia="es-PR"/>
        </w:rPr>
        <w:t xml:space="preserve"> no solicitó memoriales explicativos ni comentarios a</w:t>
      </w:r>
      <w:r>
        <w:rPr>
          <w:rFonts w:ascii="Book Antiqua" w:eastAsia="Times New Roman" w:hAnsi="Book Antiqua"/>
          <w:szCs w:val="24"/>
          <w:lang w:val="es-PR" w:eastAsia="es-PR"/>
        </w:rPr>
        <w:t>l</w:t>
      </w:r>
      <w:r w:rsidRPr="00C24181">
        <w:rPr>
          <w:rFonts w:ascii="Book Antiqua" w:eastAsia="Times New Roman" w:hAnsi="Book Antiqua"/>
          <w:szCs w:val="24"/>
          <w:lang w:val="es-PR" w:eastAsia="es-PR"/>
        </w:rPr>
        <w:t xml:space="preserve"> </w:t>
      </w:r>
      <w:r>
        <w:rPr>
          <w:rFonts w:ascii="Book Antiqua" w:eastAsia="Times New Roman" w:hAnsi="Book Antiqua"/>
          <w:szCs w:val="24"/>
          <w:lang w:val="es-PR" w:eastAsia="es-PR"/>
        </w:rPr>
        <w:t>Departamento de la Vivienda</w:t>
      </w:r>
      <w:r w:rsidRPr="00C24181">
        <w:rPr>
          <w:rFonts w:ascii="Book Antiqua" w:eastAsia="Times New Roman" w:hAnsi="Book Antiqua"/>
          <w:szCs w:val="24"/>
          <w:lang w:val="es-PR" w:eastAsia="es-PR"/>
        </w:rPr>
        <w:t>. Para sustentar su viabilidad, resultó suficiente evaluar la razonabilidad, el propósito, la pertinencia y la jurisdicción del Departamento de la Vivienda sobre la materia objeto de la medida.</w:t>
      </w:r>
    </w:p>
    <w:p w14:paraId="297D6AB1" w14:textId="77777777" w:rsidR="00C24181" w:rsidRPr="00C24181" w:rsidRDefault="00C24181" w:rsidP="00C24181">
      <w:pPr>
        <w:jc w:val="both"/>
        <w:rPr>
          <w:rFonts w:ascii="Book Antiqua" w:eastAsia="Times New Roman" w:hAnsi="Book Antiqua"/>
          <w:szCs w:val="24"/>
          <w:lang w:val="es-PR" w:eastAsia="es-PR"/>
        </w:rPr>
      </w:pPr>
    </w:p>
    <w:p w14:paraId="4B72E00B" w14:textId="77777777" w:rsidR="00C24181" w:rsidRPr="00C24181" w:rsidRDefault="00C24181" w:rsidP="00C24181">
      <w:pPr>
        <w:jc w:val="both"/>
        <w:rPr>
          <w:rFonts w:ascii="Book Antiqua" w:eastAsia="Times New Roman" w:hAnsi="Book Antiqua"/>
          <w:szCs w:val="24"/>
          <w:lang w:val="es-PR" w:eastAsia="es-PR"/>
        </w:rPr>
      </w:pPr>
      <w:r w:rsidRPr="00C24181">
        <w:rPr>
          <w:rFonts w:ascii="Book Antiqua" w:eastAsia="Times New Roman" w:hAnsi="Book Antiqua"/>
          <w:szCs w:val="24"/>
          <w:lang w:val="es-PR" w:eastAsia="es-PR"/>
        </w:rPr>
        <w:t>La Comisión entiende que la Resolución Conjunta es cónsona con la política pública del Gobierno de Puerto Rico dirigida a promover el acceso a vivienda digna, segura y asequible para las familias puertorriqueñas. Dicha política pública también se encuentra enmarcada en la Ley Orgánica del Departamento de la Vivienda, la cual reconoce la función esencial de dicho Departamento en la formulación, administración y ejecución de programas e iniciativas dirigidas a atender las necesidades de vivienda en Puerto Rico.</w:t>
      </w:r>
    </w:p>
    <w:p w14:paraId="1109D460" w14:textId="77777777" w:rsidR="00C24181" w:rsidRPr="00C24181" w:rsidRDefault="00C24181" w:rsidP="00C24181">
      <w:pPr>
        <w:jc w:val="both"/>
        <w:rPr>
          <w:rFonts w:ascii="Book Antiqua" w:eastAsia="Times New Roman" w:hAnsi="Book Antiqua"/>
          <w:szCs w:val="24"/>
          <w:lang w:val="es-PR" w:eastAsia="es-PR"/>
        </w:rPr>
      </w:pPr>
    </w:p>
    <w:p w14:paraId="6FCF59DE" w14:textId="41251A33" w:rsidR="0069086B" w:rsidRPr="007749C8" w:rsidRDefault="00C24181" w:rsidP="00C24181">
      <w:pPr>
        <w:jc w:val="both"/>
        <w:rPr>
          <w:rFonts w:ascii="Book Antiqua" w:hAnsi="Book Antiqua"/>
          <w:b/>
          <w:i/>
          <w:smallCaps/>
          <w:szCs w:val="24"/>
          <w:lang w:val="es-ES_tradnl"/>
        </w:rPr>
      </w:pPr>
      <w:r w:rsidRPr="00C24181">
        <w:rPr>
          <w:rFonts w:ascii="Book Antiqua" w:eastAsia="Times New Roman" w:hAnsi="Book Antiqua"/>
          <w:szCs w:val="24"/>
          <w:lang w:val="es-PR" w:eastAsia="es-PR"/>
        </w:rPr>
        <w:t xml:space="preserve">En ese sentido, ordenar la preparación, depuración y digitalización de un inventario de solares y fincas vacantes bajo la administración del Departamento de la Vivienda constituye una herramienta razonable y pertinente para adelantar dicha política pública. Este ejercicio permitirá identificar activos disponibles, mejorar la planificación gubernamental, facilitar la coordinación </w:t>
      </w:r>
      <w:proofErr w:type="spellStart"/>
      <w:r w:rsidRPr="00C24181">
        <w:rPr>
          <w:rFonts w:ascii="Book Antiqua" w:eastAsia="Times New Roman" w:hAnsi="Book Antiqua"/>
          <w:szCs w:val="24"/>
          <w:lang w:val="es-PR" w:eastAsia="es-PR"/>
        </w:rPr>
        <w:t>interagencial</w:t>
      </w:r>
      <w:proofErr w:type="spellEnd"/>
      <w:r w:rsidRPr="00C24181">
        <w:rPr>
          <w:rFonts w:ascii="Book Antiqua" w:eastAsia="Times New Roman" w:hAnsi="Book Antiqua"/>
          <w:szCs w:val="24"/>
          <w:lang w:val="es-PR" w:eastAsia="es-PR"/>
        </w:rPr>
        <w:t xml:space="preserve"> y promover oportunidades concretas para el desarrollo de vivienda y el bienestar de las comunidades.</w:t>
      </w:r>
    </w:p>
    <w:p w14:paraId="43FB5317" w14:textId="77777777" w:rsidR="001156F1" w:rsidRDefault="001156F1" w:rsidP="00C24181">
      <w:pPr>
        <w:rPr>
          <w:rFonts w:ascii="Book Antiqua" w:hAnsi="Book Antiqua"/>
          <w:b/>
          <w:i/>
          <w:smallCaps/>
          <w:szCs w:val="24"/>
          <w:lang w:val="es-ES_tradnl"/>
        </w:rPr>
      </w:pPr>
    </w:p>
    <w:p w14:paraId="321FF6A7" w14:textId="77777777" w:rsidR="001156F1" w:rsidRPr="007749C8" w:rsidRDefault="001156F1" w:rsidP="006C19E0">
      <w:pPr>
        <w:jc w:val="center"/>
        <w:rPr>
          <w:rFonts w:ascii="Book Antiqua" w:hAnsi="Book Antiqua"/>
          <w:b/>
          <w:i/>
          <w:smallCaps/>
          <w:szCs w:val="24"/>
          <w:lang w:val="es-ES_tradnl"/>
        </w:rPr>
      </w:pPr>
    </w:p>
    <w:p w14:paraId="6C410F04" w14:textId="00B797AF"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7749C8" w:rsidRDefault="00DD1FCB" w:rsidP="006C19E0">
      <w:pPr>
        <w:rPr>
          <w:rFonts w:ascii="Book Antiqua" w:hAnsi="Book Antiqua"/>
          <w:b/>
          <w:i/>
          <w:smallCaps/>
          <w:szCs w:val="24"/>
          <w:lang w:val="es-ES_tradnl"/>
        </w:rPr>
      </w:pPr>
    </w:p>
    <w:p w14:paraId="2A33EEF4" w14:textId="0A2BC32F" w:rsidR="00DD1FCB" w:rsidRPr="007749C8" w:rsidRDefault="00DD1FCB" w:rsidP="006C19E0">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2EC4D52E" w14:textId="77777777" w:rsidR="002A17A6" w:rsidRPr="007749C8" w:rsidRDefault="002A17A6" w:rsidP="006C19E0">
      <w:pPr>
        <w:jc w:val="center"/>
        <w:rPr>
          <w:rFonts w:ascii="Book Antiqua" w:hAnsi="Book Antiqua"/>
          <w:b/>
          <w:i/>
          <w:smallCaps/>
          <w:szCs w:val="24"/>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7749C8" w:rsidRDefault="006C19E0" w:rsidP="006C19E0">
      <w:pPr>
        <w:jc w:val="center"/>
        <w:rPr>
          <w:rFonts w:ascii="Book Antiqua" w:hAnsi="Book Antiqua"/>
          <w:b/>
          <w:i/>
          <w:smallCaps/>
          <w:szCs w:val="24"/>
          <w:lang w:val="es-ES_tradnl"/>
        </w:rPr>
      </w:pPr>
    </w:p>
    <w:p w14:paraId="1745A313" w14:textId="77777777" w:rsidR="00D3053D" w:rsidRDefault="000F0112" w:rsidP="00D3053D">
      <w:pPr>
        <w:jc w:val="both"/>
        <w:rPr>
          <w:rFonts w:ascii="Book Antiqua" w:hAnsi="Book Antiqua"/>
          <w:szCs w:val="24"/>
          <w:lang w:val="es-PR"/>
        </w:rPr>
      </w:pPr>
      <w:r w:rsidRPr="000F0112">
        <w:rPr>
          <w:rFonts w:ascii="Book Antiqua" w:hAnsi="Book Antiqua"/>
          <w:szCs w:val="24"/>
          <w:lang w:val="es-PR"/>
        </w:rPr>
        <w:t xml:space="preserve">En conclusión, </w:t>
      </w:r>
      <w:r w:rsidR="00D3053D">
        <w:rPr>
          <w:rFonts w:ascii="Book Antiqua" w:hAnsi="Book Antiqua"/>
          <w:szCs w:val="24"/>
          <w:lang w:val="es-PR"/>
        </w:rPr>
        <w:t>l</w:t>
      </w:r>
      <w:r w:rsidR="00D3053D" w:rsidRPr="00D3053D">
        <w:rPr>
          <w:rFonts w:ascii="Book Antiqua" w:hAnsi="Book Antiqua"/>
          <w:szCs w:val="24"/>
          <w:lang w:val="es-PR"/>
        </w:rPr>
        <w:t xml:space="preserve">a Comisión </w:t>
      </w:r>
      <w:r w:rsidR="00D3053D">
        <w:rPr>
          <w:rFonts w:ascii="Book Antiqua" w:hAnsi="Book Antiqua"/>
          <w:szCs w:val="24"/>
          <w:lang w:val="es-PR"/>
        </w:rPr>
        <w:t>entiende</w:t>
      </w:r>
      <w:r w:rsidR="00D3053D" w:rsidRPr="00D3053D">
        <w:rPr>
          <w:rFonts w:ascii="Book Antiqua" w:hAnsi="Book Antiqua"/>
          <w:szCs w:val="24"/>
          <w:lang w:val="es-PR"/>
        </w:rPr>
        <w:t xml:space="preserve"> que la Resolución Conjunta</w:t>
      </w:r>
      <w:r w:rsidR="00D3053D">
        <w:rPr>
          <w:rFonts w:ascii="Book Antiqua" w:hAnsi="Book Antiqua"/>
          <w:szCs w:val="24"/>
          <w:lang w:val="es-PR"/>
        </w:rPr>
        <w:t xml:space="preserve"> del Senado 32</w:t>
      </w:r>
      <w:r w:rsidR="00D3053D" w:rsidRPr="00D3053D">
        <w:rPr>
          <w:rFonts w:ascii="Book Antiqua" w:hAnsi="Book Antiqua"/>
          <w:szCs w:val="24"/>
          <w:lang w:val="es-PR"/>
        </w:rPr>
        <w:t xml:space="preserve"> es razonable, necesaria y responde a un interés público apremiante, al proveer una </w:t>
      </w:r>
      <w:r w:rsidR="00D3053D" w:rsidRPr="00D3053D">
        <w:rPr>
          <w:rFonts w:ascii="Book Antiqua" w:hAnsi="Book Antiqua"/>
          <w:szCs w:val="24"/>
          <w:lang w:val="es-PR"/>
        </w:rPr>
        <w:lastRenderedPageBreak/>
        <w:t>herramienta concreta para identificar, organizar y maximizar el uso de los bienes inmuebles bajo la administración del Departamento de la Vivienda. La creación y digitalización de un inventario actualizado contribuirá a mejorar la eficiencia gubernamental, fortalecer la transparencia y facilitar el acceso a oportunidades de vivienda y desarrollo comunitario.</w:t>
      </w:r>
      <w:r w:rsidR="00D3053D">
        <w:rPr>
          <w:rFonts w:ascii="Book Antiqua" w:hAnsi="Book Antiqua"/>
          <w:szCs w:val="24"/>
          <w:lang w:val="es-PR"/>
        </w:rPr>
        <w:t xml:space="preserve"> </w:t>
      </w:r>
    </w:p>
    <w:p w14:paraId="0CE03725" w14:textId="77777777" w:rsidR="00D3053D" w:rsidRDefault="00D3053D" w:rsidP="00D3053D">
      <w:pPr>
        <w:jc w:val="both"/>
        <w:rPr>
          <w:rFonts w:ascii="Book Antiqua" w:hAnsi="Book Antiqua"/>
          <w:szCs w:val="24"/>
          <w:lang w:val="es-PR"/>
        </w:rPr>
      </w:pPr>
    </w:p>
    <w:p w14:paraId="3CAC93CF" w14:textId="5FC49664" w:rsidR="00E405EE" w:rsidRPr="00E405EE" w:rsidRDefault="00E405EE" w:rsidP="00D3053D">
      <w:pPr>
        <w:jc w:val="both"/>
        <w:rPr>
          <w:rFonts w:ascii="Book Antiqua" w:hAnsi="Book Antiqua"/>
          <w:szCs w:val="24"/>
          <w:lang w:val="es-ES"/>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la aprobación</w:t>
      </w:r>
      <w:r w:rsidR="00D3053D">
        <w:rPr>
          <w:rFonts w:ascii="Book Antiqua" w:hAnsi="Book Antiqua"/>
          <w:b/>
          <w:bCs/>
          <w:szCs w:val="24"/>
          <w:lang w:val="es-ES"/>
        </w:rPr>
        <w:t xml:space="preserve"> de</w:t>
      </w:r>
      <w:r w:rsidRPr="00E405EE">
        <w:rPr>
          <w:rFonts w:ascii="Book Antiqua" w:hAnsi="Book Antiqua"/>
          <w:b/>
          <w:bCs/>
          <w:szCs w:val="24"/>
          <w:lang w:val="es-ES"/>
        </w:rPr>
        <w:t xml:space="preserve"> </w:t>
      </w:r>
      <w:r w:rsidR="00D3053D" w:rsidRPr="00D3053D">
        <w:rPr>
          <w:rFonts w:ascii="Book Antiqua" w:hAnsi="Book Antiqua"/>
          <w:b/>
          <w:bCs/>
          <w:szCs w:val="24"/>
          <w:lang w:val="es-ES"/>
        </w:rPr>
        <w:t>la Resolución Conjunta del Senado 32</w:t>
      </w:r>
      <w:r w:rsidRPr="00E405EE">
        <w:rPr>
          <w:rFonts w:ascii="Book Antiqua" w:hAnsi="Book Antiqua"/>
          <w:b/>
          <w:bCs/>
          <w:szCs w:val="24"/>
          <w:lang w:val="es-ES"/>
        </w:rPr>
        <w:t>, sin enmiendas</w:t>
      </w:r>
      <w:r w:rsidRPr="00E405EE">
        <w:rPr>
          <w:rFonts w:ascii="Book Antiqua" w:hAnsi="Book Antiqua"/>
          <w:szCs w:val="24"/>
          <w:lang w:val="es-ES"/>
        </w:rPr>
        <w:t xml:space="preserve">. </w:t>
      </w:r>
    </w:p>
    <w:p w14:paraId="2D3414A2" w14:textId="77777777" w:rsidR="0076466B" w:rsidRPr="007749C8" w:rsidRDefault="0076466B" w:rsidP="006C19E0">
      <w:pPr>
        <w:jc w:val="both"/>
        <w:rPr>
          <w:rFonts w:ascii="Book Antiqua" w:hAnsi="Book Antiqua" w:cs="Arial"/>
          <w:szCs w:val="24"/>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Pr="007749C8" w:rsidRDefault="00AC0B45" w:rsidP="006C19E0">
      <w:pPr>
        <w:rPr>
          <w:rFonts w:ascii="Book Antiqua" w:hAnsi="Book Antiqua"/>
          <w:szCs w:val="24"/>
          <w:lang w:val="es-ES"/>
        </w:rPr>
      </w:pPr>
    </w:p>
    <w:p w14:paraId="5A509428" w14:textId="77777777" w:rsidR="00AC0B45" w:rsidRPr="007749C8" w:rsidRDefault="00AC0B45" w:rsidP="006C19E0">
      <w:pPr>
        <w:rPr>
          <w:rFonts w:ascii="Book Antiqua" w:hAnsi="Book Antiqua"/>
          <w:szCs w:val="24"/>
          <w:lang w:val="es-ES"/>
        </w:rPr>
      </w:pPr>
    </w:p>
    <w:p w14:paraId="4A3B8568" w14:textId="77777777" w:rsidR="00573AAB" w:rsidRPr="007749C8" w:rsidRDefault="00573AAB" w:rsidP="006C19E0">
      <w:pPr>
        <w:rPr>
          <w:rFonts w:ascii="Book Antiqua" w:hAnsi="Book Antiqua"/>
          <w:szCs w:val="24"/>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4C63C" w14:textId="77777777" w:rsidR="00403D0B" w:rsidRDefault="00403D0B" w:rsidP="006705DD">
      <w:r>
        <w:separator/>
      </w:r>
    </w:p>
  </w:endnote>
  <w:endnote w:type="continuationSeparator" w:id="0">
    <w:p w14:paraId="6C7EF639" w14:textId="77777777" w:rsidR="00403D0B" w:rsidRDefault="00403D0B"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91BCA" w14:textId="77777777" w:rsidR="00403D0B" w:rsidRDefault="00403D0B" w:rsidP="006705DD">
      <w:r>
        <w:separator/>
      </w:r>
    </w:p>
  </w:footnote>
  <w:footnote w:type="continuationSeparator" w:id="0">
    <w:p w14:paraId="255C7F71" w14:textId="77777777" w:rsidR="00403D0B" w:rsidRDefault="00403D0B"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7553877D"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D3053D">
      <w:rPr>
        <w:rStyle w:val="PageNumber"/>
        <w:rFonts w:ascii="Book Antiqua" w:hAnsi="Book Antiqua"/>
        <w:i/>
        <w:sz w:val="22"/>
        <w:szCs w:val="22"/>
        <w:lang w:val="es-PR"/>
      </w:rPr>
      <w:t xml:space="preserve">R. C. </w:t>
    </w:r>
    <w:r w:rsidR="00887B5A">
      <w:rPr>
        <w:rStyle w:val="PageNumber"/>
        <w:rFonts w:ascii="Book Antiqua" w:hAnsi="Book Antiqua"/>
        <w:i/>
        <w:sz w:val="22"/>
        <w:szCs w:val="22"/>
        <w:lang w:val="es-PR"/>
      </w:rPr>
      <w:t xml:space="preserve"> del S.</w:t>
    </w:r>
    <w:r w:rsidR="00D3053D">
      <w:rPr>
        <w:rStyle w:val="PageNumber"/>
        <w:rFonts w:ascii="Book Antiqua" w:hAnsi="Book Antiqua"/>
        <w:i/>
        <w:sz w:val="22"/>
        <w:szCs w:val="22"/>
        <w:lang w:val="es-PR"/>
      </w:rPr>
      <w:t>32</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6B90"/>
    <w:rsid w:val="001319DA"/>
    <w:rsid w:val="00144AFF"/>
    <w:rsid w:val="0014633D"/>
    <w:rsid w:val="00147634"/>
    <w:rsid w:val="00152E5E"/>
    <w:rsid w:val="0015537F"/>
    <w:rsid w:val="00157737"/>
    <w:rsid w:val="001632EC"/>
    <w:rsid w:val="00163B5C"/>
    <w:rsid w:val="00165840"/>
    <w:rsid w:val="00167228"/>
    <w:rsid w:val="00170953"/>
    <w:rsid w:val="00171EEE"/>
    <w:rsid w:val="00172896"/>
    <w:rsid w:val="0017614C"/>
    <w:rsid w:val="001B2971"/>
    <w:rsid w:val="001C6904"/>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58EB"/>
    <w:rsid w:val="002F60E4"/>
    <w:rsid w:val="00301861"/>
    <w:rsid w:val="00304C16"/>
    <w:rsid w:val="00310CDF"/>
    <w:rsid w:val="00327EDE"/>
    <w:rsid w:val="00330D59"/>
    <w:rsid w:val="00345202"/>
    <w:rsid w:val="00352C61"/>
    <w:rsid w:val="00353EC5"/>
    <w:rsid w:val="00360C0D"/>
    <w:rsid w:val="00361144"/>
    <w:rsid w:val="003618E3"/>
    <w:rsid w:val="00364DCF"/>
    <w:rsid w:val="00365790"/>
    <w:rsid w:val="003700E9"/>
    <w:rsid w:val="00371C36"/>
    <w:rsid w:val="00381FCA"/>
    <w:rsid w:val="00396BC5"/>
    <w:rsid w:val="00397AC7"/>
    <w:rsid w:val="003A32F1"/>
    <w:rsid w:val="003A69EF"/>
    <w:rsid w:val="003B1D9A"/>
    <w:rsid w:val="003B644B"/>
    <w:rsid w:val="003C66FA"/>
    <w:rsid w:val="003D07D2"/>
    <w:rsid w:val="003E749F"/>
    <w:rsid w:val="003F0372"/>
    <w:rsid w:val="003F2DE1"/>
    <w:rsid w:val="003F7352"/>
    <w:rsid w:val="003F7F49"/>
    <w:rsid w:val="004000AE"/>
    <w:rsid w:val="00403D0B"/>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300F"/>
    <w:rsid w:val="004D66E8"/>
    <w:rsid w:val="004E1C6B"/>
    <w:rsid w:val="004E6881"/>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0A6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3330"/>
    <w:rsid w:val="007A4D9A"/>
    <w:rsid w:val="007A52BD"/>
    <w:rsid w:val="007B1F4C"/>
    <w:rsid w:val="007B737C"/>
    <w:rsid w:val="007C1FB4"/>
    <w:rsid w:val="007C5402"/>
    <w:rsid w:val="007D483B"/>
    <w:rsid w:val="007D502B"/>
    <w:rsid w:val="007E56F0"/>
    <w:rsid w:val="00801D43"/>
    <w:rsid w:val="0080494A"/>
    <w:rsid w:val="008146F5"/>
    <w:rsid w:val="0082461D"/>
    <w:rsid w:val="0083160D"/>
    <w:rsid w:val="00835666"/>
    <w:rsid w:val="0084517F"/>
    <w:rsid w:val="00855DDC"/>
    <w:rsid w:val="00856C3D"/>
    <w:rsid w:val="00866623"/>
    <w:rsid w:val="00873014"/>
    <w:rsid w:val="0087700A"/>
    <w:rsid w:val="00887B5A"/>
    <w:rsid w:val="008945B2"/>
    <w:rsid w:val="008B5837"/>
    <w:rsid w:val="008C0089"/>
    <w:rsid w:val="008C4E1E"/>
    <w:rsid w:val="008C4E31"/>
    <w:rsid w:val="008D355B"/>
    <w:rsid w:val="008D3AED"/>
    <w:rsid w:val="008D3EE6"/>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7AE4"/>
    <w:rsid w:val="009E097D"/>
    <w:rsid w:val="009F1CEE"/>
    <w:rsid w:val="009F71A9"/>
    <w:rsid w:val="00A00B79"/>
    <w:rsid w:val="00A06D24"/>
    <w:rsid w:val="00A107E2"/>
    <w:rsid w:val="00A2744F"/>
    <w:rsid w:val="00A3230B"/>
    <w:rsid w:val="00A338D0"/>
    <w:rsid w:val="00A361F6"/>
    <w:rsid w:val="00A42BD2"/>
    <w:rsid w:val="00A43C41"/>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11907"/>
    <w:rsid w:val="00B26C56"/>
    <w:rsid w:val="00B30485"/>
    <w:rsid w:val="00B34FF4"/>
    <w:rsid w:val="00B41EA0"/>
    <w:rsid w:val="00B42919"/>
    <w:rsid w:val="00B43B2F"/>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3F39"/>
    <w:rsid w:val="00DA7015"/>
    <w:rsid w:val="00DB74EB"/>
    <w:rsid w:val="00DD1DC0"/>
    <w:rsid w:val="00DD1FCB"/>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9B8"/>
    <w:rsid w:val="00F82035"/>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4166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2025-06-25T13:54:00Z</cp:lastPrinted>
  <dcterms:created xsi:type="dcterms:W3CDTF">2026-05-26T17:40:00Z</dcterms:created>
  <dcterms:modified xsi:type="dcterms:W3CDTF">2026-05-26T17:40:00Z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