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E0438" w14:textId="77777777" w:rsidR="00AF6B39" w:rsidRPr="00047D89" w:rsidRDefault="001D2A9F" w:rsidP="00FD72B1">
      <w:pPr>
        <w:jc w:val="center"/>
        <w:rPr>
          <w:rFonts w:ascii="Book Antiqua" w:hAnsi="Book Antiqua"/>
          <w:bCs/>
          <w:color w:val="000000" w:themeColor="text1"/>
          <w:sz w:val="28"/>
          <w:szCs w:val="28"/>
          <w:lang w:val="es-PR"/>
        </w:rPr>
      </w:pPr>
      <w:r w:rsidRPr="00047D89">
        <w:rPr>
          <w:rFonts w:ascii="Book Antiqua" w:hAnsi="Book Antiqua"/>
          <w:bCs/>
          <w:color w:val="000000" w:themeColor="text1"/>
          <w:sz w:val="28"/>
          <w:szCs w:val="28"/>
          <w:lang w:val="es-PR"/>
        </w:rPr>
        <w:t>GOBIERNO DE PUERTO RICO</w:t>
      </w:r>
    </w:p>
    <w:p w14:paraId="2F72E3DF" w14:textId="77777777" w:rsidR="00AF6B39" w:rsidRPr="00047D89" w:rsidRDefault="00AF6B39" w:rsidP="00FD72B1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F72E3E0" w14:textId="52F998D3" w:rsidR="00AF6B39" w:rsidRPr="00FD72B1" w:rsidRDefault="00FD72B1" w:rsidP="00FD72B1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FD72B1">
        <w:rPr>
          <w:rFonts w:ascii="Book Antiqua" w:eastAsia="Book Antiqua" w:hAnsi="Book Antiqua" w:cs="Book Antiqua"/>
          <w:color w:val="000000" w:themeColor="text1"/>
          <w:lang w:val="it-IT"/>
        </w:rPr>
        <w:t xml:space="preserve">20ma. </w:t>
      </w:r>
      <w:r w:rsidR="001D2A9F" w:rsidRPr="00FD72B1">
        <w:rPr>
          <w:rFonts w:ascii="Book Antiqua" w:eastAsia="Book Antiqua" w:hAnsi="Book Antiqua" w:cs="Book Antiqua"/>
          <w:color w:val="000000" w:themeColor="text1"/>
          <w:lang w:val="es-PR"/>
        </w:rPr>
        <w:t>Asamblea</w:t>
      </w:r>
      <w:r w:rsidR="001D2A9F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     1ra.</w:t>
      </w:r>
      <w:r w:rsidRPr="00FD72B1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 xml:space="preserve"> </w:t>
      </w:r>
      <w:r w:rsidR="001D2A9F" w:rsidRPr="00FD72B1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0BE2BE96" w14:textId="17BFE173" w:rsidR="00FD72B1" w:rsidRPr="00FD72B1" w:rsidRDefault="00FD72B1" w:rsidP="00FD72B1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          </w:t>
      </w:r>
      <w:r w:rsidR="001D2A9F" w:rsidRPr="00FD72B1">
        <w:rPr>
          <w:rFonts w:ascii="Book Antiqua" w:eastAsia="Book Antiqua" w:hAnsi="Book Antiqua" w:cs="Book Antiqua"/>
          <w:color w:val="000000" w:themeColor="text1"/>
          <w:lang w:val="es-PR"/>
        </w:rPr>
        <w:t>Legislativa</w:t>
      </w:r>
      <w:r w:rsidR="001D2A9F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     </w:t>
      </w: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>Or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dinaria</w:t>
      </w:r>
    </w:p>
    <w:p w14:paraId="2F72E3E2" w14:textId="1D4E6623" w:rsidR="00AF6B39" w:rsidRPr="00FD72B1" w:rsidRDefault="001D2A9F" w:rsidP="00FD72B1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D72B1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D72B1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D72B1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D72B1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D72B1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D72B1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D72B1" w:rsidRPr="00FD72B1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                    </w:t>
      </w:r>
    </w:p>
    <w:p w14:paraId="4B1DE8F2" w14:textId="77777777" w:rsidR="00AF6B39" w:rsidRPr="00047D89" w:rsidRDefault="001D2A9F" w:rsidP="00FD72B1">
      <w:pPr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047D89">
        <w:rPr>
          <w:rFonts w:ascii="Book Antiqua" w:hAnsi="Book Antiqua"/>
          <w:b/>
          <w:color w:val="000000" w:themeColor="text1"/>
          <w:sz w:val="36"/>
          <w:lang w:val="es-ES"/>
        </w:rPr>
        <w:t>CÁMARA DE REPRESENTANTES</w:t>
      </w:r>
      <w:r w:rsidRPr="00047D89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 </w:t>
      </w:r>
    </w:p>
    <w:p w14:paraId="2CAD5DEF" w14:textId="77777777" w:rsidR="00FD72B1" w:rsidRPr="00FD72B1" w:rsidRDefault="00FD72B1" w:rsidP="00FD72B1">
      <w:pPr>
        <w:jc w:val="center"/>
        <w:rPr>
          <w:rFonts w:ascii="Book Antiqua" w:eastAsia="Book Antiqua" w:hAnsi="Book Antiqua" w:cs="Book Antiqua"/>
          <w:b/>
          <w:color w:val="000000" w:themeColor="text1"/>
          <w:lang w:val="es-PR"/>
        </w:rPr>
      </w:pPr>
    </w:p>
    <w:p w14:paraId="2F72E3E4" w14:textId="7106CB2C" w:rsidR="00AF6B39" w:rsidRPr="00047D89" w:rsidRDefault="001D2A9F" w:rsidP="00FD72B1">
      <w:pPr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047D89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5D267B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417</w:t>
      </w:r>
    </w:p>
    <w:p w14:paraId="74FC4C93" w14:textId="77777777" w:rsidR="00FD72B1" w:rsidRDefault="00FD72B1" w:rsidP="00FD72B1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E03E3EB" w14:textId="2ABFAF84" w:rsidR="00AF6B39" w:rsidRPr="00047D89" w:rsidRDefault="005D267B" w:rsidP="00FD72B1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18 </w:t>
      </w:r>
      <w:r w:rsidR="00FD72B1">
        <w:rPr>
          <w:rFonts w:ascii="Book Antiqua" w:eastAsia="Book Antiqua" w:hAnsi="Book Antiqua" w:cs="Book Antiqua"/>
          <w:color w:val="000000" w:themeColor="text1"/>
          <w:lang w:val="es-PR"/>
        </w:rPr>
        <w:t>DE MARZO DE</w:t>
      </w:r>
      <w:r w:rsidR="001D2A9F" w:rsidRPr="00047D89">
        <w:rPr>
          <w:rFonts w:ascii="Book Antiqua" w:eastAsia="Book Antiqua" w:hAnsi="Book Antiqua" w:cs="Book Antiqua"/>
          <w:color w:val="000000" w:themeColor="text1"/>
          <w:lang w:val="es-PR"/>
        </w:rPr>
        <w:t xml:space="preserve"> 2025</w:t>
      </w:r>
    </w:p>
    <w:p w14:paraId="24DF9322" w14:textId="77777777" w:rsidR="00AF6B39" w:rsidRPr="00047D89" w:rsidRDefault="00AF6B39">
      <w:pPr>
        <w:spacing w:before="12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D749A65" w14:textId="77777777" w:rsidR="00AF6B39" w:rsidRPr="00047D89" w:rsidRDefault="001D2A9F" w:rsidP="0097051F">
      <w:pPr>
        <w:ind w:left="810" w:hanging="540"/>
        <w:jc w:val="both"/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</w:pPr>
      <w:bookmarkStart w:id="0" w:name="_heading=h.gjdgxs" w:colFirst="0" w:colLast="0"/>
      <w:bookmarkEnd w:id="0"/>
      <w:r w:rsidRPr="00047D89">
        <w:rPr>
          <w:rFonts w:ascii="Book Antiqua" w:eastAsia="Book Antiqua" w:hAnsi="Book Antiqua" w:cs="Book Antiqua"/>
          <w:color w:val="000000" w:themeColor="text1"/>
          <w:lang w:val="es-PR"/>
        </w:rPr>
        <w:t xml:space="preserve">Presentado por </w:t>
      </w:r>
      <w:r w:rsidRPr="00047D89">
        <w:rPr>
          <w:rFonts w:ascii="Book Antiqua" w:hAnsi="Book Antiqua"/>
          <w:color w:val="000000" w:themeColor="text1"/>
          <w:lang w:val="es-ES"/>
        </w:rPr>
        <w:t xml:space="preserve">el representante </w:t>
      </w:r>
      <w:r w:rsidRPr="00047D89">
        <w:rPr>
          <w:rFonts w:ascii="Book Antiqua" w:hAnsi="Book Antiqua"/>
          <w:i/>
          <w:iCs/>
          <w:color w:val="000000" w:themeColor="text1"/>
          <w:lang w:val="es-PR"/>
        </w:rPr>
        <w:t xml:space="preserve">Méndez Núñez;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la representante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Lebrón Rodríguez;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los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la representante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del Valle Correa;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los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Estévez Vélez, Franqui Atiles;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las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González Aguayo, González González;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los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Hernández Concepción, Jiménez Torres;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las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Martínez Vázquez, Medina Calderón;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los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Morey Noble, Muriel Sánchez, Navarro Suárez, Nieves, Rosario, Ocasio Ramos, Pacheco Burgos, Parés Otero;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la representante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Peña Dávila;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los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Pérez Cordero, Pérez Ortiz;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las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Pérez Ramírez, Ramos Rivera; </w:t>
      </w:r>
      <w:r w:rsidRPr="00047D89">
        <w:rPr>
          <w:rFonts w:ascii="Book Antiqua" w:eastAsia="Aptos" w:hAnsi="Book Antiqua"/>
          <w:color w:val="000000" w:themeColor="text1"/>
          <w:kern w:val="2"/>
          <w:lang w:val="es-ES"/>
          <w14:ligatures w14:val="standardContextual"/>
        </w:rPr>
        <w:t>los representantes</w:t>
      </w:r>
      <w:r w:rsidRPr="00047D89"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619A291A" w14:textId="77777777" w:rsidR="00AF6B39" w:rsidRPr="00047D89" w:rsidRDefault="00AF6B39">
      <w:pPr>
        <w:ind w:left="810" w:hanging="810"/>
        <w:jc w:val="both"/>
        <w:rPr>
          <w:rFonts w:ascii="Book Antiqua" w:eastAsia="Aptos" w:hAnsi="Book Antiqua"/>
          <w:i/>
          <w:iCs/>
          <w:color w:val="000000" w:themeColor="text1"/>
          <w:kern w:val="2"/>
          <w:lang w:val="es-ES"/>
          <w14:ligatures w14:val="standardContextual"/>
        </w:rPr>
      </w:pPr>
    </w:p>
    <w:p w14:paraId="2F72E3E9" w14:textId="5E29D479" w:rsidR="00AF6B39" w:rsidRPr="00047D89" w:rsidRDefault="001D2A9F">
      <w:pPr>
        <w:spacing w:before="120"/>
        <w:ind w:left="720" w:hanging="630"/>
        <w:jc w:val="center"/>
        <w:rPr>
          <w:rFonts w:ascii="Book Antiqua" w:eastAsia="Book Antiqua" w:hAnsi="Book Antiqua" w:cs="Book Antiqua"/>
          <w:iCs/>
          <w:color w:val="000000" w:themeColor="text1"/>
          <w:lang w:val="es-PR"/>
        </w:rPr>
      </w:pPr>
      <w:r w:rsidRPr="00047D89">
        <w:rPr>
          <w:rFonts w:ascii="Book Antiqua" w:eastAsia="Book Antiqua" w:hAnsi="Book Antiqua" w:cs="Book Antiqua"/>
          <w:iCs/>
          <w:color w:val="000000" w:themeColor="text1"/>
          <w:lang w:val="es-PR"/>
        </w:rPr>
        <w:t>Referido a</w:t>
      </w:r>
      <w:r w:rsidR="00921C1A">
        <w:rPr>
          <w:rFonts w:ascii="Book Antiqua" w:eastAsia="Book Antiqua" w:hAnsi="Book Antiqua" w:cs="Book Antiqua"/>
          <w:iCs/>
          <w:color w:val="000000" w:themeColor="text1"/>
          <w:lang w:val="es-PR"/>
        </w:rPr>
        <w:t xml:space="preserve"> las Comisiones de lo Jurídico; y de Asuntos de la Mujer</w:t>
      </w:r>
    </w:p>
    <w:p w14:paraId="6D8A4821" w14:textId="77777777" w:rsidR="00AF6B39" w:rsidRPr="00047D89" w:rsidRDefault="00AF6B39">
      <w:pPr>
        <w:jc w:val="center"/>
        <w:rPr>
          <w:rFonts w:ascii="Book Antiqua" w:eastAsia="Book Antiqua" w:hAnsi="Book Antiqua" w:cs="Book Antiqua"/>
          <w:i/>
          <w:color w:val="000000" w:themeColor="text1"/>
          <w:lang w:val="es-PR"/>
        </w:rPr>
      </w:pPr>
    </w:p>
    <w:p w14:paraId="2F72E3EA" w14:textId="77777777" w:rsidR="00AF6B39" w:rsidRPr="00047D89" w:rsidRDefault="001D2A9F">
      <w:pPr>
        <w:jc w:val="center"/>
        <w:rPr>
          <w:rFonts w:ascii="Book Antiqua" w:eastAsia="Book Antiqua" w:hAnsi="Book Antiqua" w:cs="Book Antiqua"/>
          <w:b/>
          <w:color w:val="000000" w:themeColor="text1"/>
          <w:sz w:val="28"/>
          <w:szCs w:val="28"/>
          <w:lang w:val="es-PR"/>
        </w:rPr>
      </w:pPr>
      <w:r w:rsidRPr="00047D89">
        <w:rPr>
          <w:rFonts w:ascii="Book Antiqua" w:eastAsia="Book Antiqua" w:hAnsi="Book Antiqua" w:cs="Book Antiqua"/>
          <w:b/>
          <w:color w:val="000000" w:themeColor="text1"/>
          <w:sz w:val="28"/>
          <w:szCs w:val="28"/>
          <w:lang w:val="es-PR"/>
        </w:rPr>
        <w:t>LEY</w:t>
      </w:r>
    </w:p>
    <w:p w14:paraId="2F72E3EB" w14:textId="77777777" w:rsidR="00AF6B39" w:rsidRPr="00047D89" w:rsidRDefault="00AF6B39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179A325" w14:textId="79B3662D" w:rsidR="00AF6B39" w:rsidRPr="00047D89" w:rsidRDefault="001D2A9F">
      <w:pPr>
        <w:adjustRightInd w:val="0"/>
        <w:ind w:left="720" w:hanging="720"/>
        <w:jc w:val="both"/>
        <w:rPr>
          <w:rFonts w:ascii="Book Antiqua" w:hAnsi="Book Antiqua"/>
          <w:color w:val="000000" w:themeColor="text1"/>
          <w:spacing w:val="1"/>
          <w:lang w:val="es-ES"/>
        </w:rPr>
      </w:pPr>
      <w:r w:rsidRPr="00047D89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Pr="00047D89">
        <w:rPr>
          <w:rFonts w:ascii="Book Antiqua" w:hAnsi="Book Antiqua"/>
          <w:color w:val="000000" w:themeColor="text1"/>
          <w:spacing w:val="1"/>
          <w:lang w:val="es-ES"/>
        </w:rPr>
        <w:t>enmendar el Artículo 2.006 de la Ley 201-2003, según enmendada, conocida como “Ley de la Judicatura del Estado Libre Asociado de Puerto Rico de 2003” a los fines de requerir que sea parte inherente del sistema de educación judicial, ofrecer adiestramientos en el tema de Violencia Doméstica y que el adiestramiento sea ofrecido dos (2) veces al año por la Oficina de la Procuradora de las Mujeres</w:t>
      </w:r>
      <w:r w:rsidR="00801518">
        <w:rPr>
          <w:rFonts w:ascii="Book Antiqua" w:hAnsi="Book Antiqua"/>
          <w:color w:val="000000" w:themeColor="text1"/>
          <w:spacing w:val="1"/>
          <w:lang w:val="es-ES"/>
        </w:rPr>
        <w:t xml:space="preserve"> y para otros fines relacionados.</w:t>
      </w:r>
    </w:p>
    <w:p w14:paraId="7BC6E5FA" w14:textId="77777777" w:rsidR="00AF6B39" w:rsidRPr="00047D89" w:rsidRDefault="00AF6B39">
      <w:pPr>
        <w:ind w:left="720" w:hanging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27D49318" w14:textId="77777777" w:rsidR="00AF6B39" w:rsidRPr="00047D89" w:rsidRDefault="001D2A9F">
      <w:pPr>
        <w:jc w:val="center"/>
        <w:rPr>
          <w:rFonts w:ascii="Book Antiqua" w:hAnsi="Book Antiqua"/>
          <w:bCs/>
          <w:color w:val="000000" w:themeColor="text1"/>
          <w:lang w:val="es-PR"/>
        </w:rPr>
      </w:pPr>
      <w:r w:rsidRPr="00047D89">
        <w:rPr>
          <w:rFonts w:ascii="Book Antiqua" w:hAnsi="Book Antiqua"/>
          <w:bCs/>
          <w:color w:val="000000" w:themeColor="text1"/>
          <w:lang w:val="es-PR"/>
        </w:rPr>
        <w:t>EXPOSICIÓN DE MOTIVOS</w:t>
      </w:r>
    </w:p>
    <w:p w14:paraId="43A7CB5F" w14:textId="77777777" w:rsidR="00AF6B39" w:rsidRPr="00047D89" w:rsidRDefault="00AF6B39">
      <w:pPr>
        <w:jc w:val="center"/>
        <w:rPr>
          <w:rFonts w:ascii="Book Antiqua" w:hAnsi="Book Antiqua"/>
          <w:bCs/>
          <w:color w:val="000000" w:themeColor="text1"/>
          <w:lang w:val="es-PR"/>
        </w:rPr>
      </w:pPr>
    </w:p>
    <w:p w14:paraId="7918C683" w14:textId="7B13C1CC" w:rsidR="00AF6B39" w:rsidRPr="00047D89" w:rsidRDefault="001D2A9F" w:rsidP="00FD72B1">
      <w:pPr>
        <w:ind w:firstLine="720"/>
        <w:jc w:val="both"/>
        <w:rPr>
          <w:rFonts w:ascii="Book Antiqua" w:hAnsi="Book Antiqua"/>
          <w:color w:val="000000" w:themeColor="text1"/>
          <w:lang w:val="es-ES"/>
        </w:rPr>
      </w:pPr>
      <w:bookmarkStart w:id="1" w:name="_Hlk192689607"/>
      <w:r w:rsidRPr="00047D89">
        <w:rPr>
          <w:rFonts w:ascii="Book Antiqua" w:hAnsi="Book Antiqua"/>
          <w:color w:val="000000" w:themeColor="text1"/>
          <w:lang w:val="es-PR"/>
        </w:rPr>
        <w:t xml:space="preserve">La violencia doméstica es un patrón de conducta donde se emplea la fuerza física, el maltrato psicológico, la agresión sexual, la intimidación o la persecución contra una persona por parte de su pareja o </w:t>
      </w:r>
      <w:r w:rsidR="001A0E47" w:rsidRPr="00047D89">
        <w:rPr>
          <w:rFonts w:ascii="Book Antiqua" w:hAnsi="Book Antiqua"/>
          <w:color w:val="000000" w:themeColor="text1"/>
          <w:lang w:val="es-PR"/>
        </w:rPr>
        <w:t>expareja</w:t>
      </w:r>
      <w:r w:rsidRPr="00047D89">
        <w:rPr>
          <w:rFonts w:ascii="Book Antiqua" w:hAnsi="Book Antiqua"/>
          <w:color w:val="000000" w:themeColor="text1"/>
          <w:lang w:val="es-PR"/>
        </w:rPr>
        <w:t xml:space="preserve">. </w:t>
      </w:r>
      <w:r w:rsidRPr="00047D89">
        <w:rPr>
          <w:rFonts w:ascii="Book Antiqua" w:hAnsi="Book Antiqua"/>
          <w:color w:val="000000" w:themeColor="text1"/>
          <w:lang w:val="es-ES"/>
        </w:rPr>
        <w:t xml:space="preserve">En los últimos años Puerto Rico se ha enfrentado a una ola sin precedentes de violencia doméstica. Cada año se reportan más de seis mil (6,000) incidentes de violencia doméstica en </w:t>
      </w:r>
      <w:r w:rsidR="00737820" w:rsidRPr="00047D89">
        <w:rPr>
          <w:rFonts w:ascii="Book Antiqua" w:hAnsi="Book Antiqua"/>
          <w:color w:val="000000" w:themeColor="text1"/>
          <w:lang w:val="es-ES"/>
        </w:rPr>
        <w:t>nuestra jurisdicción</w:t>
      </w:r>
      <w:r w:rsidRPr="00047D89">
        <w:rPr>
          <w:rFonts w:ascii="Book Antiqua" w:hAnsi="Book Antiqua"/>
          <w:color w:val="000000" w:themeColor="text1"/>
          <w:lang w:val="es-ES"/>
        </w:rPr>
        <w:t xml:space="preserve">. </w:t>
      </w:r>
    </w:p>
    <w:p w14:paraId="046AC497" w14:textId="77777777" w:rsidR="00AF6B39" w:rsidRPr="00047D89" w:rsidRDefault="001D2A9F" w:rsidP="00FD72B1">
      <w:pPr>
        <w:ind w:firstLine="720"/>
        <w:jc w:val="both"/>
        <w:rPr>
          <w:rFonts w:ascii="Book Antiqua" w:hAnsi="Book Antiqua" w:cs="TimesNewRoman"/>
          <w:color w:val="000000" w:themeColor="text1"/>
          <w:lang w:val="es-ES"/>
        </w:rPr>
      </w:pPr>
      <w:r w:rsidRPr="00047D89">
        <w:rPr>
          <w:rFonts w:ascii="Book Antiqua" w:hAnsi="Book Antiqua" w:cs="TimesNewRoman"/>
          <w:color w:val="000000" w:themeColor="text1"/>
          <w:lang w:val="es-ES"/>
        </w:rPr>
        <w:lastRenderedPageBreak/>
        <w:t xml:space="preserve">Debemos reconocer que las mujeres siguen siendo objeto de </w:t>
      </w:r>
      <w:r w:rsidRPr="00047D89">
        <w:rPr>
          <w:rFonts w:ascii="Book Antiqua" w:hAnsi="Book Antiqua"/>
          <w:color w:val="000000" w:themeColor="text1"/>
          <w:lang w:val="es-ES"/>
        </w:rPr>
        <w:t xml:space="preserve">injustas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discriminaciones, opresiones y marginaciones que violan los principios de igualdad de derechos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y el respeto de la dignidad humana y que dificultan su participación en la vida política, social,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económica, cultural y civil. Por lo que se hace necesario fortalecer y consolidar los instrumentos y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mecanismos que tiene el Estado para la implantación efectiva de esta política de igualdad social,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equidad por género, respeto por la pluralidad, las diferencias y la diversidad. Es parte esencial de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esta política pública garantizar estos derechos y que todas las mujeres, sin importar su ubicación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geográfica, edad, raza, etnia, estado civil, orientación sexual, condición social y económica,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capacidad física, afiliación política y religiosa, tengan acceso a los procesos de participación que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>genere la Procuraduría en el desempeño de sus funciones.</w:t>
      </w:r>
    </w:p>
    <w:p w14:paraId="7BC58255" w14:textId="77777777" w:rsidR="002B13EF" w:rsidRDefault="002B13EF" w:rsidP="00FD72B1">
      <w:pPr>
        <w:ind w:firstLine="720"/>
        <w:jc w:val="both"/>
        <w:rPr>
          <w:rFonts w:ascii="Book Antiqua" w:hAnsi="Book Antiqua" w:cs="TimesNewRoman"/>
          <w:color w:val="000000" w:themeColor="text1"/>
          <w:lang w:val="es-ES"/>
        </w:rPr>
      </w:pPr>
    </w:p>
    <w:p w14:paraId="3B176040" w14:textId="0F2AE5FB" w:rsidR="00AF6B39" w:rsidRPr="00047D89" w:rsidRDefault="001D2A9F" w:rsidP="00FD72B1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047D89">
        <w:rPr>
          <w:rFonts w:ascii="Book Antiqua" w:hAnsi="Book Antiqua" w:cs="TimesNewRoman"/>
          <w:color w:val="000000" w:themeColor="text1"/>
          <w:lang w:val="es-ES"/>
        </w:rPr>
        <w:t>Los jueces</w:t>
      </w:r>
      <w:r w:rsidRPr="00047D89">
        <w:rPr>
          <w:rFonts w:ascii="Book Antiqua" w:hAnsi="Book Antiqua"/>
          <w:color w:val="000000" w:themeColor="text1"/>
          <w:lang w:val="es-PR"/>
        </w:rPr>
        <w:t xml:space="preserve"> </w:t>
      </w:r>
      <w:r w:rsidRPr="00047D89">
        <w:rPr>
          <w:rFonts w:ascii="Book Antiqua" w:hAnsi="Book Antiqua" w:cs="TimesNewRoman"/>
          <w:color w:val="000000" w:themeColor="text1"/>
          <w:lang w:val="es-ES"/>
        </w:rPr>
        <w:t xml:space="preserve">en el desempeño de sus funciones judiciales son los que a diario se enfrentan a estas situaciones </w:t>
      </w:r>
      <w:r w:rsidR="009E1528">
        <w:rPr>
          <w:rFonts w:ascii="Book Antiqua" w:hAnsi="Book Antiqua" w:cs="TimesNewRoman"/>
          <w:color w:val="000000" w:themeColor="text1"/>
          <w:lang w:val="es-ES"/>
        </w:rPr>
        <w:t xml:space="preserve">de </w:t>
      </w:r>
      <w:r w:rsidR="009E1528" w:rsidRPr="00047D89">
        <w:rPr>
          <w:rFonts w:ascii="Book Antiqua" w:hAnsi="Book Antiqua"/>
          <w:color w:val="000000" w:themeColor="text1"/>
          <w:lang w:val="es-ES"/>
        </w:rPr>
        <w:t>víctimas</w:t>
      </w:r>
      <w:r w:rsidRPr="00047D89">
        <w:rPr>
          <w:rFonts w:ascii="Book Antiqua" w:hAnsi="Book Antiqua"/>
          <w:color w:val="000000" w:themeColor="text1"/>
          <w:lang w:val="es-ES"/>
        </w:rPr>
        <w:t xml:space="preserve"> de doméstica en cualquiera de sus modalidades.  </w:t>
      </w:r>
      <w:r w:rsidRPr="00047D89">
        <w:rPr>
          <w:rFonts w:ascii="Book Antiqua" w:hAnsi="Book Antiqua"/>
          <w:color w:val="000000" w:themeColor="text1"/>
          <w:lang w:val="es-PR"/>
        </w:rPr>
        <w:t xml:space="preserve">La confianza del Pueblo en el sistema judicial exige que estos actúen correctamente y conforme a los más altos principios morales al atender esta y todas las controversias presentadas ante sí. </w:t>
      </w:r>
    </w:p>
    <w:p w14:paraId="172FC4E6" w14:textId="77777777" w:rsidR="002B13EF" w:rsidRDefault="002B13EF" w:rsidP="00FD72B1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4DD53E47" w14:textId="2F4C24E2" w:rsidR="00FA3D7B" w:rsidRDefault="00FA3D7B" w:rsidP="00FD72B1">
      <w:pPr>
        <w:ind w:firstLine="720"/>
        <w:jc w:val="both"/>
        <w:rPr>
          <w:rFonts w:ascii="Book Antiqua" w:hAnsi="Book Antiqua"/>
          <w:color w:val="000000" w:themeColor="text1"/>
          <w:lang w:val="es-ES"/>
        </w:rPr>
      </w:pPr>
      <w:r w:rsidRPr="00047D89">
        <w:rPr>
          <w:rFonts w:ascii="Book Antiqua" w:hAnsi="Book Antiqua"/>
          <w:color w:val="000000" w:themeColor="text1"/>
          <w:lang w:val="es-PR"/>
        </w:rPr>
        <w:t>Como cuestión de hecho</w:t>
      </w:r>
      <w:r w:rsidR="00FE25AC" w:rsidRPr="00047D89">
        <w:rPr>
          <w:rFonts w:ascii="Book Antiqua" w:hAnsi="Book Antiqua"/>
          <w:color w:val="000000" w:themeColor="text1"/>
          <w:lang w:val="es-PR"/>
        </w:rPr>
        <w:t>, desde al menos 2016, la Rama Judicial del Gobierno de Puerto Rico tiene un programa educativo, para los jueces y la comunidad</w:t>
      </w:r>
      <w:r w:rsidR="009E1528">
        <w:rPr>
          <w:rFonts w:ascii="Book Antiqua" w:hAnsi="Book Antiqua"/>
          <w:color w:val="000000" w:themeColor="text1"/>
          <w:lang w:val="es-PR"/>
        </w:rPr>
        <w:t xml:space="preserve"> jurídica</w:t>
      </w:r>
      <w:r w:rsidR="00FE25AC" w:rsidRPr="00047D89">
        <w:rPr>
          <w:rFonts w:ascii="Book Antiqua" w:hAnsi="Book Antiqua"/>
          <w:color w:val="000000" w:themeColor="text1"/>
          <w:lang w:val="es-PR"/>
        </w:rPr>
        <w:t xml:space="preserve">, que busca continuar </w:t>
      </w:r>
      <w:r w:rsidR="0016702E" w:rsidRPr="00047D89">
        <w:rPr>
          <w:rFonts w:ascii="Book Antiqua" w:hAnsi="Book Antiqua"/>
          <w:color w:val="000000" w:themeColor="text1"/>
          <w:lang w:val="es-PR"/>
        </w:rPr>
        <w:t xml:space="preserve">coordinando esfuerzos para erradicar esta complicada problemática social. El programa actual busca </w:t>
      </w:r>
      <w:r w:rsidR="00CF6442" w:rsidRPr="00047D89">
        <w:rPr>
          <w:rFonts w:ascii="Book Antiqua" w:hAnsi="Book Antiqua"/>
          <w:color w:val="000000" w:themeColor="text1"/>
          <w:lang w:val="es-ES"/>
        </w:rPr>
        <w:t>desarrolla</w:t>
      </w:r>
      <w:r w:rsidR="009E1528">
        <w:rPr>
          <w:rFonts w:ascii="Book Antiqua" w:hAnsi="Book Antiqua"/>
          <w:color w:val="000000" w:themeColor="text1"/>
          <w:lang w:val="es-ES"/>
        </w:rPr>
        <w:t>r</w:t>
      </w:r>
      <w:r w:rsidR="00CF6442" w:rsidRPr="00047D89">
        <w:rPr>
          <w:rFonts w:ascii="Book Antiqua" w:hAnsi="Book Antiqua"/>
          <w:color w:val="000000" w:themeColor="text1"/>
          <w:lang w:val="es-ES"/>
        </w:rPr>
        <w:t xml:space="preserve"> e implementar </w:t>
      </w:r>
      <w:r w:rsidR="0016702E" w:rsidRPr="00047D89">
        <w:rPr>
          <w:rFonts w:ascii="Book Antiqua" w:hAnsi="Book Antiqua"/>
          <w:color w:val="000000" w:themeColor="text1"/>
          <w:lang w:val="es-ES"/>
        </w:rPr>
        <w:t xml:space="preserve">proyectos concretos para atajar el problema de violencia de género y atenderlo con la sensibilidad que </w:t>
      </w:r>
      <w:r w:rsidR="00CF6442" w:rsidRPr="00047D89">
        <w:rPr>
          <w:rFonts w:ascii="Book Antiqua" w:hAnsi="Book Antiqua"/>
          <w:color w:val="000000" w:themeColor="text1"/>
          <w:lang w:val="es-ES"/>
        </w:rPr>
        <w:t xml:space="preserve">se exige por </w:t>
      </w:r>
      <w:r w:rsidR="00072CA5" w:rsidRPr="00047D89">
        <w:rPr>
          <w:rFonts w:ascii="Book Antiqua" w:hAnsi="Book Antiqua"/>
          <w:color w:val="000000" w:themeColor="text1"/>
          <w:lang w:val="es-ES"/>
        </w:rPr>
        <w:t>la rama de gobierno encargada de atender los casos y controversias. De hecho, este programa es parte de cumplir con el mandato general, sobre la educación de las y los jueces, que actualmente tiene la Ley 201-2003</w:t>
      </w:r>
      <w:r w:rsidR="00844FE9" w:rsidRPr="00047D89">
        <w:rPr>
          <w:rFonts w:ascii="Book Antiqua" w:hAnsi="Book Antiqua"/>
          <w:color w:val="000000" w:themeColor="text1"/>
          <w:lang w:val="es-ES"/>
        </w:rPr>
        <w:t xml:space="preserve">, e incluye información sobre violencia cibernética, violencia doméstica, </w:t>
      </w:r>
      <w:r w:rsidR="000871E2" w:rsidRPr="00047D89">
        <w:rPr>
          <w:rFonts w:ascii="Book Antiqua" w:hAnsi="Book Antiqua"/>
          <w:color w:val="000000" w:themeColor="text1"/>
          <w:lang w:val="es-ES"/>
        </w:rPr>
        <w:t xml:space="preserve">violencia en el noviazgo, violencia sexual e incluso trata humana. </w:t>
      </w:r>
    </w:p>
    <w:p w14:paraId="3547D802" w14:textId="77777777" w:rsidR="002B13EF" w:rsidRPr="00047D89" w:rsidRDefault="002B13EF" w:rsidP="00FD72B1">
      <w:pPr>
        <w:ind w:firstLine="720"/>
        <w:jc w:val="both"/>
        <w:rPr>
          <w:rFonts w:ascii="Book Antiqua" w:hAnsi="Book Antiqua"/>
          <w:color w:val="000000" w:themeColor="text1"/>
          <w:lang w:val="es-ES"/>
        </w:rPr>
      </w:pPr>
    </w:p>
    <w:p w14:paraId="217CFDB7" w14:textId="013463A5" w:rsidR="00AF6B39" w:rsidRDefault="001D2A9F" w:rsidP="00FD72B1">
      <w:pPr>
        <w:ind w:firstLine="720"/>
        <w:jc w:val="both"/>
        <w:rPr>
          <w:rFonts w:ascii="Book Antiqua" w:hAnsi="Book Antiqua"/>
          <w:color w:val="000000" w:themeColor="text1"/>
          <w:lang w:val="es-ES" w:eastAsia="es-PR"/>
        </w:rPr>
      </w:pPr>
      <w:r w:rsidRPr="00047D89">
        <w:rPr>
          <w:rFonts w:ascii="Book Antiqua" w:hAnsi="Book Antiqua" w:cs="TimesNewRoman"/>
          <w:color w:val="000000" w:themeColor="text1"/>
          <w:lang w:val="es-ES"/>
        </w:rPr>
        <w:t xml:space="preserve"> </w:t>
      </w:r>
      <w:r w:rsidRPr="00047D89">
        <w:rPr>
          <w:rFonts w:ascii="Book Antiqua" w:hAnsi="Book Antiqua"/>
          <w:color w:val="000000" w:themeColor="text1"/>
          <w:lang w:val="es-PR"/>
        </w:rPr>
        <w:t>A tenor con lo antes expue</w:t>
      </w:r>
      <w:r w:rsidR="009B0BA3" w:rsidRPr="00047D89">
        <w:rPr>
          <w:rFonts w:ascii="Book Antiqua" w:hAnsi="Book Antiqua"/>
          <w:color w:val="000000" w:themeColor="text1"/>
          <w:lang w:val="es-PR"/>
        </w:rPr>
        <w:t xml:space="preserve">sto </w:t>
      </w:r>
      <w:r w:rsidRPr="00047D89">
        <w:rPr>
          <w:rFonts w:ascii="Book Antiqua" w:hAnsi="Book Antiqua"/>
          <w:color w:val="000000" w:themeColor="text1"/>
          <w:lang w:val="es-PR"/>
        </w:rPr>
        <w:t xml:space="preserve">esta Asamblea Legislativa </w:t>
      </w:r>
      <w:r w:rsidRPr="00047D89">
        <w:rPr>
          <w:rFonts w:ascii="Book Antiqua" w:hAnsi="Book Antiqua"/>
          <w:color w:val="000000" w:themeColor="text1"/>
          <w:lang w:val="es-ES"/>
        </w:rPr>
        <w:t xml:space="preserve">entiende indispensable </w:t>
      </w:r>
      <w:r w:rsidRPr="00047D89">
        <w:rPr>
          <w:rFonts w:ascii="Book Antiqua" w:hAnsi="Book Antiqua"/>
          <w:color w:val="000000" w:themeColor="text1"/>
          <w:lang w:val="es-ES" w:eastAsia="es-PR"/>
        </w:rPr>
        <w:t xml:space="preserve">que, como parte inherente del sistema de educación judicial, </w:t>
      </w:r>
      <w:r w:rsidR="009B0BA3" w:rsidRPr="00047D89">
        <w:rPr>
          <w:rFonts w:ascii="Book Antiqua" w:hAnsi="Book Antiqua"/>
          <w:color w:val="000000" w:themeColor="text1"/>
          <w:lang w:val="es-ES" w:eastAsia="es-PR"/>
        </w:rPr>
        <w:t>que a todos los jueces y juezas del Tribunal General de Justicia se</w:t>
      </w:r>
      <w:r w:rsidRPr="00047D89">
        <w:rPr>
          <w:rFonts w:ascii="Book Antiqua" w:hAnsi="Book Antiqua"/>
          <w:color w:val="000000" w:themeColor="text1"/>
          <w:lang w:val="es-ES" w:eastAsia="es-PR"/>
        </w:rPr>
        <w:t xml:space="preserve"> les requiera que </w:t>
      </w:r>
      <w:r w:rsidR="009E1528">
        <w:rPr>
          <w:rFonts w:ascii="Book Antiqua" w:hAnsi="Book Antiqua"/>
          <w:color w:val="000000" w:themeColor="text1"/>
          <w:lang w:val="es-ES" w:eastAsia="es-PR"/>
        </w:rPr>
        <w:t>dos veces al año</w:t>
      </w:r>
      <w:r w:rsidRPr="00047D89">
        <w:rPr>
          <w:rFonts w:ascii="Book Antiqua" w:hAnsi="Book Antiqua"/>
          <w:color w:val="000000" w:themeColor="text1"/>
          <w:lang w:val="es-ES" w:eastAsia="es-PR"/>
        </w:rPr>
        <w:t xml:space="preserve"> tomen adiestramientos sobre el tema de Violencia Doméstica y sobre los cambios en políticas y procedimientos relacionados a la “</w:t>
      </w:r>
      <w:r w:rsidRPr="00047D89">
        <w:rPr>
          <w:rFonts w:ascii="Book Antiqua" w:hAnsi="Book Antiqua"/>
          <w:color w:val="000000" w:themeColor="text1"/>
          <w:lang w:val="es-ES"/>
        </w:rPr>
        <w:t>Ley para la Prevención e Intervención con la Violencia Doméstica</w:t>
      </w:r>
      <w:r w:rsidRPr="00047D89">
        <w:rPr>
          <w:rFonts w:ascii="Book Antiqua" w:hAnsi="Book Antiqua"/>
          <w:color w:val="000000" w:themeColor="text1"/>
          <w:lang w:val="es-ES" w:eastAsia="es-PR"/>
        </w:rPr>
        <w:t>.”</w:t>
      </w:r>
    </w:p>
    <w:bookmarkEnd w:id="1"/>
    <w:p w14:paraId="37111C30" w14:textId="77777777" w:rsidR="002B13EF" w:rsidRPr="00047D89" w:rsidRDefault="002B13EF" w:rsidP="002B13EF">
      <w:pPr>
        <w:jc w:val="both"/>
        <w:rPr>
          <w:rFonts w:ascii="Book Antiqua" w:hAnsi="Book Antiqua"/>
          <w:color w:val="000000" w:themeColor="text1"/>
          <w:lang w:val="es-ES" w:eastAsia="es-PR"/>
        </w:rPr>
      </w:pPr>
    </w:p>
    <w:p w14:paraId="2F72E3F5" w14:textId="77777777" w:rsidR="00AF6B39" w:rsidRPr="00047D89" w:rsidRDefault="001D2A9F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AF6B39" w:rsidRPr="00047D89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047D89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43BA8A2E" w14:textId="77777777" w:rsidR="00AF6B39" w:rsidRPr="00047D89" w:rsidRDefault="001D2A9F">
      <w:pPr>
        <w:spacing w:line="480" w:lineRule="auto"/>
        <w:ind w:firstLine="708"/>
        <w:jc w:val="both"/>
        <w:rPr>
          <w:rFonts w:ascii="Book Antiqua" w:hAnsi="Book Antiqua"/>
          <w:color w:val="000000" w:themeColor="text1"/>
          <w:lang w:val="es-ES" w:eastAsia="es-PR"/>
        </w:rPr>
      </w:pPr>
      <w:bookmarkStart w:id="2" w:name="{20F4}"/>
      <w:bookmarkStart w:id="3" w:name="_Hlk192689640"/>
      <w:bookmarkEnd w:id="2"/>
      <w:r w:rsidRPr="00047D89">
        <w:rPr>
          <w:rFonts w:ascii="Book Antiqua" w:hAnsi="Book Antiqua"/>
          <w:color w:val="000000" w:themeColor="text1"/>
          <w:lang w:val="es-ES"/>
        </w:rPr>
        <w:t>Sección 1.-</w:t>
      </w:r>
      <w:r w:rsidRPr="00047D89">
        <w:rPr>
          <w:rFonts w:ascii="Book Antiqua" w:hAnsi="Book Antiqua"/>
          <w:color w:val="000000" w:themeColor="text1"/>
          <w:lang w:val="es-ES" w:eastAsia="es-PR"/>
        </w:rPr>
        <w:t>Se enmienda el Artículo 2.006 de la Ley 201-2003, según enmendada, para que se lea como sigue:</w:t>
      </w:r>
    </w:p>
    <w:p w14:paraId="6653E2DF" w14:textId="77777777" w:rsidR="00AF6B39" w:rsidRPr="00047D89" w:rsidRDefault="001D2A9F">
      <w:pPr>
        <w:spacing w:line="480" w:lineRule="auto"/>
        <w:ind w:left="720" w:firstLine="720"/>
        <w:jc w:val="both"/>
        <w:rPr>
          <w:rFonts w:ascii="Book Antiqua" w:hAnsi="Book Antiqua"/>
          <w:color w:val="000000" w:themeColor="text1"/>
          <w:lang w:val="es-PR" w:eastAsia="es-PR"/>
        </w:rPr>
      </w:pPr>
      <w:r w:rsidRPr="00047D89">
        <w:rPr>
          <w:rFonts w:ascii="Book Antiqua" w:hAnsi="Book Antiqua"/>
          <w:b/>
          <w:color w:val="000000" w:themeColor="text1"/>
          <w:lang w:val="es-PR" w:eastAsia="es-PR"/>
        </w:rPr>
        <w:lastRenderedPageBreak/>
        <w:t>“</w:t>
      </w:r>
      <w:r w:rsidRPr="00047D89">
        <w:rPr>
          <w:rFonts w:ascii="Book Antiqua" w:hAnsi="Book Antiqua"/>
          <w:color w:val="000000" w:themeColor="text1"/>
          <w:lang w:val="es-PR" w:eastAsia="es-PR"/>
        </w:rPr>
        <w:t>Artículo 2.006.-Educación judicial</w:t>
      </w:r>
    </w:p>
    <w:p w14:paraId="195716B1" w14:textId="5FAAAB79" w:rsidR="00AF6B39" w:rsidRPr="00047D89" w:rsidRDefault="009C2B88" w:rsidP="007678B7">
      <w:pPr>
        <w:tabs>
          <w:tab w:val="left" w:pos="360"/>
        </w:tabs>
        <w:spacing w:line="480" w:lineRule="auto"/>
        <w:jc w:val="both"/>
        <w:rPr>
          <w:rFonts w:ascii="Book Antiqua" w:hAnsi="Book Antiqua"/>
          <w:color w:val="000000" w:themeColor="text1"/>
          <w:lang w:val="es-ES" w:eastAsia="es-PR"/>
        </w:rPr>
      </w:pPr>
      <w:r w:rsidRPr="00047D89">
        <w:rPr>
          <w:rFonts w:ascii="Book Antiqua" w:hAnsi="Book Antiqua"/>
          <w:color w:val="000000" w:themeColor="text1"/>
          <w:lang w:val="es-PR" w:eastAsia="es-PR"/>
        </w:rPr>
        <w:tab/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>El</w:t>
      </w:r>
      <w:r w:rsidR="006E65ED" w:rsidRPr="00047D89">
        <w:rPr>
          <w:rFonts w:ascii="Book Antiqua" w:hAnsi="Book Antiqua"/>
          <w:color w:val="000000" w:themeColor="text1"/>
          <w:lang w:val="es-PR" w:eastAsia="es-PR"/>
        </w:rPr>
        <w:t>/</w:t>
      </w:r>
      <w:r w:rsidR="006E65ED" w:rsidRPr="00047D89">
        <w:rPr>
          <w:rFonts w:ascii="Book Antiqua" w:hAnsi="Book Antiqua"/>
          <w:i/>
          <w:iCs/>
          <w:color w:val="000000" w:themeColor="text1"/>
          <w:lang w:val="es-PR" w:eastAsia="es-PR"/>
        </w:rPr>
        <w:t>la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 xml:space="preserve"> Juez</w:t>
      </w:r>
      <w:r w:rsidR="006E65ED" w:rsidRPr="00047D89">
        <w:rPr>
          <w:rFonts w:ascii="Book Antiqua" w:hAnsi="Book Antiqua"/>
          <w:i/>
          <w:iCs/>
          <w:color w:val="000000" w:themeColor="text1"/>
          <w:lang w:val="es-PR" w:eastAsia="es-PR"/>
        </w:rPr>
        <w:t>(a)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 xml:space="preserve"> Presidente</w:t>
      </w:r>
      <w:r w:rsidR="006E65ED" w:rsidRPr="00047D89">
        <w:rPr>
          <w:rFonts w:ascii="Book Antiqua" w:hAnsi="Book Antiqua"/>
          <w:i/>
          <w:iCs/>
          <w:color w:val="000000" w:themeColor="text1"/>
          <w:lang w:val="es-PR" w:eastAsia="es-PR"/>
        </w:rPr>
        <w:t>(a)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 xml:space="preserve"> del Tribunal Supremo establecerá un sistema de educación judicial con el objetivo de promover el mejoramiento profesional e intelectual y el desarrollo de aptitudes de </w:t>
      </w:r>
      <w:r w:rsidR="00B01426" w:rsidRPr="00047D89">
        <w:rPr>
          <w:rFonts w:ascii="Book Antiqua" w:hAnsi="Book Antiqua"/>
          <w:color w:val="000000" w:themeColor="text1"/>
          <w:lang w:val="es-PR" w:eastAsia="es-PR"/>
        </w:rPr>
        <w:t>[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>los jueces del Tribunal de Primera Instancia y del Tribunal de Apelaciones</w:t>
      </w:r>
      <w:r w:rsidR="00B01426" w:rsidRPr="00047D89">
        <w:rPr>
          <w:rFonts w:ascii="Book Antiqua" w:hAnsi="Book Antiqua"/>
          <w:color w:val="000000" w:themeColor="text1"/>
          <w:lang w:val="es-PR" w:eastAsia="es-PR"/>
        </w:rPr>
        <w:t xml:space="preserve">] </w:t>
      </w:r>
      <w:r w:rsidR="00B01426" w:rsidRPr="00047D89">
        <w:rPr>
          <w:rFonts w:ascii="Book Antiqua" w:hAnsi="Book Antiqua"/>
          <w:i/>
          <w:iCs/>
          <w:color w:val="000000" w:themeColor="text1"/>
          <w:lang w:val="es-PR" w:eastAsia="es-PR"/>
        </w:rPr>
        <w:t xml:space="preserve">todos los jueces y juezas del Tribunal General de Justicia 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>como funcionarios sensibles, justos, eficientes y efectivos en la administración de la justicia. Entre otros</w:t>
      </w:r>
      <w:r w:rsidR="00B01426" w:rsidRPr="00047D89">
        <w:rPr>
          <w:rFonts w:ascii="Book Antiqua" w:hAnsi="Book Antiqua"/>
          <w:color w:val="000000" w:themeColor="text1"/>
          <w:lang w:val="es-PR" w:eastAsia="es-PR"/>
        </w:rPr>
        <w:t xml:space="preserve"> </w:t>
      </w:r>
      <w:r w:rsidR="00B01426" w:rsidRPr="00047D89">
        <w:rPr>
          <w:rFonts w:ascii="Book Antiqua" w:hAnsi="Book Antiqua"/>
          <w:i/>
          <w:iCs/>
          <w:color w:val="000000" w:themeColor="text1"/>
          <w:lang w:val="es-PR" w:eastAsia="es-PR"/>
        </w:rPr>
        <w:t>aspectos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>, dicho sistema implantará programas educativos periódicos para jueces de nuevo nombramiento, así como programas dirigidos a entender las necesidades de educación jurídica continua compulsoria de todos los jueces</w:t>
      </w:r>
      <w:r w:rsidR="001D2A9F" w:rsidRPr="00047D89">
        <w:rPr>
          <w:rFonts w:ascii="Book Antiqua" w:hAnsi="Book Antiqua"/>
          <w:b/>
          <w:bCs/>
          <w:color w:val="000000" w:themeColor="text1"/>
          <w:lang w:val="es-PR" w:eastAsia="es-PR"/>
        </w:rPr>
        <w:t xml:space="preserve">. </w:t>
      </w:r>
      <w:r w:rsidR="008E06A3" w:rsidRPr="00047D89">
        <w:rPr>
          <w:rFonts w:ascii="Book Antiqua" w:hAnsi="Book Antiqua"/>
          <w:b/>
          <w:bCs/>
          <w:color w:val="000000" w:themeColor="text1"/>
          <w:lang w:val="es-PR" w:eastAsia="es-PR"/>
        </w:rPr>
        <w:t>[</w:t>
      </w:r>
      <w:r w:rsidR="001D2A9F" w:rsidRPr="00047D89">
        <w:rPr>
          <w:rFonts w:ascii="Book Antiqua" w:hAnsi="Book Antiqua"/>
          <w:b/>
          <w:bCs/>
          <w:color w:val="000000" w:themeColor="text1"/>
          <w:lang w:val="es-PR" w:eastAsia="es-PR"/>
        </w:rPr>
        <w:t>Disponiéndose, que como</w:t>
      </w:r>
      <w:r w:rsidR="008E06A3" w:rsidRPr="00047D89">
        <w:rPr>
          <w:rFonts w:ascii="Book Antiqua" w:hAnsi="Book Antiqua"/>
          <w:b/>
          <w:bCs/>
          <w:color w:val="000000" w:themeColor="text1"/>
          <w:lang w:val="es-PR" w:eastAsia="es-PR"/>
        </w:rPr>
        <w:t>]</w:t>
      </w:r>
      <w:r w:rsidR="008E06A3" w:rsidRPr="00047D89">
        <w:rPr>
          <w:rFonts w:ascii="Book Antiqua" w:hAnsi="Book Antiqua"/>
          <w:color w:val="000000" w:themeColor="text1"/>
          <w:lang w:val="es-PR" w:eastAsia="es-PR"/>
        </w:rPr>
        <w:t xml:space="preserve"> </w:t>
      </w:r>
      <w:r w:rsidR="008E06A3" w:rsidRPr="00047D89">
        <w:rPr>
          <w:rFonts w:ascii="Book Antiqua" w:hAnsi="Book Antiqua"/>
          <w:i/>
          <w:iCs/>
          <w:color w:val="000000" w:themeColor="text1"/>
          <w:lang w:val="es-PR" w:eastAsia="es-PR"/>
        </w:rPr>
        <w:t>Como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 xml:space="preserve"> parte inherente del referido sistema de educación judicial, a </w:t>
      </w:r>
      <w:r w:rsidR="0048279B" w:rsidRPr="00047D89">
        <w:rPr>
          <w:rFonts w:ascii="Book Antiqua" w:hAnsi="Book Antiqua"/>
          <w:b/>
          <w:bCs/>
          <w:color w:val="000000" w:themeColor="text1"/>
          <w:lang w:val="es-PR" w:eastAsia="es-PR"/>
        </w:rPr>
        <w:t>[</w:t>
      </w:r>
      <w:r w:rsidR="001D2A9F" w:rsidRPr="00047D89">
        <w:rPr>
          <w:rFonts w:ascii="Book Antiqua" w:hAnsi="Book Antiqua"/>
          <w:b/>
          <w:bCs/>
          <w:color w:val="000000" w:themeColor="text1"/>
          <w:lang w:val="es-PR" w:eastAsia="es-PR"/>
        </w:rPr>
        <w:t>los jueces del Tribunal de Primera Instancia y del Tribunal de Apelaciones</w:t>
      </w:r>
      <w:r w:rsidR="0048279B" w:rsidRPr="00047D89">
        <w:rPr>
          <w:rFonts w:ascii="Book Antiqua" w:hAnsi="Book Antiqua"/>
          <w:b/>
          <w:bCs/>
          <w:color w:val="000000" w:themeColor="text1"/>
          <w:lang w:val="es-PR" w:eastAsia="es-PR"/>
        </w:rPr>
        <w:t xml:space="preserve">] </w:t>
      </w:r>
      <w:r w:rsidR="0048279B" w:rsidRPr="00047D89">
        <w:rPr>
          <w:rFonts w:ascii="Book Antiqua" w:hAnsi="Book Antiqua"/>
          <w:i/>
          <w:iCs/>
          <w:color w:val="000000" w:themeColor="text1"/>
          <w:lang w:val="es-PR" w:eastAsia="es-PR"/>
        </w:rPr>
        <w:t>todos los jueces y juezas del Tribunal General de Justicia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 xml:space="preserve"> se les requerirá </w:t>
      </w:r>
      <w:r w:rsidR="001D2A9F" w:rsidRPr="009E1528">
        <w:rPr>
          <w:rFonts w:ascii="Book Antiqua" w:hAnsi="Book Antiqua"/>
          <w:color w:val="000000" w:themeColor="text1"/>
          <w:lang w:val="es-PR" w:eastAsia="es-PR"/>
        </w:rPr>
        <w:t>que</w:t>
      </w:r>
      <w:r w:rsidR="001D2A9F" w:rsidRPr="009E1528">
        <w:rPr>
          <w:rFonts w:ascii="Book Antiqua" w:hAnsi="Book Antiqua"/>
          <w:b/>
          <w:bCs/>
          <w:color w:val="000000" w:themeColor="text1"/>
          <w:lang w:val="es-PR" w:eastAsia="es-PR"/>
        </w:rPr>
        <w:t xml:space="preserve"> </w:t>
      </w:r>
      <w:r w:rsidR="009E1528">
        <w:rPr>
          <w:rFonts w:ascii="Book Antiqua" w:hAnsi="Book Antiqua"/>
          <w:b/>
          <w:bCs/>
          <w:color w:val="000000" w:themeColor="text1"/>
          <w:lang w:val="es-PR" w:eastAsia="es-PR"/>
        </w:rPr>
        <w:t>[</w:t>
      </w:r>
      <w:r w:rsidR="001D2A9F" w:rsidRPr="009E1528">
        <w:rPr>
          <w:rFonts w:ascii="Book Antiqua" w:hAnsi="Book Antiqua"/>
          <w:b/>
          <w:bCs/>
          <w:color w:val="000000" w:themeColor="text1"/>
          <w:lang w:val="es-PR" w:eastAsia="es-PR"/>
        </w:rPr>
        <w:t>cada</w:t>
      </w:r>
      <w:r w:rsidR="009E1528">
        <w:rPr>
          <w:rFonts w:ascii="Book Antiqua" w:hAnsi="Book Antiqua"/>
          <w:b/>
          <w:bCs/>
          <w:color w:val="000000" w:themeColor="text1"/>
          <w:lang w:val="es-PR" w:eastAsia="es-PR"/>
        </w:rPr>
        <w:t>]</w:t>
      </w:r>
      <w:r w:rsidR="001D2A9F" w:rsidRPr="009E1528">
        <w:rPr>
          <w:rFonts w:ascii="Book Antiqua" w:hAnsi="Book Antiqua"/>
          <w:b/>
          <w:bCs/>
          <w:color w:val="000000" w:themeColor="text1"/>
          <w:lang w:val="es-PR" w:eastAsia="es-PR"/>
        </w:rPr>
        <w:t xml:space="preserve"> </w:t>
      </w:r>
      <w:r w:rsidR="001D2A9F" w:rsidRPr="009E1528">
        <w:rPr>
          <w:rFonts w:ascii="Book Antiqua" w:hAnsi="Book Antiqua"/>
          <w:color w:val="000000" w:themeColor="text1"/>
          <w:lang w:val="es-PR" w:eastAsia="es-PR"/>
        </w:rPr>
        <w:t>dos</w:t>
      </w:r>
      <w:r w:rsidR="001D2A9F" w:rsidRPr="009E1528">
        <w:rPr>
          <w:rFonts w:ascii="Book Antiqua" w:hAnsi="Book Antiqua"/>
          <w:b/>
          <w:bCs/>
          <w:color w:val="000000" w:themeColor="text1"/>
          <w:lang w:val="es-PR" w:eastAsia="es-PR"/>
        </w:rPr>
        <w:t xml:space="preserve"> </w:t>
      </w:r>
      <w:r w:rsidR="009E1528">
        <w:rPr>
          <w:rFonts w:ascii="Book Antiqua" w:hAnsi="Book Antiqua"/>
          <w:i/>
          <w:iCs/>
          <w:color w:val="000000" w:themeColor="text1"/>
          <w:lang w:val="es-PR" w:eastAsia="es-PR"/>
        </w:rPr>
        <w:t xml:space="preserve">veces al año </w:t>
      </w:r>
      <w:r w:rsidR="009E1528">
        <w:rPr>
          <w:rFonts w:ascii="Book Antiqua" w:hAnsi="Book Antiqua"/>
          <w:b/>
          <w:bCs/>
          <w:color w:val="000000" w:themeColor="text1"/>
          <w:lang w:val="es-PR" w:eastAsia="es-PR"/>
        </w:rPr>
        <w:t>[</w:t>
      </w:r>
      <w:r w:rsidR="001D2A9F" w:rsidRPr="009E1528">
        <w:rPr>
          <w:rFonts w:ascii="Book Antiqua" w:hAnsi="Book Antiqua"/>
          <w:b/>
          <w:bCs/>
          <w:color w:val="000000" w:themeColor="text1"/>
          <w:lang w:val="es-PR" w:eastAsia="es-PR"/>
        </w:rPr>
        <w:t>años</w:t>
      </w:r>
      <w:r w:rsidR="009E1528">
        <w:rPr>
          <w:rFonts w:ascii="Book Antiqua" w:hAnsi="Book Antiqua"/>
          <w:b/>
          <w:bCs/>
          <w:color w:val="000000" w:themeColor="text1"/>
          <w:lang w:val="es-PR" w:eastAsia="es-PR"/>
        </w:rPr>
        <w:t>]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 xml:space="preserve"> tomen adiestramiento sobre los temas de maltrato y protección de menores y sobre los cambios en políticas y procedimientos relacionados a la </w:t>
      </w:r>
      <w:r w:rsidR="0074048C">
        <w:rPr>
          <w:rFonts w:ascii="Book Antiqua" w:hAnsi="Book Antiqua"/>
          <w:b/>
          <w:bCs/>
          <w:color w:val="000000" w:themeColor="text1"/>
          <w:lang w:val="es-PR" w:eastAsia="es-PR"/>
        </w:rPr>
        <w:t>[</w:t>
      </w:r>
      <w:r w:rsidR="001D2A9F" w:rsidRPr="0074048C">
        <w:rPr>
          <w:rFonts w:ascii="Book Antiqua" w:hAnsi="Book Antiqua"/>
          <w:b/>
          <w:bCs/>
          <w:color w:val="000000" w:themeColor="text1"/>
          <w:lang w:val="es-PR" w:eastAsia="es-PR"/>
        </w:rPr>
        <w:t>“Ley para la Seguridad, Bienestar y Protección de Menores”</w:t>
      </w:r>
      <w:r w:rsidR="0074048C">
        <w:rPr>
          <w:rFonts w:ascii="Book Antiqua" w:hAnsi="Book Antiqua"/>
          <w:b/>
          <w:bCs/>
          <w:color w:val="000000" w:themeColor="text1"/>
          <w:lang w:val="es-PR" w:eastAsia="es-PR"/>
        </w:rPr>
        <w:t xml:space="preserve">] </w:t>
      </w:r>
      <w:r w:rsidR="0074048C" w:rsidRPr="0074048C">
        <w:rPr>
          <w:rFonts w:ascii="Book Antiqua" w:hAnsi="Book Antiqua"/>
          <w:i/>
          <w:iCs/>
          <w:color w:val="000000" w:themeColor="text1"/>
          <w:lang w:val="es-PR" w:eastAsia="es-PR"/>
        </w:rPr>
        <w:t>“Ley para la Prevención del Maltrato, Preservación de la Unidad Familiar y para la Seguridad, Bienestar y Protección de los Menores”</w:t>
      </w:r>
      <w:r w:rsidR="001D2A9F" w:rsidRPr="00047D89">
        <w:rPr>
          <w:rFonts w:ascii="Book Antiqua" w:hAnsi="Book Antiqua"/>
          <w:i/>
          <w:iCs/>
          <w:color w:val="000000" w:themeColor="text1"/>
          <w:lang w:val="es-PR" w:eastAsia="es-PR"/>
        </w:rPr>
        <w:t>, así como</w:t>
      </w:r>
      <w:r w:rsidR="001D2A9F" w:rsidRPr="00047D89">
        <w:rPr>
          <w:rFonts w:ascii="Book Antiqua" w:hAnsi="Book Antiqua"/>
          <w:color w:val="000000" w:themeColor="text1"/>
          <w:lang w:val="es-PR" w:eastAsia="es-PR"/>
        </w:rPr>
        <w:t xml:space="preserve"> </w:t>
      </w:r>
      <w:r w:rsidR="001D2A9F" w:rsidRPr="00047D89">
        <w:rPr>
          <w:rFonts w:ascii="Book Antiqua" w:hAnsi="Book Antiqua"/>
          <w:i/>
          <w:color w:val="000000" w:themeColor="text1"/>
          <w:lang w:val="es-ES" w:eastAsia="es-PR"/>
        </w:rPr>
        <w:t>adiestramientos sobre el tema de Violencia Doméstica y sobre los cambios en políticas y procedimientos relacionados a la “</w:t>
      </w:r>
      <w:r w:rsidR="001D2A9F" w:rsidRPr="00047D89">
        <w:rPr>
          <w:rFonts w:ascii="Book Antiqua" w:hAnsi="Book Antiqua"/>
          <w:i/>
          <w:color w:val="000000" w:themeColor="text1"/>
          <w:lang w:val="es-ES"/>
        </w:rPr>
        <w:t>Ley para la Prevención e Intervención con la Violencia Doméstica</w:t>
      </w:r>
      <w:r w:rsidR="001D2A9F" w:rsidRPr="00047D89">
        <w:rPr>
          <w:rFonts w:ascii="Book Antiqua" w:hAnsi="Book Antiqua"/>
          <w:i/>
          <w:color w:val="000000" w:themeColor="text1"/>
          <w:lang w:val="es-ES" w:eastAsia="es-PR"/>
        </w:rPr>
        <w:t>.”  Los adiestramientos sobre violencia dom</w:t>
      </w:r>
      <w:r w:rsidR="00087B1F">
        <w:rPr>
          <w:rFonts w:ascii="Book Antiqua" w:hAnsi="Book Antiqua"/>
          <w:i/>
          <w:color w:val="000000" w:themeColor="text1"/>
          <w:lang w:val="es-ES" w:eastAsia="es-PR"/>
        </w:rPr>
        <w:t>é</w:t>
      </w:r>
      <w:r w:rsidR="001D2A9F" w:rsidRPr="00047D89">
        <w:rPr>
          <w:rFonts w:ascii="Book Antiqua" w:hAnsi="Book Antiqua"/>
          <w:i/>
          <w:color w:val="000000" w:themeColor="text1"/>
          <w:lang w:val="es-ES" w:eastAsia="es-PR"/>
        </w:rPr>
        <w:t>stica deberán ser ofrecidos por la Oficina de la Procuradora de las Mujeres.</w:t>
      </w:r>
      <w:r w:rsidR="007678B7" w:rsidRPr="00047D89">
        <w:rPr>
          <w:rFonts w:ascii="Book Antiqua" w:hAnsi="Book Antiqua"/>
          <w:color w:val="000000" w:themeColor="text1"/>
          <w:lang w:val="es-ES" w:eastAsia="es-PR"/>
        </w:rPr>
        <w:t xml:space="preserve"> </w:t>
      </w:r>
      <w:r w:rsidR="00801518" w:rsidRPr="00801518">
        <w:rPr>
          <w:rFonts w:ascii="Book Antiqua" w:hAnsi="Book Antiqua"/>
          <w:color w:val="000000" w:themeColor="text1"/>
          <w:lang w:val="es-PR" w:eastAsia="es-PR"/>
        </w:rPr>
        <w:t xml:space="preserve">A su vez, se les requerirá algún taller, módulo, o adiestramiento que incluya temas que sensibilicen el servicio hacia la comunidad de inmigrantes, dando a conocer las necesidades particulares de estas personas, los derechos humanos y civiles que les cobijan, los distintos estados </w:t>
      </w:r>
      <w:r w:rsidR="00801518" w:rsidRPr="00801518">
        <w:rPr>
          <w:rFonts w:ascii="Book Antiqua" w:hAnsi="Book Antiqua"/>
          <w:color w:val="000000" w:themeColor="text1"/>
          <w:lang w:val="es-PR" w:eastAsia="es-PR"/>
        </w:rPr>
        <w:lastRenderedPageBreak/>
        <w:t>migratorios que existen, las entidades del Gobierno Federal y local, así como del tercer sector, que proveen los servicios necesarios para estas personas, y las conductas de prejuicio que no se tolerarán en el servicio público.</w:t>
      </w:r>
      <w:r w:rsidR="00801518">
        <w:rPr>
          <w:rFonts w:ascii="Book Antiqua" w:hAnsi="Book Antiqua"/>
          <w:color w:val="000000" w:themeColor="text1"/>
          <w:lang w:val="es-PR" w:eastAsia="es-PR"/>
        </w:rPr>
        <w:t xml:space="preserve">” </w:t>
      </w:r>
      <w:r w:rsidR="001D2A9F" w:rsidRPr="00047D89">
        <w:rPr>
          <w:rFonts w:ascii="Book Antiqua" w:hAnsi="Book Antiqua"/>
          <w:color w:val="000000" w:themeColor="text1"/>
          <w:lang w:val="es-ES"/>
        </w:rPr>
        <w:tab/>
      </w:r>
    </w:p>
    <w:p w14:paraId="3895E903" w14:textId="77777777" w:rsidR="00343EC5" w:rsidRPr="00047D89" w:rsidRDefault="00343EC5">
      <w:pPr>
        <w:tabs>
          <w:tab w:val="left" w:pos="360"/>
        </w:tabs>
        <w:spacing w:line="480" w:lineRule="auto"/>
        <w:jc w:val="both"/>
        <w:rPr>
          <w:rFonts w:ascii="Book Antiqua" w:hAnsi="Book Antiqua"/>
          <w:color w:val="000000" w:themeColor="text1"/>
          <w:lang w:val="es-ES"/>
        </w:rPr>
      </w:pPr>
      <w:r w:rsidRPr="00047D89">
        <w:rPr>
          <w:rFonts w:ascii="Book Antiqua" w:hAnsi="Book Antiqua"/>
          <w:color w:val="000000" w:themeColor="text1"/>
          <w:lang w:val="es-PR"/>
        </w:rPr>
        <w:tab/>
      </w:r>
      <w:r w:rsidR="001D2A9F" w:rsidRPr="00047D89">
        <w:rPr>
          <w:rFonts w:ascii="Book Antiqua" w:hAnsi="Book Antiqua"/>
          <w:color w:val="000000" w:themeColor="text1"/>
          <w:lang w:val="es-ES"/>
        </w:rPr>
        <w:t>Sección 2.-</w:t>
      </w:r>
      <w:r w:rsidRPr="00047D89">
        <w:rPr>
          <w:rFonts w:ascii="Book Antiqua" w:hAnsi="Book Antiqua"/>
          <w:color w:val="000000" w:themeColor="text1"/>
          <w:lang w:val="es-ES"/>
        </w:rPr>
        <w:t>Vigencia.</w:t>
      </w:r>
    </w:p>
    <w:p w14:paraId="3F31C731" w14:textId="272FF385" w:rsidR="00AF6B39" w:rsidRPr="00047D89" w:rsidRDefault="007678B7">
      <w:pPr>
        <w:tabs>
          <w:tab w:val="left" w:pos="360"/>
        </w:tabs>
        <w:spacing w:line="480" w:lineRule="auto"/>
        <w:jc w:val="both"/>
        <w:rPr>
          <w:rFonts w:ascii="Book Antiqua" w:hAnsi="Book Antiqua"/>
          <w:color w:val="000000" w:themeColor="text1"/>
          <w:lang w:val="es-ES"/>
        </w:rPr>
      </w:pPr>
      <w:r w:rsidRPr="00047D89">
        <w:rPr>
          <w:rFonts w:ascii="Book Antiqua" w:hAnsi="Book Antiqua"/>
          <w:color w:val="000000" w:themeColor="text1"/>
          <w:lang w:val="es-ES"/>
        </w:rPr>
        <w:tab/>
      </w:r>
      <w:r w:rsidR="001D2A9F" w:rsidRPr="00047D89">
        <w:rPr>
          <w:rFonts w:ascii="Book Antiqua" w:hAnsi="Book Antiqua"/>
          <w:color w:val="000000" w:themeColor="text1"/>
          <w:lang w:val="es-ES"/>
        </w:rPr>
        <w:t>Esta Ley comenzará a regir inmediatamente después de su aprobación.</w:t>
      </w:r>
      <w:bookmarkEnd w:id="3"/>
    </w:p>
    <w:sectPr w:rsidR="00AF6B39" w:rsidRPr="00047D89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FE771" w14:textId="77777777" w:rsidR="001D2A9F" w:rsidRDefault="001D2A9F">
      <w:r>
        <w:separator/>
      </w:r>
    </w:p>
  </w:endnote>
  <w:endnote w:type="continuationSeparator" w:id="0">
    <w:p w14:paraId="0C145663" w14:textId="77777777" w:rsidR="001D2A9F" w:rsidRDefault="001D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altName w:val="Times New Roman"/>
    <w:panose1 w:val="02020803070505020304"/>
    <w:charset w:val="00"/>
    <w:family w:val="roman"/>
    <w:pitch w:val="default"/>
    <w:embedRegular r:id="rId1" w:fontKey="{CA349ADE-C991-446D-8489-8EDF1A457796}"/>
    <w:embedBold r:id="rId2" w:fontKey="{6D4C3721-E677-4A06-AE41-EDB698FA87F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3" w:fontKey="{787B5ED2-0850-4C11-B354-0B1D95491298}"/>
    <w:embedBold r:id="rId4" w:fontKey="{6300EC58-0B7C-4658-8AE7-5A3AE66563A7}"/>
    <w:embedItalic r:id="rId5" w:fontKey="{18897254-9CBD-49AE-BD70-C641C032198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144AFEB9-B933-4C9E-A194-E7719E2FCA5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0A2C9478-8431-4570-A5F9-C02542B490C5}"/>
    <w:embedItalic r:id="rId8" w:fontKey="{430EA2F7-0A77-4D63-AC7E-86709046C98E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C3EA7C08-4C0E-40D6-805A-CFA87D2927C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EDBA07AF-C327-4F1E-8975-D146F2B1D3C4}"/>
    <w:embedItalic r:id="rId11" w:fontKey="{D908E457-0CBA-4A28-9397-A7F63EAFE2FF}"/>
  </w:font>
  <w:font w:name="TimesNewRoman">
    <w:charset w:val="00"/>
    <w:family w:val="roman"/>
    <w:pitch w:val="default"/>
    <w:sig w:usb0="00000000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C078047E-BCEB-4F25-B205-236108C4829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413" w14:textId="77777777" w:rsidR="00AF6B39" w:rsidRDefault="00AF6B39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AF6B39" w14:paraId="2F72E41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4" w14:textId="77777777" w:rsidR="00AF6B39" w:rsidRDefault="00AF6B3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5" w14:textId="77777777" w:rsidR="00AF6B39" w:rsidRDefault="00AF6B3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6" w14:textId="77777777" w:rsidR="00AF6B39" w:rsidRDefault="00AF6B3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2F72E418" w14:textId="77777777" w:rsidR="00AF6B39" w:rsidRDefault="00AF6B39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41B" w14:textId="77777777" w:rsidR="00AF6B39" w:rsidRDefault="00AF6B39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AF6B39" w14:paraId="2F72E41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C" w14:textId="77777777" w:rsidR="00AF6B39" w:rsidRDefault="00AF6B39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D" w14:textId="77777777" w:rsidR="00AF6B39" w:rsidRDefault="00AF6B39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E" w14:textId="77777777" w:rsidR="00AF6B39" w:rsidRDefault="00AF6B39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2F72E420" w14:textId="77777777" w:rsidR="00AF6B39" w:rsidRDefault="00AF6B39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A1B0D" w14:textId="77777777" w:rsidR="001D2A9F" w:rsidRDefault="001D2A9F">
      <w:r>
        <w:separator/>
      </w:r>
    </w:p>
  </w:footnote>
  <w:footnote w:type="continuationSeparator" w:id="0">
    <w:p w14:paraId="5CC573B1" w14:textId="77777777" w:rsidR="001D2A9F" w:rsidRDefault="001D2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412" w14:textId="77777777" w:rsidR="00AF6B39" w:rsidRDefault="001D2A9F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419" w14:textId="7CE4C7B2" w:rsidR="00AF6B39" w:rsidRDefault="001D2A9F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375433">
      <w:rPr>
        <w:color w:val="000000"/>
      </w:rPr>
      <w:t>17</w:t>
    </w:r>
  </w:p>
  <w:p w14:paraId="2F72E41A" w14:textId="77777777" w:rsidR="00AF6B39" w:rsidRDefault="001D2A9F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3045A4"/>
    <w:multiLevelType w:val="multilevel"/>
    <w:tmpl w:val="773045A4"/>
    <w:lvl w:ilvl="0">
      <w:start w:val="3"/>
      <w:numFmt w:val="decimal"/>
      <w:pStyle w:val="ArabicTwo1"/>
      <w:suff w:val="space"/>
      <w:lvlText w:val="Sección %1."/>
      <w:lvlJc w:val="left"/>
      <w:pPr>
        <w:ind w:left="0" w:firstLine="0"/>
      </w:pPr>
      <w:rPr>
        <w:rFonts w:ascii="Times New Roman Bold" w:hAnsi="Times New Roman Bold" w:hint="default"/>
        <w:b/>
        <w:i w:val="0"/>
        <w:caps w:val="0"/>
        <w:strike w:val="0"/>
        <w:dstrike w:val="0"/>
        <w:u w:val="none" w:color="000000"/>
      </w:rPr>
    </w:lvl>
    <w:lvl w:ilvl="1">
      <w:start w:val="1"/>
      <w:numFmt w:val="lowerLetter"/>
      <w:pStyle w:val="ArabicTwo2"/>
      <w:lvlText w:val="(%2)"/>
      <w:lvlJc w:val="left"/>
      <w:pPr>
        <w:tabs>
          <w:tab w:val="left" w:pos="360"/>
        </w:tabs>
        <w:ind w:left="0" w:firstLine="0"/>
      </w:pPr>
      <w:rPr>
        <w:rFonts w:ascii="Times New Roman Bold" w:hAnsi="Times New Roman Bold" w:hint="default"/>
        <w:b w:val="0"/>
        <w:bCs/>
        <w:i w:val="0"/>
        <w:caps w:val="0"/>
        <w:strike w:val="0"/>
        <w:dstrike w:val="0"/>
        <w:u w:val="none" w:color="000000"/>
      </w:rPr>
    </w:lvl>
    <w:lvl w:ilvl="2">
      <w:start w:val="1"/>
      <w:numFmt w:val="decimal"/>
      <w:pStyle w:val="ArabicTwo3"/>
      <w:lvlText w:val="(%3)"/>
      <w:lvlJc w:val="left"/>
      <w:pPr>
        <w:tabs>
          <w:tab w:val="left" w:pos="360"/>
        </w:tabs>
        <w:ind w:left="360" w:firstLine="0"/>
      </w:pPr>
      <w:rPr>
        <w:rFonts w:ascii="Times New Roman Bold" w:hAnsi="Times New Roman Bold" w:hint="default"/>
        <w:b/>
        <w:i w:val="0"/>
        <w:caps w:val="0"/>
        <w:strike w:val="0"/>
        <w:dstrike w:val="0"/>
        <w:u w:val="none" w:color="000000"/>
      </w:rPr>
    </w:lvl>
    <w:lvl w:ilvl="3">
      <w:start w:val="1"/>
      <w:numFmt w:val="lowerRoman"/>
      <w:pStyle w:val="ArabicTwo4"/>
      <w:lvlText w:val="(%4)"/>
      <w:lvlJc w:val="left"/>
      <w:pPr>
        <w:tabs>
          <w:tab w:val="left" w:pos="360"/>
        </w:tabs>
        <w:ind w:left="360" w:firstLine="0"/>
      </w:pPr>
      <w:rPr>
        <w:rFonts w:ascii="Times New Roman Bold" w:hAnsi="Times New Roman Bold" w:hint="default"/>
        <w:b/>
        <w:i w:val="0"/>
        <w:caps w:val="0"/>
        <w:strike w:val="0"/>
        <w:dstrike w:val="0"/>
        <w:u w:val="none" w:color="000000"/>
      </w:rPr>
    </w:lvl>
    <w:lvl w:ilvl="4">
      <w:start w:val="1"/>
      <w:numFmt w:val="upperLetter"/>
      <w:pStyle w:val="ArabicTwo5"/>
      <w:lvlText w:val="(%5)"/>
      <w:lvlJc w:val="left"/>
      <w:pPr>
        <w:tabs>
          <w:tab w:val="left" w:pos="360"/>
        </w:tabs>
        <w:ind w:left="720" w:firstLine="0"/>
      </w:pPr>
      <w:rPr>
        <w:rFonts w:ascii="Times New Roman Bold" w:hAnsi="Times New Roman Bold" w:hint="default"/>
        <w:b/>
        <w:i w:val="0"/>
        <w:caps w:val="0"/>
        <w:strike w:val="0"/>
        <w:dstrike w:val="0"/>
        <w:u w:val="none" w:color="000000"/>
      </w:rPr>
    </w:lvl>
    <w:lvl w:ilvl="5">
      <w:start w:val="1"/>
      <w:numFmt w:val="decimal"/>
      <w:pStyle w:val="ArabicTwo6"/>
      <w:lvlText w:val="%6."/>
      <w:lvlJc w:val="left"/>
      <w:pPr>
        <w:tabs>
          <w:tab w:val="left" w:pos="360"/>
        </w:tabs>
        <w:ind w:left="360" w:firstLine="0"/>
      </w:pPr>
      <w:rPr>
        <w:rFonts w:ascii="Times New Roman Bold" w:hAnsi="Times New Roman Bold" w:hint="default"/>
        <w:b/>
        <w:i w:val="0"/>
        <w:caps w:val="0"/>
        <w:strike w:val="0"/>
        <w:dstrike w:val="0"/>
        <w:u w:val="none" w:color="000000"/>
      </w:rPr>
    </w:lvl>
    <w:lvl w:ilvl="6">
      <w:start w:val="1"/>
      <w:numFmt w:val="decimal"/>
      <w:pStyle w:val="ArabicTwo7"/>
      <w:lvlText w:val="(%7)"/>
      <w:lvlJc w:val="left"/>
      <w:pPr>
        <w:tabs>
          <w:tab w:val="left" w:pos="360"/>
        </w:tabs>
        <w:ind w:left="0" w:firstLine="0"/>
      </w:pPr>
      <w:rPr>
        <w:rFonts w:ascii="Times New Roman Bold" w:hAnsi="Times New Roman Bold" w:hint="default"/>
        <w:b/>
        <w:i w:val="0"/>
        <w:caps w:val="0"/>
        <w:strike w:val="0"/>
        <w:dstrike w:val="0"/>
        <w:u w:val="none" w:color="000000"/>
      </w:rPr>
    </w:lvl>
    <w:lvl w:ilvl="7">
      <w:start w:val="1"/>
      <w:numFmt w:val="lowerLetter"/>
      <w:pStyle w:val="ArabicTwo8"/>
      <w:lvlText w:val="(%8)"/>
      <w:lvlJc w:val="left"/>
      <w:pPr>
        <w:ind w:left="360" w:firstLine="0"/>
      </w:pPr>
      <w:rPr>
        <w:rFonts w:ascii="Times New Roman Bold" w:hAnsi="Times New Roman Bold" w:hint="default"/>
        <w:b/>
        <w:i w:val="0"/>
        <w:caps w:val="0"/>
        <w:strike w:val="0"/>
        <w:dstrike w:val="0"/>
        <w:u w:val="none" w:color="000000"/>
      </w:rPr>
    </w:lvl>
    <w:lvl w:ilvl="8">
      <w:start w:val="1"/>
      <w:numFmt w:val="upperRoman"/>
      <w:pStyle w:val="ArabicTwo9"/>
      <w:lvlText w:val="%9)"/>
      <w:lvlJc w:val="left"/>
      <w:pPr>
        <w:ind w:left="0" w:firstLine="6480"/>
      </w:pPr>
      <w:rPr>
        <w:rFonts w:hint="default"/>
        <w:b w:val="0"/>
        <w:i w:val="0"/>
        <w:caps w:val="0"/>
        <w:strike w:val="0"/>
        <w:dstrike w:val="0"/>
        <w:u w:val="none"/>
      </w:rPr>
    </w:lvl>
  </w:abstractNum>
  <w:num w:numId="1" w16cid:durableId="246379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107AB"/>
    <w:rsid w:val="00010D19"/>
    <w:rsid w:val="0001278E"/>
    <w:rsid w:val="00015AF4"/>
    <w:rsid w:val="000248C7"/>
    <w:rsid w:val="00027C66"/>
    <w:rsid w:val="00033980"/>
    <w:rsid w:val="00033B80"/>
    <w:rsid w:val="00035CB9"/>
    <w:rsid w:val="000416E3"/>
    <w:rsid w:val="00047D89"/>
    <w:rsid w:val="00051AD1"/>
    <w:rsid w:val="00056D71"/>
    <w:rsid w:val="0006728C"/>
    <w:rsid w:val="00067E49"/>
    <w:rsid w:val="000700E0"/>
    <w:rsid w:val="000711FC"/>
    <w:rsid w:val="00072CA5"/>
    <w:rsid w:val="00074B76"/>
    <w:rsid w:val="0008657D"/>
    <w:rsid w:val="000871E2"/>
    <w:rsid w:val="00087B1F"/>
    <w:rsid w:val="000A3C60"/>
    <w:rsid w:val="000B1BE8"/>
    <w:rsid w:val="000B33EC"/>
    <w:rsid w:val="000B4C40"/>
    <w:rsid w:val="000B4CF9"/>
    <w:rsid w:val="000C0F6A"/>
    <w:rsid w:val="000C188B"/>
    <w:rsid w:val="000C4A0E"/>
    <w:rsid w:val="000C60AE"/>
    <w:rsid w:val="000C68E5"/>
    <w:rsid w:val="000D1B64"/>
    <w:rsid w:val="000D2EB5"/>
    <w:rsid w:val="000D30A4"/>
    <w:rsid w:val="000E3403"/>
    <w:rsid w:val="000E428F"/>
    <w:rsid w:val="000E5780"/>
    <w:rsid w:val="000E6E74"/>
    <w:rsid w:val="000E78E8"/>
    <w:rsid w:val="000F7E20"/>
    <w:rsid w:val="001040ED"/>
    <w:rsid w:val="00105B40"/>
    <w:rsid w:val="0011139B"/>
    <w:rsid w:val="00113415"/>
    <w:rsid w:val="00115129"/>
    <w:rsid w:val="0011591A"/>
    <w:rsid w:val="00122382"/>
    <w:rsid w:val="0012419B"/>
    <w:rsid w:val="001255FB"/>
    <w:rsid w:val="00133178"/>
    <w:rsid w:val="00133D83"/>
    <w:rsid w:val="001363AF"/>
    <w:rsid w:val="00136986"/>
    <w:rsid w:val="00136AC5"/>
    <w:rsid w:val="00142293"/>
    <w:rsid w:val="00150C87"/>
    <w:rsid w:val="0015241F"/>
    <w:rsid w:val="00152B9A"/>
    <w:rsid w:val="00160ABA"/>
    <w:rsid w:val="001613A5"/>
    <w:rsid w:val="00164AC1"/>
    <w:rsid w:val="00164E97"/>
    <w:rsid w:val="0016702E"/>
    <w:rsid w:val="001677A8"/>
    <w:rsid w:val="001719ED"/>
    <w:rsid w:val="00192D73"/>
    <w:rsid w:val="00194A5E"/>
    <w:rsid w:val="001969E8"/>
    <w:rsid w:val="001A0C9E"/>
    <w:rsid w:val="001A0E47"/>
    <w:rsid w:val="001A18F4"/>
    <w:rsid w:val="001A25B8"/>
    <w:rsid w:val="001A2F65"/>
    <w:rsid w:val="001A35E2"/>
    <w:rsid w:val="001A57DF"/>
    <w:rsid w:val="001B1AAC"/>
    <w:rsid w:val="001B33B4"/>
    <w:rsid w:val="001B6B7A"/>
    <w:rsid w:val="001C50A0"/>
    <w:rsid w:val="001C7468"/>
    <w:rsid w:val="001D07B3"/>
    <w:rsid w:val="001D0FDF"/>
    <w:rsid w:val="001D2A9F"/>
    <w:rsid w:val="001D54A8"/>
    <w:rsid w:val="001D75A8"/>
    <w:rsid w:val="001E1A20"/>
    <w:rsid w:val="001E33DB"/>
    <w:rsid w:val="001E6305"/>
    <w:rsid w:val="001E6E99"/>
    <w:rsid w:val="00201C64"/>
    <w:rsid w:val="0020530B"/>
    <w:rsid w:val="0020610D"/>
    <w:rsid w:val="0021328C"/>
    <w:rsid w:val="002138BE"/>
    <w:rsid w:val="002171AD"/>
    <w:rsid w:val="0022330F"/>
    <w:rsid w:val="002268D0"/>
    <w:rsid w:val="002271A5"/>
    <w:rsid w:val="002318F0"/>
    <w:rsid w:val="0023393F"/>
    <w:rsid w:val="002431B7"/>
    <w:rsid w:val="0024618D"/>
    <w:rsid w:val="00253D9F"/>
    <w:rsid w:val="00254DCC"/>
    <w:rsid w:val="0025524E"/>
    <w:rsid w:val="002646F8"/>
    <w:rsid w:val="0026633B"/>
    <w:rsid w:val="00266688"/>
    <w:rsid w:val="00266D4C"/>
    <w:rsid w:val="00270743"/>
    <w:rsid w:val="00273031"/>
    <w:rsid w:val="0028441B"/>
    <w:rsid w:val="00285A15"/>
    <w:rsid w:val="00286B47"/>
    <w:rsid w:val="002A1D65"/>
    <w:rsid w:val="002A23EE"/>
    <w:rsid w:val="002A27D4"/>
    <w:rsid w:val="002A2FDA"/>
    <w:rsid w:val="002A32D4"/>
    <w:rsid w:val="002A4E84"/>
    <w:rsid w:val="002A4F4F"/>
    <w:rsid w:val="002A7C37"/>
    <w:rsid w:val="002B02C2"/>
    <w:rsid w:val="002B1391"/>
    <w:rsid w:val="002B13EF"/>
    <w:rsid w:val="002B39A7"/>
    <w:rsid w:val="002B4C93"/>
    <w:rsid w:val="002B5618"/>
    <w:rsid w:val="002B68B4"/>
    <w:rsid w:val="002B6CC7"/>
    <w:rsid w:val="002B7906"/>
    <w:rsid w:val="002C11AB"/>
    <w:rsid w:val="002C2C31"/>
    <w:rsid w:val="002C2DB0"/>
    <w:rsid w:val="002C6423"/>
    <w:rsid w:val="002D42FF"/>
    <w:rsid w:val="002D6159"/>
    <w:rsid w:val="002D7962"/>
    <w:rsid w:val="002E1467"/>
    <w:rsid w:val="002E34D5"/>
    <w:rsid w:val="002E4898"/>
    <w:rsid w:val="002F21CF"/>
    <w:rsid w:val="002F3045"/>
    <w:rsid w:val="002F48BA"/>
    <w:rsid w:val="002F5806"/>
    <w:rsid w:val="002F5B16"/>
    <w:rsid w:val="0030308D"/>
    <w:rsid w:val="00303699"/>
    <w:rsid w:val="00314D79"/>
    <w:rsid w:val="00314E6B"/>
    <w:rsid w:val="00321AB7"/>
    <w:rsid w:val="00327314"/>
    <w:rsid w:val="00327833"/>
    <w:rsid w:val="00343CBC"/>
    <w:rsid w:val="00343EC5"/>
    <w:rsid w:val="003524D5"/>
    <w:rsid w:val="0035313D"/>
    <w:rsid w:val="00362698"/>
    <w:rsid w:val="00362D3F"/>
    <w:rsid w:val="0036500C"/>
    <w:rsid w:val="00365BB2"/>
    <w:rsid w:val="00372695"/>
    <w:rsid w:val="0037540B"/>
    <w:rsid w:val="00375433"/>
    <w:rsid w:val="00380D7C"/>
    <w:rsid w:val="0038126F"/>
    <w:rsid w:val="00385901"/>
    <w:rsid w:val="0039554A"/>
    <w:rsid w:val="003963BE"/>
    <w:rsid w:val="00397238"/>
    <w:rsid w:val="003A2100"/>
    <w:rsid w:val="003A5AD8"/>
    <w:rsid w:val="003C79D6"/>
    <w:rsid w:val="003D33D5"/>
    <w:rsid w:val="003D3EA2"/>
    <w:rsid w:val="003D42BF"/>
    <w:rsid w:val="003D4499"/>
    <w:rsid w:val="003E30F3"/>
    <w:rsid w:val="003E4859"/>
    <w:rsid w:val="003F1558"/>
    <w:rsid w:val="003F18AA"/>
    <w:rsid w:val="003F352A"/>
    <w:rsid w:val="003F4992"/>
    <w:rsid w:val="004143E0"/>
    <w:rsid w:val="00415E5D"/>
    <w:rsid w:val="00416F13"/>
    <w:rsid w:val="0042014B"/>
    <w:rsid w:val="0042619D"/>
    <w:rsid w:val="00431D54"/>
    <w:rsid w:val="00432F8E"/>
    <w:rsid w:val="00437DC4"/>
    <w:rsid w:val="00444257"/>
    <w:rsid w:val="00452649"/>
    <w:rsid w:val="00461FBD"/>
    <w:rsid w:val="004634B9"/>
    <w:rsid w:val="00464BCF"/>
    <w:rsid w:val="004675CC"/>
    <w:rsid w:val="00480C72"/>
    <w:rsid w:val="0048279B"/>
    <w:rsid w:val="00493F9B"/>
    <w:rsid w:val="004943B1"/>
    <w:rsid w:val="004A4994"/>
    <w:rsid w:val="004A5974"/>
    <w:rsid w:val="004B769A"/>
    <w:rsid w:val="004B7EA0"/>
    <w:rsid w:val="004C3A23"/>
    <w:rsid w:val="004C411D"/>
    <w:rsid w:val="004C41AE"/>
    <w:rsid w:val="004C6236"/>
    <w:rsid w:val="004D49FA"/>
    <w:rsid w:val="004D4F2E"/>
    <w:rsid w:val="004D7071"/>
    <w:rsid w:val="004E19F7"/>
    <w:rsid w:val="004E5BE6"/>
    <w:rsid w:val="004E6136"/>
    <w:rsid w:val="004F0279"/>
    <w:rsid w:val="004F2644"/>
    <w:rsid w:val="004F3841"/>
    <w:rsid w:val="004F6B8B"/>
    <w:rsid w:val="00502ECA"/>
    <w:rsid w:val="00503836"/>
    <w:rsid w:val="0050443D"/>
    <w:rsid w:val="00506CA0"/>
    <w:rsid w:val="00511693"/>
    <w:rsid w:val="005209C9"/>
    <w:rsid w:val="00524FBA"/>
    <w:rsid w:val="005258EB"/>
    <w:rsid w:val="00526AC9"/>
    <w:rsid w:val="00527B13"/>
    <w:rsid w:val="005350A9"/>
    <w:rsid w:val="00535D65"/>
    <w:rsid w:val="00535E82"/>
    <w:rsid w:val="005451B7"/>
    <w:rsid w:val="00555BB8"/>
    <w:rsid w:val="00560783"/>
    <w:rsid w:val="00570062"/>
    <w:rsid w:val="00573345"/>
    <w:rsid w:val="00573C36"/>
    <w:rsid w:val="0057614A"/>
    <w:rsid w:val="00585351"/>
    <w:rsid w:val="005855B2"/>
    <w:rsid w:val="00590C6C"/>
    <w:rsid w:val="00592F40"/>
    <w:rsid w:val="00596DDC"/>
    <w:rsid w:val="005A183C"/>
    <w:rsid w:val="005A30B4"/>
    <w:rsid w:val="005A3527"/>
    <w:rsid w:val="005A532D"/>
    <w:rsid w:val="005B1646"/>
    <w:rsid w:val="005B668B"/>
    <w:rsid w:val="005C0837"/>
    <w:rsid w:val="005C2330"/>
    <w:rsid w:val="005C24E6"/>
    <w:rsid w:val="005C7524"/>
    <w:rsid w:val="005D267B"/>
    <w:rsid w:val="005D4BD9"/>
    <w:rsid w:val="005E2F88"/>
    <w:rsid w:val="005E3680"/>
    <w:rsid w:val="005E7EC5"/>
    <w:rsid w:val="005F2872"/>
    <w:rsid w:val="005F5E66"/>
    <w:rsid w:val="005F7D1B"/>
    <w:rsid w:val="006031B6"/>
    <w:rsid w:val="00603B59"/>
    <w:rsid w:val="00604BA4"/>
    <w:rsid w:val="00604CE6"/>
    <w:rsid w:val="00610344"/>
    <w:rsid w:val="00614CFF"/>
    <w:rsid w:val="0061628B"/>
    <w:rsid w:val="006204CF"/>
    <w:rsid w:val="00624B86"/>
    <w:rsid w:val="00627DE1"/>
    <w:rsid w:val="00632F92"/>
    <w:rsid w:val="0063665B"/>
    <w:rsid w:val="00636E65"/>
    <w:rsid w:val="006414C7"/>
    <w:rsid w:val="00642C79"/>
    <w:rsid w:val="006430D0"/>
    <w:rsid w:val="0064494E"/>
    <w:rsid w:val="0065452C"/>
    <w:rsid w:val="00654571"/>
    <w:rsid w:val="00655C8E"/>
    <w:rsid w:val="00656D19"/>
    <w:rsid w:val="00662A0E"/>
    <w:rsid w:val="00666A3B"/>
    <w:rsid w:val="00675385"/>
    <w:rsid w:val="006908F9"/>
    <w:rsid w:val="00694E17"/>
    <w:rsid w:val="00697796"/>
    <w:rsid w:val="006A292F"/>
    <w:rsid w:val="006A7E28"/>
    <w:rsid w:val="006B78AD"/>
    <w:rsid w:val="006C04BE"/>
    <w:rsid w:val="006C0D59"/>
    <w:rsid w:val="006C217A"/>
    <w:rsid w:val="006C4529"/>
    <w:rsid w:val="006C4E23"/>
    <w:rsid w:val="006D1974"/>
    <w:rsid w:val="006D272F"/>
    <w:rsid w:val="006D7BFF"/>
    <w:rsid w:val="006E65ED"/>
    <w:rsid w:val="006E7A33"/>
    <w:rsid w:val="006F0B06"/>
    <w:rsid w:val="006F500B"/>
    <w:rsid w:val="006F7CF2"/>
    <w:rsid w:val="007164D0"/>
    <w:rsid w:val="007226D1"/>
    <w:rsid w:val="00724C73"/>
    <w:rsid w:val="00725BCD"/>
    <w:rsid w:val="00736EAA"/>
    <w:rsid w:val="00737820"/>
    <w:rsid w:val="0074048C"/>
    <w:rsid w:val="00740BAC"/>
    <w:rsid w:val="0074642B"/>
    <w:rsid w:val="007553C1"/>
    <w:rsid w:val="00755AEC"/>
    <w:rsid w:val="00755DDC"/>
    <w:rsid w:val="00760792"/>
    <w:rsid w:val="00761E6D"/>
    <w:rsid w:val="00763A35"/>
    <w:rsid w:val="007678B7"/>
    <w:rsid w:val="00772AEB"/>
    <w:rsid w:val="00775E42"/>
    <w:rsid w:val="00781480"/>
    <w:rsid w:val="00781A97"/>
    <w:rsid w:val="00783B4B"/>
    <w:rsid w:val="00785F84"/>
    <w:rsid w:val="00790454"/>
    <w:rsid w:val="00791054"/>
    <w:rsid w:val="00791FA9"/>
    <w:rsid w:val="007957C3"/>
    <w:rsid w:val="007A5591"/>
    <w:rsid w:val="007A5875"/>
    <w:rsid w:val="007B181D"/>
    <w:rsid w:val="007C31AF"/>
    <w:rsid w:val="007D0C01"/>
    <w:rsid w:val="007D1AB8"/>
    <w:rsid w:val="007D4ED6"/>
    <w:rsid w:val="007D556E"/>
    <w:rsid w:val="007D6248"/>
    <w:rsid w:val="007D76E0"/>
    <w:rsid w:val="007E3AC3"/>
    <w:rsid w:val="00801518"/>
    <w:rsid w:val="00806DB0"/>
    <w:rsid w:val="008104B2"/>
    <w:rsid w:val="008120C1"/>
    <w:rsid w:val="00812840"/>
    <w:rsid w:val="008142DA"/>
    <w:rsid w:val="008177E9"/>
    <w:rsid w:val="00820EC0"/>
    <w:rsid w:val="00826B88"/>
    <w:rsid w:val="00830801"/>
    <w:rsid w:val="00831773"/>
    <w:rsid w:val="0083435F"/>
    <w:rsid w:val="00834801"/>
    <w:rsid w:val="00837B0B"/>
    <w:rsid w:val="00843BF2"/>
    <w:rsid w:val="00844FE9"/>
    <w:rsid w:val="00850770"/>
    <w:rsid w:val="00854D85"/>
    <w:rsid w:val="0086165E"/>
    <w:rsid w:val="008629CB"/>
    <w:rsid w:val="0087373E"/>
    <w:rsid w:val="00874CE2"/>
    <w:rsid w:val="00877E4D"/>
    <w:rsid w:val="00882948"/>
    <w:rsid w:val="00883151"/>
    <w:rsid w:val="0089008A"/>
    <w:rsid w:val="00891773"/>
    <w:rsid w:val="00892585"/>
    <w:rsid w:val="008925BB"/>
    <w:rsid w:val="008A0EFB"/>
    <w:rsid w:val="008B3680"/>
    <w:rsid w:val="008B5434"/>
    <w:rsid w:val="008C0934"/>
    <w:rsid w:val="008D162B"/>
    <w:rsid w:val="008D5A27"/>
    <w:rsid w:val="008D5B00"/>
    <w:rsid w:val="008D7D6B"/>
    <w:rsid w:val="008E06A3"/>
    <w:rsid w:val="008E23CC"/>
    <w:rsid w:val="008E57CB"/>
    <w:rsid w:val="008E5DA2"/>
    <w:rsid w:val="008F3CF7"/>
    <w:rsid w:val="008F6437"/>
    <w:rsid w:val="009020B5"/>
    <w:rsid w:val="00902996"/>
    <w:rsid w:val="009061B2"/>
    <w:rsid w:val="009063F6"/>
    <w:rsid w:val="00910CF1"/>
    <w:rsid w:val="00915219"/>
    <w:rsid w:val="00916051"/>
    <w:rsid w:val="00916EB6"/>
    <w:rsid w:val="00916EF2"/>
    <w:rsid w:val="0091725F"/>
    <w:rsid w:val="009214EC"/>
    <w:rsid w:val="00921C1A"/>
    <w:rsid w:val="00921E7B"/>
    <w:rsid w:val="00922818"/>
    <w:rsid w:val="009338EA"/>
    <w:rsid w:val="00941E0D"/>
    <w:rsid w:val="00942E06"/>
    <w:rsid w:val="00945D8D"/>
    <w:rsid w:val="00950A46"/>
    <w:rsid w:val="0095298F"/>
    <w:rsid w:val="00954675"/>
    <w:rsid w:val="0095702C"/>
    <w:rsid w:val="00962C3E"/>
    <w:rsid w:val="00967EF6"/>
    <w:rsid w:val="0097051F"/>
    <w:rsid w:val="00970540"/>
    <w:rsid w:val="00970976"/>
    <w:rsid w:val="00970FC9"/>
    <w:rsid w:val="00985565"/>
    <w:rsid w:val="00990281"/>
    <w:rsid w:val="0099145A"/>
    <w:rsid w:val="0099207B"/>
    <w:rsid w:val="009A0ED5"/>
    <w:rsid w:val="009A515A"/>
    <w:rsid w:val="009B0BA3"/>
    <w:rsid w:val="009B47BF"/>
    <w:rsid w:val="009B50E4"/>
    <w:rsid w:val="009B51AD"/>
    <w:rsid w:val="009C2B88"/>
    <w:rsid w:val="009C4F4A"/>
    <w:rsid w:val="009C6961"/>
    <w:rsid w:val="009D1665"/>
    <w:rsid w:val="009D5726"/>
    <w:rsid w:val="009D78D1"/>
    <w:rsid w:val="009D79EC"/>
    <w:rsid w:val="009E1528"/>
    <w:rsid w:val="009E3B64"/>
    <w:rsid w:val="009F153B"/>
    <w:rsid w:val="009F15AE"/>
    <w:rsid w:val="009F309A"/>
    <w:rsid w:val="009F5DD3"/>
    <w:rsid w:val="009F6668"/>
    <w:rsid w:val="00A01687"/>
    <w:rsid w:val="00A024AC"/>
    <w:rsid w:val="00A072FE"/>
    <w:rsid w:val="00A10500"/>
    <w:rsid w:val="00A11169"/>
    <w:rsid w:val="00A177F0"/>
    <w:rsid w:val="00A22039"/>
    <w:rsid w:val="00A22D3B"/>
    <w:rsid w:val="00A36361"/>
    <w:rsid w:val="00A37F53"/>
    <w:rsid w:val="00A41F69"/>
    <w:rsid w:val="00A47378"/>
    <w:rsid w:val="00A47BDC"/>
    <w:rsid w:val="00A47ED4"/>
    <w:rsid w:val="00A51B24"/>
    <w:rsid w:val="00A52322"/>
    <w:rsid w:val="00A52F9B"/>
    <w:rsid w:val="00A534A2"/>
    <w:rsid w:val="00A62528"/>
    <w:rsid w:val="00A67A3A"/>
    <w:rsid w:val="00A67FDB"/>
    <w:rsid w:val="00A72102"/>
    <w:rsid w:val="00A8093F"/>
    <w:rsid w:val="00A860DC"/>
    <w:rsid w:val="00A875F3"/>
    <w:rsid w:val="00A90C84"/>
    <w:rsid w:val="00A94A37"/>
    <w:rsid w:val="00A97187"/>
    <w:rsid w:val="00AA1591"/>
    <w:rsid w:val="00AA2A43"/>
    <w:rsid w:val="00AA2DF4"/>
    <w:rsid w:val="00AB3109"/>
    <w:rsid w:val="00AB6B2F"/>
    <w:rsid w:val="00AC3125"/>
    <w:rsid w:val="00AD1CE3"/>
    <w:rsid w:val="00AD4C7D"/>
    <w:rsid w:val="00AD611A"/>
    <w:rsid w:val="00AE1FE1"/>
    <w:rsid w:val="00AE7DF9"/>
    <w:rsid w:val="00AF19DC"/>
    <w:rsid w:val="00AF26DE"/>
    <w:rsid w:val="00AF6B39"/>
    <w:rsid w:val="00B00CC7"/>
    <w:rsid w:val="00B01426"/>
    <w:rsid w:val="00B03F2F"/>
    <w:rsid w:val="00B06BD6"/>
    <w:rsid w:val="00B12738"/>
    <w:rsid w:val="00B139D2"/>
    <w:rsid w:val="00B13D1B"/>
    <w:rsid w:val="00B155EE"/>
    <w:rsid w:val="00B20626"/>
    <w:rsid w:val="00B215DD"/>
    <w:rsid w:val="00B34B9F"/>
    <w:rsid w:val="00B51DBD"/>
    <w:rsid w:val="00B57F92"/>
    <w:rsid w:val="00B61CAB"/>
    <w:rsid w:val="00B65CC4"/>
    <w:rsid w:val="00B72A6A"/>
    <w:rsid w:val="00B742EB"/>
    <w:rsid w:val="00B77443"/>
    <w:rsid w:val="00B81149"/>
    <w:rsid w:val="00B84322"/>
    <w:rsid w:val="00B87A1C"/>
    <w:rsid w:val="00B87D3C"/>
    <w:rsid w:val="00B900A4"/>
    <w:rsid w:val="00B95CFA"/>
    <w:rsid w:val="00BA173C"/>
    <w:rsid w:val="00BA31C2"/>
    <w:rsid w:val="00BB3314"/>
    <w:rsid w:val="00BB3C4F"/>
    <w:rsid w:val="00BB4F4D"/>
    <w:rsid w:val="00BC04F2"/>
    <w:rsid w:val="00BC3029"/>
    <w:rsid w:val="00BD4F99"/>
    <w:rsid w:val="00BD6FA4"/>
    <w:rsid w:val="00BE244E"/>
    <w:rsid w:val="00BE26CC"/>
    <w:rsid w:val="00BE3EA3"/>
    <w:rsid w:val="00BE55AC"/>
    <w:rsid w:val="00BE7D02"/>
    <w:rsid w:val="00BF5A14"/>
    <w:rsid w:val="00C004A4"/>
    <w:rsid w:val="00C05335"/>
    <w:rsid w:val="00C058A0"/>
    <w:rsid w:val="00C05C13"/>
    <w:rsid w:val="00C05E9D"/>
    <w:rsid w:val="00C07B7D"/>
    <w:rsid w:val="00C10ACE"/>
    <w:rsid w:val="00C10B01"/>
    <w:rsid w:val="00C117DA"/>
    <w:rsid w:val="00C13DC9"/>
    <w:rsid w:val="00C154EC"/>
    <w:rsid w:val="00C157B8"/>
    <w:rsid w:val="00C16C7E"/>
    <w:rsid w:val="00C26E73"/>
    <w:rsid w:val="00C27E5A"/>
    <w:rsid w:val="00C32AB8"/>
    <w:rsid w:val="00C33CEB"/>
    <w:rsid w:val="00C357E4"/>
    <w:rsid w:val="00C361CD"/>
    <w:rsid w:val="00C376FA"/>
    <w:rsid w:val="00C416C8"/>
    <w:rsid w:val="00C42680"/>
    <w:rsid w:val="00C51AB4"/>
    <w:rsid w:val="00C57448"/>
    <w:rsid w:val="00C60A5B"/>
    <w:rsid w:val="00C610C3"/>
    <w:rsid w:val="00C7286D"/>
    <w:rsid w:val="00C77D3F"/>
    <w:rsid w:val="00C83183"/>
    <w:rsid w:val="00C84A34"/>
    <w:rsid w:val="00C87975"/>
    <w:rsid w:val="00C95EA9"/>
    <w:rsid w:val="00C96046"/>
    <w:rsid w:val="00CA38D8"/>
    <w:rsid w:val="00CA3F74"/>
    <w:rsid w:val="00CA5BDF"/>
    <w:rsid w:val="00CB2AE9"/>
    <w:rsid w:val="00CB4561"/>
    <w:rsid w:val="00CB4664"/>
    <w:rsid w:val="00CC2285"/>
    <w:rsid w:val="00CC2987"/>
    <w:rsid w:val="00CC4EDC"/>
    <w:rsid w:val="00CC5E39"/>
    <w:rsid w:val="00CD315C"/>
    <w:rsid w:val="00CD3272"/>
    <w:rsid w:val="00CD38FC"/>
    <w:rsid w:val="00CE36C8"/>
    <w:rsid w:val="00CF3010"/>
    <w:rsid w:val="00CF4242"/>
    <w:rsid w:val="00CF4490"/>
    <w:rsid w:val="00CF565F"/>
    <w:rsid w:val="00CF6442"/>
    <w:rsid w:val="00CF70FE"/>
    <w:rsid w:val="00D0512A"/>
    <w:rsid w:val="00D06719"/>
    <w:rsid w:val="00D1168D"/>
    <w:rsid w:val="00D22A59"/>
    <w:rsid w:val="00D2636B"/>
    <w:rsid w:val="00D30088"/>
    <w:rsid w:val="00D312C4"/>
    <w:rsid w:val="00D3431B"/>
    <w:rsid w:val="00D42696"/>
    <w:rsid w:val="00D43E19"/>
    <w:rsid w:val="00D45808"/>
    <w:rsid w:val="00D50765"/>
    <w:rsid w:val="00D50CD3"/>
    <w:rsid w:val="00D52A67"/>
    <w:rsid w:val="00D620EC"/>
    <w:rsid w:val="00D710A7"/>
    <w:rsid w:val="00D763D9"/>
    <w:rsid w:val="00D816EC"/>
    <w:rsid w:val="00D82564"/>
    <w:rsid w:val="00D84992"/>
    <w:rsid w:val="00D9105F"/>
    <w:rsid w:val="00D95F03"/>
    <w:rsid w:val="00DA0D36"/>
    <w:rsid w:val="00DA5EB9"/>
    <w:rsid w:val="00DB05BC"/>
    <w:rsid w:val="00DB1E04"/>
    <w:rsid w:val="00DB51A8"/>
    <w:rsid w:val="00DC127C"/>
    <w:rsid w:val="00DC6118"/>
    <w:rsid w:val="00DC6120"/>
    <w:rsid w:val="00DC7A92"/>
    <w:rsid w:val="00DD0E48"/>
    <w:rsid w:val="00DD225A"/>
    <w:rsid w:val="00DD6B89"/>
    <w:rsid w:val="00DD771A"/>
    <w:rsid w:val="00DE048B"/>
    <w:rsid w:val="00DE4C0D"/>
    <w:rsid w:val="00DF3539"/>
    <w:rsid w:val="00DF4DB8"/>
    <w:rsid w:val="00DF5E51"/>
    <w:rsid w:val="00E024E8"/>
    <w:rsid w:val="00E05064"/>
    <w:rsid w:val="00E05066"/>
    <w:rsid w:val="00E10A8B"/>
    <w:rsid w:val="00E138E0"/>
    <w:rsid w:val="00E143DF"/>
    <w:rsid w:val="00E15426"/>
    <w:rsid w:val="00E22AE3"/>
    <w:rsid w:val="00E251B9"/>
    <w:rsid w:val="00E30811"/>
    <w:rsid w:val="00E313BD"/>
    <w:rsid w:val="00E508F4"/>
    <w:rsid w:val="00E50E82"/>
    <w:rsid w:val="00E51ED0"/>
    <w:rsid w:val="00E51F85"/>
    <w:rsid w:val="00E60DB0"/>
    <w:rsid w:val="00E64AED"/>
    <w:rsid w:val="00E65583"/>
    <w:rsid w:val="00E67017"/>
    <w:rsid w:val="00E67BE6"/>
    <w:rsid w:val="00E75D0B"/>
    <w:rsid w:val="00E85654"/>
    <w:rsid w:val="00E87E5A"/>
    <w:rsid w:val="00E937F8"/>
    <w:rsid w:val="00E93811"/>
    <w:rsid w:val="00E97260"/>
    <w:rsid w:val="00EA5801"/>
    <w:rsid w:val="00EA7005"/>
    <w:rsid w:val="00EB7783"/>
    <w:rsid w:val="00EC129D"/>
    <w:rsid w:val="00EC2425"/>
    <w:rsid w:val="00EE0A44"/>
    <w:rsid w:val="00EE3E5D"/>
    <w:rsid w:val="00EE3F71"/>
    <w:rsid w:val="00EE5CC5"/>
    <w:rsid w:val="00EF4025"/>
    <w:rsid w:val="00EF75D8"/>
    <w:rsid w:val="00F01CED"/>
    <w:rsid w:val="00F15032"/>
    <w:rsid w:val="00F16456"/>
    <w:rsid w:val="00F16B71"/>
    <w:rsid w:val="00F26059"/>
    <w:rsid w:val="00F27415"/>
    <w:rsid w:val="00F309FE"/>
    <w:rsid w:val="00F3506A"/>
    <w:rsid w:val="00F36138"/>
    <w:rsid w:val="00F47C67"/>
    <w:rsid w:val="00F47F92"/>
    <w:rsid w:val="00F5133C"/>
    <w:rsid w:val="00F519A3"/>
    <w:rsid w:val="00F55BC6"/>
    <w:rsid w:val="00F5763A"/>
    <w:rsid w:val="00F5780A"/>
    <w:rsid w:val="00F609D2"/>
    <w:rsid w:val="00F65464"/>
    <w:rsid w:val="00F70D38"/>
    <w:rsid w:val="00F858BD"/>
    <w:rsid w:val="00F92946"/>
    <w:rsid w:val="00F962B7"/>
    <w:rsid w:val="00F975B6"/>
    <w:rsid w:val="00FA119A"/>
    <w:rsid w:val="00FA24D6"/>
    <w:rsid w:val="00FA3D7B"/>
    <w:rsid w:val="00FA407A"/>
    <w:rsid w:val="00FA65AC"/>
    <w:rsid w:val="00FB12F8"/>
    <w:rsid w:val="00FB32B6"/>
    <w:rsid w:val="00FC57D8"/>
    <w:rsid w:val="00FC61B5"/>
    <w:rsid w:val="00FD065B"/>
    <w:rsid w:val="00FD3AEE"/>
    <w:rsid w:val="00FD72B1"/>
    <w:rsid w:val="00FE0465"/>
    <w:rsid w:val="00FE25AC"/>
    <w:rsid w:val="00FE2D53"/>
    <w:rsid w:val="00FF2214"/>
    <w:rsid w:val="0D124E4E"/>
    <w:rsid w:val="32B25BB9"/>
    <w:rsid w:val="542407D0"/>
    <w:rsid w:val="56E75300"/>
    <w:rsid w:val="6150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0532D"/>
  <w15:docId w15:val="{855E5577-ED63-438A-82D9-04ECE4B2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29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qFormat="1"/>
    <w:lsdException w:name="line number" w:uiPriority="0" w:qFormat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4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iPriority="4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4"/>
    <w:qFormat/>
    <w:pPr>
      <w:jc w:val="both"/>
    </w:pPr>
    <w:rPr>
      <w:lang w:val="es-PR"/>
    </w:rPr>
  </w:style>
  <w:style w:type="paragraph" w:styleId="BodyTextFirstIndent">
    <w:name w:val="Body Text First Indent"/>
    <w:basedOn w:val="BodyText"/>
    <w:link w:val="BodyTextFirstIndentChar"/>
    <w:uiPriority w:val="4"/>
    <w:unhideWhenUsed/>
    <w:qFormat/>
    <w:pPr>
      <w:ind w:firstLine="360"/>
      <w:jc w:val="left"/>
    </w:pPr>
    <w:rPr>
      <w:lang w:val="en-US"/>
    </w:rPr>
  </w:style>
  <w:style w:type="character" w:styleId="CommentReference">
    <w:name w:val="annotation reference"/>
    <w:uiPriority w:val="99"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29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qFormat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  <w:qFormat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29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  <w:qFormat/>
  </w:style>
  <w:style w:type="character" w:customStyle="1" w:styleId="HeaderChar">
    <w:name w:val="Header Char"/>
    <w:link w:val="Header"/>
    <w:uiPriority w:val="99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customStyle="1" w:styleId="Revision2">
    <w:name w:val="Revision2"/>
    <w:hidden/>
    <w:uiPriority w:val="99"/>
    <w:semiHidden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4"/>
    <w:qFormat/>
    <w:rPr>
      <w:sz w:val="24"/>
      <w:szCs w:val="24"/>
      <w:lang w:val="es-PR"/>
    </w:rPr>
  </w:style>
  <w:style w:type="paragraph" w:customStyle="1" w:styleId="Revision3">
    <w:name w:val="Revision3"/>
    <w:hidden/>
    <w:uiPriority w:val="99"/>
    <w:unhideWhenUsed/>
    <w:qFormat/>
    <w:rPr>
      <w:sz w:val="24"/>
      <w:szCs w:val="24"/>
    </w:rPr>
  </w:style>
  <w:style w:type="character" w:customStyle="1" w:styleId="BodyTextFirstIndentChar">
    <w:name w:val="Body Text First Indent Char"/>
    <w:basedOn w:val="BodyTextChar"/>
    <w:link w:val="BodyTextFirstIndent"/>
    <w:uiPriority w:val="4"/>
    <w:qFormat/>
    <w:rPr>
      <w:sz w:val="24"/>
      <w:szCs w:val="24"/>
      <w:lang w:val="es-PR"/>
    </w:rPr>
  </w:style>
  <w:style w:type="paragraph" w:customStyle="1" w:styleId="ArabicTwo1">
    <w:name w:val="ArabicTwo 1"/>
    <w:basedOn w:val="Normal"/>
    <w:link w:val="ArabicTwo1Char"/>
    <w:uiPriority w:val="9"/>
    <w:qFormat/>
    <w:pPr>
      <w:keepNext/>
      <w:numPr>
        <w:numId w:val="1"/>
      </w:numPr>
      <w:spacing w:before="240" w:after="240"/>
      <w:jc w:val="both"/>
      <w:textAlignment w:val="baseline"/>
      <w:outlineLvl w:val="0"/>
    </w:pPr>
    <w:rPr>
      <w:rFonts w:eastAsia="Calibri" w:cs="Arial"/>
      <w:lang w:val="es-ES"/>
    </w:rPr>
  </w:style>
  <w:style w:type="character" w:customStyle="1" w:styleId="ArabicTwo1Char">
    <w:name w:val="ArabicTwo 1 Char"/>
    <w:link w:val="ArabicTwo1"/>
    <w:uiPriority w:val="9"/>
    <w:qFormat/>
    <w:rPr>
      <w:rFonts w:eastAsia="Calibri" w:cs="Arial"/>
      <w:sz w:val="24"/>
      <w:szCs w:val="24"/>
      <w:lang w:val="es-ES"/>
    </w:rPr>
  </w:style>
  <w:style w:type="paragraph" w:customStyle="1" w:styleId="ArabicTwo2">
    <w:name w:val="ArabicTwo 2"/>
    <w:basedOn w:val="ArabicTwo1"/>
    <w:link w:val="ArabicTwo2Char"/>
    <w:uiPriority w:val="9"/>
    <w:qFormat/>
    <w:pPr>
      <w:keepNext w:val="0"/>
      <w:numPr>
        <w:ilvl w:val="1"/>
      </w:numPr>
      <w:spacing w:before="0" w:after="0"/>
      <w:outlineLvl w:val="1"/>
    </w:pPr>
  </w:style>
  <w:style w:type="character" w:customStyle="1" w:styleId="ArabicTwo2Char">
    <w:name w:val="ArabicTwo 2 Char"/>
    <w:link w:val="ArabicTwo2"/>
    <w:uiPriority w:val="9"/>
    <w:qFormat/>
    <w:rPr>
      <w:rFonts w:eastAsia="Calibri" w:cs="Arial"/>
      <w:sz w:val="24"/>
      <w:szCs w:val="24"/>
      <w:lang w:val="es-ES"/>
    </w:rPr>
  </w:style>
  <w:style w:type="paragraph" w:customStyle="1" w:styleId="ArabicTwo3">
    <w:name w:val="ArabicTwo 3"/>
    <w:basedOn w:val="ArabicTwo2"/>
    <w:link w:val="ArabicTwo3Char"/>
    <w:uiPriority w:val="9"/>
    <w:qFormat/>
    <w:pPr>
      <w:numPr>
        <w:ilvl w:val="2"/>
      </w:numPr>
      <w:outlineLvl w:val="2"/>
    </w:pPr>
  </w:style>
  <w:style w:type="character" w:customStyle="1" w:styleId="ArabicTwo3Char">
    <w:name w:val="ArabicTwo 3 Char"/>
    <w:link w:val="ArabicTwo3"/>
    <w:uiPriority w:val="9"/>
    <w:qFormat/>
    <w:rPr>
      <w:rFonts w:eastAsia="Calibri" w:cs="Arial"/>
      <w:sz w:val="24"/>
      <w:szCs w:val="24"/>
      <w:lang w:val="es-ES"/>
    </w:rPr>
  </w:style>
  <w:style w:type="paragraph" w:customStyle="1" w:styleId="ArabicTwo4">
    <w:name w:val="ArabicTwo 4"/>
    <w:basedOn w:val="ArabicTwo3"/>
    <w:link w:val="ArabicTwo4Char"/>
    <w:uiPriority w:val="9"/>
    <w:qFormat/>
    <w:pPr>
      <w:numPr>
        <w:ilvl w:val="3"/>
      </w:numPr>
      <w:outlineLvl w:val="3"/>
    </w:pPr>
  </w:style>
  <w:style w:type="character" w:customStyle="1" w:styleId="ArabicTwo4Char">
    <w:name w:val="ArabicTwo 4 Char"/>
    <w:link w:val="ArabicTwo4"/>
    <w:uiPriority w:val="9"/>
    <w:qFormat/>
    <w:rPr>
      <w:rFonts w:eastAsia="Calibri" w:cs="Arial"/>
      <w:sz w:val="24"/>
      <w:szCs w:val="24"/>
      <w:lang w:val="es-ES"/>
    </w:rPr>
  </w:style>
  <w:style w:type="paragraph" w:customStyle="1" w:styleId="ArabicTwo5">
    <w:name w:val="ArabicTwo 5"/>
    <w:basedOn w:val="ArabicTwo4"/>
    <w:link w:val="ArabicTwo5Char"/>
    <w:uiPriority w:val="9"/>
    <w:qFormat/>
    <w:pPr>
      <w:numPr>
        <w:ilvl w:val="4"/>
      </w:numPr>
      <w:tabs>
        <w:tab w:val="left" w:pos="1080"/>
      </w:tabs>
      <w:outlineLvl w:val="4"/>
    </w:pPr>
  </w:style>
  <w:style w:type="character" w:customStyle="1" w:styleId="ArabicTwo5Char">
    <w:name w:val="ArabicTwo 5 Char"/>
    <w:link w:val="ArabicTwo5"/>
    <w:uiPriority w:val="9"/>
    <w:qFormat/>
    <w:rPr>
      <w:rFonts w:eastAsia="Calibri" w:cs="Arial"/>
      <w:sz w:val="24"/>
      <w:szCs w:val="24"/>
      <w:lang w:val="es-ES"/>
    </w:rPr>
  </w:style>
  <w:style w:type="paragraph" w:customStyle="1" w:styleId="ArabicTwo6">
    <w:name w:val="ArabicTwo 6"/>
    <w:basedOn w:val="ArabicTwo5"/>
    <w:uiPriority w:val="9"/>
    <w:qFormat/>
    <w:pPr>
      <w:numPr>
        <w:ilvl w:val="5"/>
      </w:numPr>
      <w:ind w:left="4680" w:hanging="180"/>
      <w:outlineLvl w:val="5"/>
    </w:pPr>
  </w:style>
  <w:style w:type="paragraph" w:customStyle="1" w:styleId="ArabicTwo7">
    <w:name w:val="ArabicTwo 7"/>
    <w:basedOn w:val="ArabicTwo6"/>
    <w:uiPriority w:val="9"/>
    <w:qFormat/>
    <w:pPr>
      <w:numPr>
        <w:ilvl w:val="6"/>
      </w:numPr>
      <w:ind w:left="5400" w:hanging="360"/>
      <w:outlineLvl w:val="6"/>
    </w:pPr>
  </w:style>
  <w:style w:type="paragraph" w:customStyle="1" w:styleId="ArabicTwo8">
    <w:name w:val="ArabicTwo 8"/>
    <w:basedOn w:val="ArabicTwo7"/>
    <w:uiPriority w:val="9"/>
    <w:qFormat/>
    <w:pPr>
      <w:numPr>
        <w:ilvl w:val="7"/>
      </w:numPr>
      <w:tabs>
        <w:tab w:val="clear" w:pos="1080"/>
        <w:tab w:val="left" w:pos="720"/>
      </w:tabs>
      <w:ind w:left="6120" w:hanging="360"/>
      <w:outlineLvl w:val="7"/>
    </w:pPr>
  </w:style>
  <w:style w:type="paragraph" w:customStyle="1" w:styleId="ArabicTwo9">
    <w:name w:val="ArabicTwo 9"/>
    <w:basedOn w:val="ArabicTwo8"/>
    <w:uiPriority w:val="9"/>
    <w:qFormat/>
    <w:pPr>
      <w:numPr>
        <w:ilvl w:val="8"/>
      </w:numPr>
      <w:ind w:left="6840" w:hanging="180"/>
      <w:outlineLvl w:val="8"/>
    </w:pPr>
  </w:style>
  <w:style w:type="paragraph" w:customStyle="1" w:styleId="BodyTextFirstIndent3">
    <w:name w:val="Body Text First Indent 3"/>
    <w:basedOn w:val="Normal"/>
    <w:qFormat/>
    <w:pPr>
      <w:ind w:left="360" w:firstLine="720"/>
      <w:jc w:val="both"/>
    </w:pPr>
    <w:rPr>
      <w:rFonts w:eastAsia="Calibri" w:cs="Arial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b/>
      <w:sz w:val="24"/>
      <w:szCs w:val="24"/>
    </w:rPr>
  </w:style>
  <w:style w:type="paragraph" w:customStyle="1" w:styleId="sectext">
    <w:name w:val="sectext"/>
    <w:qFormat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Augusto Martínez</dc:creator>
  <cp:lastModifiedBy>Gladys J. Burgos Torres</cp:lastModifiedBy>
  <cp:revision>4</cp:revision>
  <cp:lastPrinted>2025-03-19T13:06:00Z</cp:lastPrinted>
  <dcterms:created xsi:type="dcterms:W3CDTF">2025-03-18T19:40:00Z</dcterms:created>
  <dcterms:modified xsi:type="dcterms:W3CDTF">2025-03-19T13:58:00Z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95CDFB6A85FA440F953F9778A72A3C2A_13</vt:lpwstr>
  </property>
</Properties>
</file>