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30FC5" w14:textId="77777777" w:rsidR="00FB45E6" w:rsidRPr="0051408F" w:rsidRDefault="00FB45E6" w:rsidP="00FB45E6">
      <w:pPr>
        <w:jc w:val="center"/>
        <w:rPr>
          <w:rFonts w:ascii="Book Antiqua" w:hAnsi="Book Antiqua"/>
          <w:b/>
          <w:smallCaps/>
          <w:sz w:val="32"/>
          <w:szCs w:val="32"/>
          <w:lang w:val="es-PR"/>
        </w:rPr>
      </w:pPr>
      <w:proofErr w:type="spellStart"/>
      <w:r w:rsidRPr="0051408F">
        <w:rPr>
          <w:rFonts w:ascii="Book Antiqua" w:hAnsi="Book Antiqua"/>
          <w:b/>
          <w:smallCaps/>
          <w:sz w:val="32"/>
          <w:szCs w:val="32"/>
          <w:lang w:val="es-PR"/>
        </w:rPr>
        <w:t>Entirillado</w:t>
      </w:r>
      <w:proofErr w:type="spellEnd"/>
      <w:r w:rsidRPr="0051408F">
        <w:rPr>
          <w:rFonts w:ascii="Book Antiqua" w:hAnsi="Book Antiqua"/>
          <w:b/>
          <w:smallCaps/>
          <w:sz w:val="32"/>
          <w:szCs w:val="32"/>
          <w:lang w:val="es-PR"/>
        </w:rPr>
        <w:t xml:space="preserve"> Electrónico</w:t>
      </w:r>
    </w:p>
    <w:p w14:paraId="7ADF8FCA" w14:textId="6EC24A2C" w:rsidR="009C5D39" w:rsidRPr="00BC63DB" w:rsidRDefault="009C5D39" w:rsidP="009C5D39">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79550657" w14:textId="77777777" w:rsidR="00FF2214" w:rsidRPr="002F48BA" w:rsidRDefault="00FF2214" w:rsidP="009C5D39">
      <w:pPr>
        <w:jc w:val="center"/>
        <w:rPr>
          <w:rFonts w:ascii="Book Antiqua" w:eastAsia="Book Antiqua" w:hAnsi="Book Antiqua" w:cs="Book Antiqua"/>
          <w:color w:val="000000" w:themeColor="text1"/>
          <w:lang w:val="es-PR"/>
        </w:rPr>
      </w:pPr>
    </w:p>
    <w:p w14:paraId="79550658" w14:textId="77777777" w:rsidR="00FF2214" w:rsidRPr="002F48BA" w:rsidRDefault="00850770" w:rsidP="009C5D39">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 xml:space="preserve">20 </w:t>
      </w:r>
      <w:r w:rsidRPr="002F48BA">
        <w:rPr>
          <w:rFonts w:ascii="Book Antiqua" w:eastAsia="Book Antiqua" w:hAnsi="Book Antiqua" w:cs="Book Antiqua"/>
          <w:color w:val="000000" w:themeColor="text1"/>
          <w:vertAlign w:val="superscript"/>
          <w:lang w:val="es-PR"/>
        </w:rPr>
        <w:t>ma.</w:t>
      </w:r>
      <w:r w:rsidRPr="002F48BA">
        <w:rPr>
          <w:rFonts w:ascii="Book Antiqua" w:eastAsia="Book Antiqua" w:hAnsi="Book Antiqua" w:cs="Book Antiqua"/>
          <w:color w:val="000000" w:themeColor="text1"/>
          <w:lang w:val="es-PR"/>
        </w:rPr>
        <w:tab/>
        <w:t>Asamblea</w:t>
      </w:r>
      <w:r w:rsidRPr="002F48BA">
        <w:rPr>
          <w:rFonts w:ascii="Book Antiqua" w:eastAsia="Book Antiqua" w:hAnsi="Book Antiqua" w:cs="Book Antiqua"/>
          <w:color w:val="000000" w:themeColor="text1"/>
          <w:lang w:val="es-PR"/>
        </w:rPr>
        <w:tab/>
        <w:t>1</w:t>
      </w:r>
      <w:r w:rsidRPr="002F48BA">
        <w:rPr>
          <w:rFonts w:ascii="Book Antiqua" w:eastAsia="Book Antiqua" w:hAnsi="Book Antiqua" w:cs="Book Antiqua"/>
          <w:color w:val="000000" w:themeColor="text1"/>
          <w:vertAlign w:val="superscript"/>
          <w:lang w:val="es-PR"/>
        </w:rPr>
        <w:t>ra.</w:t>
      </w:r>
      <w:r w:rsidRPr="002F48BA">
        <w:rPr>
          <w:rFonts w:ascii="Book Antiqua" w:eastAsia="Book Antiqua" w:hAnsi="Book Antiqua" w:cs="Book Antiqua"/>
          <w:color w:val="000000" w:themeColor="text1"/>
          <w:vertAlign w:val="superscript"/>
          <w:lang w:val="es-PR"/>
        </w:rPr>
        <w:tab/>
      </w:r>
      <w:r w:rsidRPr="002F48BA">
        <w:rPr>
          <w:rFonts w:ascii="Book Antiqua" w:eastAsia="Book Antiqua" w:hAnsi="Book Antiqua" w:cs="Book Antiqua"/>
          <w:color w:val="000000" w:themeColor="text1"/>
          <w:lang w:val="es-PR"/>
        </w:rPr>
        <w:t>Sesión</w:t>
      </w:r>
    </w:p>
    <w:p w14:paraId="79550659" w14:textId="77777777" w:rsidR="00FF2214" w:rsidRPr="002F48BA" w:rsidRDefault="00850770" w:rsidP="009C5D39">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rsidP="009C5D39">
      <w:pPr>
        <w:rPr>
          <w:rFonts w:ascii="Book Antiqua" w:eastAsia="Book Antiqua" w:hAnsi="Book Antiqua" w:cs="Book Antiqua"/>
          <w:color w:val="000000" w:themeColor="text1"/>
          <w:lang w:val="es-PR"/>
        </w:rPr>
      </w:pPr>
    </w:p>
    <w:p w14:paraId="32A931BE" w14:textId="77777777" w:rsidR="00950505" w:rsidRPr="00171EEB" w:rsidRDefault="00950505" w:rsidP="009C5D39">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C5D39">
      <w:pPr>
        <w:jc w:val="center"/>
        <w:rPr>
          <w:rFonts w:ascii="Book Antiqua" w:hAnsi="Book Antiqua"/>
          <w:lang w:val="es-PR"/>
        </w:rPr>
      </w:pPr>
    </w:p>
    <w:p w14:paraId="5886E84B" w14:textId="38933B3C" w:rsidR="00950505" w:rsidRPr="00171EEB" w:rsidRDefault="00950505" w:rsidP="009C5D39">
      <w:pPr>
        <w:jc w:val="center"/>
        <w:rPr>
          <w:rFonts w:ascii="Book Antiqua" w:hAnsi="Book Antiqua"/>
          <w:b/>
          <w:sz w:val="52"/>
          <w:szCs w:val="52"/>
          <w:lang w:val="es-PR"/>
        </w:rPr>
      </w:pPr>
      <w:r w:rsidRPr="00171EEB">
        <w:rPr>
          <w:rFonts w:ascii="Book Antiqua" w:hAnsi="Book Antiqua"/>
          <w:b/>
          <w:sz w:val="52"/>
          <w:szCs w:val="52"/>
          <w:lang w:val="es-PR"/>
        </w:rPr>
        <w:t>P. de la C.</w:t>
      </w:r>
      <w:r w:rsidR="0022667E">
        <w:rPr>
          <w:rFonts w:ascii="Book Antiqua" w:hAnsi="Book Antiqua"/>
          <w:b/>
          <w:sz w:val="52"/>
          <w:szCs w:val="52"/>
          <w:lang w:val="es-PR"/>
        </w:rPr>
        <w:t xml:space="preserve"> 419</w:t>
      </w:r>
    </w:p>
    <w:p w14:paraId="4A8A7A6F" w14:textId="77777777" w:rsidR="00950505" w:rsidRPr="00171EEB" w:rsidRDefault="00950505" w:rsidP="009C5D39">
      <w:pPr>
        <w:jc w:val="center"/>
        <w:rPr>
          <w:rFonts w:ascii="Book Antiqua" w:hAnsi="Book Antiqua"/>
          <w:lang w:val="es-PR"/>
        </w:rPr>
      </w:pPr>
    </w:p>
    <w:p w14:paraId="3D87D176" w14:textId="74409858" w:rsidR="00950505" w:rsidRPr="00171EEB" w:rsidRDefault="0022667E" w:rsidP="009C5D39">
      <w:pPr>
        <w:jc w:val="center"/>
        <w:rPr>
          <w:rFonts w:ascii="Book Antiqua" w:hAnsi="Book Antiqua"/>
          <w:b/>
          <w:sz w:val="48"/>
          <w:lang w:val="es-PR"/>
        </w:rPr>
      </w:pPr>
      <w:r>
        <w:rPr>
          <w:rFonts w:ascii="Book Antiqua" w:hAnsi="Book Antiqua"/>
          <w:lang w:val="es-PR"/>
        </w:rPr>
        <w:t xml:space="preserve">18 </w:t>
      </w:r>
      <w:r w:rsidR="009C5D39">
        <w:rPr>
          <w:rFonts w:ascii="Book Antiqua" w:hAnsi="Book Antiqua"/>
          <w:lang w:val="es-PR"/>
        </w:rPr>
        <w:t>DE MARZO DE</w:t>
      </w:r>
      <w:r w:rsidR="00950505" w:rsidRPr="00171EEB">
        <w:rPr>
          <w:rFonts w:ascii="Book Antiqua" w:hAnsi="Book Antiqua"/>
          <w:lang w:val="es-PR"/>
        </w:rPr>
        <w:t xml:space="preserve"> 2025</w:t>
      </w:r>
    </w:p>
    <w:p w14:paraId="1E7B6D3E" w14:textId="77777777" w:rsidR="00950505" w:rsidRPr="00171EEB" w:rsidRDefault="00950505" w:rsidP="009C5D39">
      <w:pPr>
        <w:jc w:val="center"/>
        <w:rPr>
          <w:rFonts w:ascii="Book Antiqua" w:hAnsi="Book Antiqua"/>
          <w:lang w:val="es-PR"/>
        </w:rPr>
      </w:pPr>
    </w:p>
    <w:p w14:paraId="25DDE8AD" w14:textId="77777777" w:rsidR="009C5D39" w:rsidRDefault="009C5D39" w:rsidP="009C5D39">
      <w:pPr>
        <w:ind w:left="810" w:hanging="810"/>
        <w:jc w:val="both"/>
        <w:rPr>
          <w:rFonts w:ascii="Book Antiqua" w:eastAsia="Aptos" w:hAnsi="Book Antiqua"/>
          <w:i/>
          <w:iCs/>
          <w:kern w:val="2"/>
          <w:lang w:val="es-ES"/>
          <w14:ligatures w14:val="standardContextual"/>
        </w:rPr>
      </w:pPr>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lang w:val="es-ES"/>
          <w14:ligatures w14:val="standardContextual"/>
        </w:rPr>
        <w:t>Charbonier</w:t>
      </w:r>
      <w:proofErr w:type="spellEnd"/>
      <w:r w:rsidRPr="00BC63DB">
        <w:rPr>
          <w:rFonts w:ascii="Book Antiqua" w:eastAsia="Aptos" w:hAnsi="Book Antiqua"/>
          <w:i/>
          <w:iCs/>
          <w:kern w:val="2"/>
          <w:lang w:val="es-ES"/>
          <w14:ligatures w14:val="standardContextual"/>
        </w:rPr>
        <w:t xml:space="preserve">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y</w:t>
      </w:r>
      <w:r w:rsidRPr="00BC63DB">
        <w:rPr>
          <w:rFonts w:ascii="Book Antiqua" w:eastAsia="Aptos" w:hAnsi="Book Antiqua"/>
          <w:i/>
          <w:iCs/>
          <w:kern w:val="2"/>
          <w:lang w:val="es-ES"/>
          <w14:ligatures w14:val="standardContextual"/>
        </w:rPr>
        <w:t xml:space="preserve"> Santiago Guzmán</w:t>
      </w:r>
    </w:p>
    <w:p w14:paraId="18A0DB58" w14:textId="77777777" w:rsidR="00950505" w:rsidRPr="009C5D39" w:rsidRDefault="00950505" w:rsidP="009C5D39">
      <w:pPr>
        <w:jc w:val="center"/>
        <w:rPr>
          <w:rFonts w:ascii="Book Antiqua" w:hAnsi="Book Antiqua"/>
          <w:lang w:val="es-ES"/>
        </w:rPr>
      </w:pPr>
    </w:p>
    <w:p w14:paraId="6E0B8939" w14:textId="2AE1688C" w:rsidR="00950505" w:rsidRPr="00171EEB" w:rsidRDefault="00950505" w:rsidP="009C5D39">
      <w:pPr>
        <w:jc w:val="center"/>
        <w:rPr>
          <w:rFonts w:ascii="Book Antiqua" w:hAnsi="Book Antiqua"/>
          <w:lang w:val="es-PR"/>
        </w:rPr>
      </w:pPr>
      <w:r w:rsidRPr="00171EEB">
        <w:rPr>
          <w:rFonts w:ascii="Book Antiqua" w:hAnsi="Book Antiqua"/>
          <w:lang w:val="es-PR"/>
        </w:rPr>
        <w:t>Referido a</w:t>
      </w:r>
      <w:r w:rsidR="00067102">
        <w:rPr>
          <w:rFonts w:ascii="Book Antiqua" w:hAnsi="Book Antiqua"/>
          <w:lang w:val="es-PR"/>
        </w:rPr>
        <w:t xml:space="preserve"> la Comisión de Salud</w:t>
      </w:r>
    </w:p>
    <w:p w14:paraId="4B9C3823" w14:textId="77777777" w:rsidR="00950505" w:rsidRPr="00171EEB" w:rsidRDefault="00950505" w:rsidP="009C5D39">
      <w:pPr>
        <w:jc w:val="both"/>
        <w:rPr>
          <w:rFonts w:ascii="Book Antiqua" w:hAnsi="Book Antiqua"/>
          <w:lang w:val="es-PR"/>
        </w:rPr>
      </w:pPr>
    </w:p>
    <w:p w14:paraId="43228070" w14:textId="77777777" w:rsidR="00950505" w:rsidRPr="00171EEB" w:rsidRDefault="00950505" w:rsidP="009C5D39">
      <w:pPr>
        <w:jc w:val="center"/>
        <w:rPr>
          <w:rFonts w:ascii="Book Antiqua" w:hAnsi="Book Antiqua"/>
          <w:b/>
          <w:sz w:val="28"/>
          <w:lang w:val="es-PR"/>
        </w:rPr>
      </w:pPr>
      <w:r w:rsidRPr="00171EEB">
        <w:rPr>
          <w:rFonts w:ascii="Book Antiqua" w:hAnsi="Book Antiqua"/>
          <w:b/>
          <w:sz w:val="28"/>
          <w:lang w:val="es-PR"/>
        </w:rPr>
        <w:t>LEY</w:t>
      </w:r>
    </w:p>
    <w:p w14:paraId="79550663" w14:textId="77777777" w:rsidR="00FF2214" w:rsidRPr="002F48BA" w:rsidRDefault="00FF2214" w:rsidP="009C5D39">
      <w:pPr>
        <w:jc w:val="both"/>
        <w:rPr>
          <w:rFonts w:ascii="Book Antiqua" w:eastAsia="Book Antiqua" w:hAnsi="Book Antiqua" w:cs="Book Antiqua"/>
          <w:color w:val="000000" w:themeColor="text1"/>
          <w:lang w:val="es-PR"/>
        </w:rPr>
      </w:pPr>
    </w:p>
    <w:p w14:paraId="79550664" w14:textId="794FE7AD" w:rsidR="00FF2214" w:rsidRPr="002F48BA" w:rsidRDefault="00850770" w:rsidP="009C5D39">
      <w:pPr>
        <w:ind w:left="540" w:hanging="540"/>
        <w:jc w:val="both"/>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Para</w:t>
      </w:r>
      <w:r w:rsidR="00E45E9B" w:rsidRPr="00E45E9B">
        <w:rPr>
          <w:rFonts w:ascii="Book Antiqua" w:eastAsia="Book Antiqua" w:hAnsi="Book Antiqua" w:cs="Book Antiqua"/>
          <w:color w:val="000000" w:themeColor="text1"/>
          <w:lang w:val="es-PR"/>
        </w:rPr>
        <w:t xml:space="preserve"> </w:t>
      </w:r>
      <w:bookmarkStart w:id="0" w:name="_Hlk192855201"/>
      <w:r w:rsidR="00E45E9B" w:rsidRPr="00E45E9B">
        <w:rPr>
          <w:rFonts w:ascii="Book Antiqua" w:eastAsia="Book Antiqua" w:hAnsi="Book Antiqua" w:cs="Book Antiqua"/>
          <w:color w:val="000000" w:themeColor="text1"/>
          <w:lang w:val="es-PR"/>
        </w:rPr>
        <w:t>crear la “</w:t>
      </w:r>
      <w:r w:rsidR="00057EF4" w:rsidRPr="00057EF4">
        <w:rPr>
          <w:rFonts w:ascii="Book Antiqua" w:eastAsia="Book Antiqua" w:hAnsi="Book Antiqua" w:cs="Book Antiqua"/>
          <w:color w:val="000000" w:themeColor="text1"/>
          <w:lang w:val="es-PR"/>
        </w:rPr>
        <w:t>Ley para la Orientación sobre los Beneficios del Ácido Fólico</w:t>
      </w:r>
      <w:r w:rsidR="00E45E9B" w:rsidRPr="00E45E9B">
        <w:rPr>
          <w:rFonts w:ascii="Book Antiqua" w:eastAsia="Book Antiqua" w:hAnsi="Book Antiqua" w:cs="Book Antiqua"/>
          <w:color w:val="000000" w:themeColor="text1"/>
          <w:lang w:val="es-PR"/>
        </w:rPr>
        <w:t>”</w:t>
      </w:r>
      <w:r w:rsidR="00EE009B">
        <w:rPr>
          <w:rFonts w:ascii="Book Antiqua" w:eastAsia="Book Antiqua" w:hAnsi="Book Antiqua" w:cs="Book Antiqua"/>
          <w:color w:val="000000" w:themeColor="text1"/>
          <w:lang w:val="es-PR"/>
        </w:rPr>
        <w:t>,</w:t>
      </w:r>
      <w:r w:rsidR="00E45E9B" w:rsidRPr="00E45E9B">
        <w:rPr>
          <w:rFonts w:ascii="Book Antiqua" w:eastAsia="Book Antiqua" w:hAnsi="Book Antiqua" w:cs="Book Antiqua"/>
          <w:color w:val="000000" w:themeColor="text1"/>
          <w:lang w:val="es-PR"/>
        </w:rPr>
        <w:t xml:space="preserve"> </w:t>
      </w:r>
      <w:r w:rsidR="00EE009B" w:rsidRPr="00502B14">
        <w:rPr>
          <w:rFonts w:ascii="Book Antiqua" w:eastAsia="Book Antiqua" w:hAnsi="Book Antiqua" w:cs="Book Antiqua"/>
          <w:color w:val="000000" w:themeColor="text1"/>
          <w:lang w:val="es-PR"/>
        </w:rPr>
        <w:t xml:space="preserve">a los fines </w:t>
      </w:r>
      <w:r w:rsidR="00B60014" w:rsidRPr="00B60014">
        <w:rPr>
          <w:rFonts w:ascii="Book Antiqua" w:eastAsia="Book Antiqua" w:hAnsi="Book Antiqua" w:cs="Book Antiqua"/>
          <w:color w:val="000000" w:themeColor="text1"/>
          <w:lang w:val="es-PR"/>
        </w:rPr>
        <w:t>de que el Departamento de Salud</w:t>
      </w:r>
      <w:r w:rsidR="00CA00BA">
        <w:rPr>
          <w:rFonts w:ascii="Book Antiqua" w:eastAsia="Book Antiqua" w:hAnsi="Book Antiqua" w:cs="Book Antiqua"/>
          <w:color w:val="000000" w:themeColor="text1"/>
          <w:lang w:val="es-PR"/>
        </w:rPr>
        <w:t xml:space="preserve"> </w:t>
      </w:r>
      <w:r w:rsidR="00CA00BA">
        <w:rPr>
          <w:rFonts w:ascii="Book Antiqua" w:eastAsia="Book Antiqua" w:hAnsi="Book Antiqua" w:cs="Book Antiqua"/>
          <w:i/>
          <w:iCs/>
          <w:color w:val="000000" w:themeColor="text1"/>
          <w:u w:val="single"/>
          <w:lang w:val="es-PR"/>
        </w:rPr>
        <w:t>en colaboración con la Oficina de la Procuradora de las Mujeres,</w:t>
      </w:r>
      <w:r w:rsidR="00B60014" w:rsidRPr="00B60014">
        <w:rPr>
          <w:rFonts w:ascii="Book Antiqua" w:eastAsia="Book Antiqua" w:hAnsi="Book Antiqua" w:cs="Book Antiqua"/>
          <w:color w:val="000000" w:themeColor="text1"/>
          <w:lang w:val="es-PR"/>
        </w:rPr>
        <w:t xml:space="preserve"> </w:t>
      </w:r>
      <w:r w:rsidR="00B60014" w:rsidRPr="00CA00BA">
        <w:rPr>
          <w:rFonts w:ascii="Book Antiqua" w:eastAsia="Book Antiqua" w:hAnsi="Book Antiqua" w:cs="Book Antiqua"/>
          <w:strike/>
          <w:color w:val="000000" w:themeColor="text1"/>
          <w:lang w:val="es-PR"/>
        </w:rPr>
        <w:t>implemente</w:t>
      </w:r>
      <w:r w:rsidR="00B60014" w:rsidRPr="00B60014">
        <w:rPr>
          <w:rFonts w:ascii="Book Antiqua" w:eastAsia="Book Antiqua" w:hAnsi="Book Antiqua" w:cs="Book Antiqua"/>
          <w:color w:val="000000" w:themeColor="text1"/>
          <w:lang w:val="es-PR"/>
        </w:rPr>
        <w:t xml:space="preserve"> </w:t>
      </w:r>
      <w:r w:rsidR="00CA00BA" w:rsidRPr="00CA00BA">
        <w:rPr>
          <w:rFonts w:ascii="Book Antiqua" w:eastAsia="Book Antiqua" w:hAnsi="Book Antiqua" w:cs="Book Antiqua"/>
          <w:i/>
          <w:iCs/>
          <w:color w:val="000000" w:themeColor="text1"/>
          <w:u w:val="single"/>
          <w:lang w:val="es-PR"/>
        </w:rPr>
        <w:t>implementen</w:t>
      </w:r>
      <w:r w:rsidR="00CA00BA">
        <w:rPr>
          <w:rFonts w:ascii="Book Antiqua" w:eastAsia="Book Antiqua" w:hAnsi="Book Antiqua" w:cs="Book Antiqua"/>
          <w:color w:val="000000" w:themeColor="text1"/>
          <w:lang w:val="es-PR"/>
        </w:rPr>
        <w:t xml:space="preserve"> </w:t>
      </w:r>
      <w:r w:rsidR="00B60014" w:rsidRPr="00B60014">
        <w:rPr>
          <w:rFonts w:ascii="Book Antiqua" w:eastAsia="Book Antiqua" w:hAnsi="Book Antiqua" w:cs="Book Antiqua"/>
          <w:color w:val="000000" w:themeColor="text1"/>
          <w:lang w:val="es-PR"/>
        </w:rPr>
        <w:t xml:space="preserve">una campaña educativa sobre la importancia del consumo de ácido fólico, </w:t>
      </w:r>
      <w:r w:rsidR="00B60014" w:rsidRPr="00CA00BA">
        <w:rPr>
          <w:rFonts w:ascii="Book Antiqua" w:eastAsia="Book Antiqua" w:hAnsi="Book Antiqua" w:cs="Book Antiqua"/>
          <w:strike/>
          <w:color w:val="000000" w:themeColor="text1"/>
          <w:lang w:val="es-PR"/>
        </w:rPr>
        <w:t>elabore</w:t>
      </w:r>
      <w:r w:rsidR="00B60014" w:rsidRPr="00B60014">
        <w:rPr>
          <w:rFonts w:ascii="Book Antiqua" w:eastAsia="Book Antiqua" w:hAnsi="Book Antiqua" w:cs="Book Antiqua"/>
          <w:color w:val="000000" w:themeColor="text1"/>
          <w:lang w:val="es-PR"/>
        </w:rPr>
        <w:t xml:space="preserve"> </w:t>
      </w:r>
      <w:r w:rsidR="00CA00BA" w:rsidRPr="00CA00BA">
        <w:rPr>
          <w:rFonts w:ascii="Book Antiqua" w:eastAsia="Book Antiqua" w:hAnsi="Book Antiqua" w:cs="Book Antiqua"/>
          <w:i/>
          <w:iCs/>
          <w:color w:val="000000" w:themeColor="text1"/>
          <w:u w:val="single"/>
          <w:lang w:val="es-PR"/>
        </w:rPr>
        <w:t>elaboren</w:t>
      </w:r>
      <w:r w:rsidR="00CA00BA">
        <w:rPr>
          <w:rFonts w:ascii="Book Antiqua" w:eastAsia="Book Antiqua" w:hAnsi="Book Antiqua" w:cs="Book Antiqua"/>
          <w:color w:val="000000" w:themeColor="text1"/>
          <w:lang w:val="es-PR"/>
        </w:rPr>
        <w:t xml:space="preserve"> </w:t>
      </w:r>
      <w:r w:rsidR="00B60014" w:rsidRPr="00CA00BA">
        <w:rPr>
          <w:rFonts w:ascii="Book Antiqua" w:eastAsia="Book Antiqua" w:hAnsi="Book Antiqua" w:cs="Book Antiqua"/>
          <w:color w:val="000000" w:themeColor="text1"/>
          <w:lang w:val="es-PR"/>
        </w:rPr>
        <w:t>material</w:t>
      </w:r>
      <w:r w:rsidR="00B60014" w:rsidRPr="00B60014">
        <w:rPr>
          <w:rFonts w:ascii="Book Antiqua" w:eastAsia="Book Antiqua" w:hAnsi="Book Antiqua" w:cs="Book Antiqua"/>
          <w:color w:val="000000" w:themeColor="text1"/>
          <w:lang w:val="es-PR"/>
        </w:rPr>
        <w:t xml:space="preserve"> informativo y lo </w:t>
      </w:r>
      <w:r w:rsidR="00B60014" w:rsidRPr="00CA00BA">
        <w:rPr>
          <w:rFonts w:ascii="Book Antiqua" w:eastAsia="Book Antiqua" w:hAnsi="Book Antiqua" w:cs="Book Antiqua"/>
          <w:strike/>
          <w:color w:val="000000" w:themeColor="text1"/>
          <w:lang w:val="es-PR"/>
        </w:rPr>
        <w:t>distribuya</w:t>
      </w:r>
      <w:r w:rsidR="00B60014" w:rsidRPr="00B60014">
        <w:rPr>
          <w:rFonts w:ascii="Book Antiqua" w:eastAsia="Book Antiqua" w:hAnsi="Book Antiqua" w:cs="Book Antiqua"/>
          <w:color w:val="000000" w:themeColor="text1"/>
          <w:lang w:val="es-PR"/>
        </w:rPr>
        <w:t xml:space="preserve"> </w:t>
      </w:r>
      <w:r w:rsidR="00CA00BA" w:rsidRPr="00CA00BA">
        <w:rPr>
          <w:rFonts w:ascii="Book Antiqua" w:eastAsia="Book Antiqua" w:hAnsi="Book Antiqua" w:cs="Book Antiqua"/>
          <w:i/>
          <w:iCs/>
          <w:color w:val="000000" w:themeColor="text1"/>
          <w:u w:val="single"/>
          <w:lang w:val="es-PR"/>
        </w:rPr>
        <w:t>distribuyan</w:t>
      </w:r>
      <w:r w:rsidR="00CA00BA" w:rsidRPr="00B60014">
        <w:rPr>
          <w:rFonts w:ascii="Book Antiqua" w:eastAsia="Book Antiqua" w:hAnsi="Book Antiqua" w:cs="Book Antiqua"/>
          <w:color w:val="000000" w:themeColor="text1"/>
          <w:lang w:val="es-PR"/>
        </w:rPr>
        <w:t xml:space="preserve"> </w:t>
      </w:r>
      <w:r w:rsidR="00B60014" w:rsidRPr="00B60014">
        <w:rPr>
          <w:rFonts w:ascii="Book Antiqua" w:eastAsia="Book Antiqua" w:hAnsi="Book Antiqua" w:cs="Book Antiqua"/>
          <w:color w:val="000000" w:themeColor="text1"/>
          <w:lang w:val="es-PR"/>
        </w:rPr>
        <w:t>en consultorios de ginecología y obstetricia en todo Puerto Rico, dirigido a mujeres embarazadas o en edad reproductiva</w:t>
      </w:r>
      <w:r w:rsidR="00B60014">
        <w:rPr>
          <w:rFonts w:ascii="Book Antiqua" w:eastAsia="Book Antiqua" w:hAnsi="Book Antiqua" w:cs="Book Antiqua"/>
          <w:color w:val="000000" w:themeColor="text1"/>
          <w:lang w:val="es-PR"/>
        </w:rPr>
        <w:t xml:space="preserve">; </w:t>
      </w:r>
      <w:r w:rsidR="00291A4F">
        <w:rPr>
          <w:rFonts w:ascii="Book Antiqua" w:eastAsia="Book Antiqua" w:hAnsi="Book Antiqua" w:cs="Book Antiqua"/>
          <w:color w:val="000000" w:themeColor="text1"/>
          <w:lang w:val="es-PR"/>
        </w:rPr>
        <w:t xml:space="preserve">ordenar la facultad de reglamentación; </w:t>
      </w:r>
      <w:r w:rsidR="00B60014">
        <w:rPr>
          <w:rFonts w:ascii="Book Antiqua" w:eastAsia="Book Antiqua" w:hAnsi="Book Antiqua" w:cs="Book Antiqua"/>
          <w:color w:val="000000" w:themeColor="text1"/>
          <w:lang w:val="es-PR"/>
        </w:rPr>
        <w:t xml:space="preserve">establecer </w:t>
      </w:r>
      <w:r w:rsidR="00E45E9B" w:rsidRPr="00E45E9B">
        <w:rPr>
          <w:rFonts w:ascii="Book Antiqua" w:eastAsia="Book Antiqua" w:hAnsi="Book Antiqua" w:cs="Book Antiqua"/>
          <w:color w:val="000000" w:themeColor="text1"/>
          <w:lang w:val="es-PR"/>
        </w:rPr>
        <w:t>sanciones por incumplimiento</w:t>
      </w:r>
      <w:r w:rsidR="0091725F" w:rsidRPr="0091725F">
        <w:rPr>
          <w:rFonts w:ascii="Book Antiqua" w:eastAsia="Book Antiqua" w:hAnsi="Book Antiqua" w:cs="Book Antiqua"/>
          <w:color w:val="000000" w:themeColor="text1"/>
          <w:lang w:val="es-PR"/>
        </w:rPr>
        <w:t>; y para otros fines relacionados</w:t>
      </w:r>
      <w:r w:rsidR="009063F6">
        <w:rPr>
          <w:rFonts w:ascii="Book Antiqua" w:eastAsia="Book Antiqua" w:hAnsi="Book Antiqua" w:cs="Book Antiqua"/>
          <w:color w:val="000000" w:themeColor="text1"/>
          <w:lang w:val="es-PR"/>
        </w:rPr>
        <w:t xml:space="preserve">. </w:t>
      </w:r>
      <w:bookmarkEnd w:id="0"/>
    </w:p>
    <w:p w14:paraId="79550666" w14:textId="77777777" w:rsidR="00FF2214" w:rsidRPr="002F48BA" w:rsidRDefault="00FF2214" w:rsidP="009C5D39">
      <w:pPr>
        <w:jc w:val="both"/>
        <w:rPr>
          <w:rFonts w:ascii="Book Antiqua" w:eastAsia="Book Antiqua" w:hAnsi="Book Antiqua" w:cs="Book Antiqua"/>
          <w:color w:val="000000" w:themeColor="text1"/>
          <w:lang w:val="es-PR"/>
        </w:rPr>
      </w:pPr>
    </w:p>
    <w:p w14:paraId="63AE53B1" w14:textId="740890C2" w:rsidR="00010836" w:rsidRDefault="00850770" w:rsidP="009C5D39">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530F85F3" w14:textId="77777777" w:rsidR="009C5D39" w:rsidRPr="008574AE" w:rsidRDefault="009C5D39" w:rsidP="009C5D39">
      <w:pPr>
        <w:jc w:val="center"/>
        <w:rPr>
          <w:rFonts w:ascii="Book Antiqua" w:eastAsia="Book Antiqua" w:hAnsi="Book Antiqua" w:cs="Book Antiqua"/>
          <w:bCs/>
          <w:color w:val="000000" w:themeColor="text1"/>
          <w:lang w:val="es-PR"/>
        </w:rPr>
      </w:pPr>
    </w:p>
    <w:p w14:paraId="0AFA5432" w14:textId="314EC42D" w:rsidR="00E8449E" w:rsidRPr="00E8449E" w:rsidRDefault="00E8449E" w:rsidP="009C5D39">
      <w:pPr>
        <w:jc w:val="both"/>
        <w:rPr>
          <w:rFonts w:ascii="Book Antiqua" w:eastAsia="Book Antiqua" w:hAnsi="Book Antiqua" w:cs="Book Antiqua"/>
          <w:color w:val="000000" w:themeColor="text1"/>
          <w:lang w:val="es-PR"/>
        </w:rPr>
      </w:pPr>
      <w:bookmarkStart w:id="1" w:name="_Hlk192855220"/>
      <w:r w:rsidRPr="00E8449E">
        <w:rPr>
          <w:rFonts w:ascii="Book Antiqua" w:eastAsia="Book Antiqua" w:hAnsi="Book Antiqua" w:cs="Book Antiqua"/>
          <w:color w:val="000000" w:themeColor="text1"/>
          <w:lang w:val="es-PR"/>
        </w:rPr>
        <w:t>El</w:t>
      </w:r>
      <w:r w:rsidR="00C93262" w:rsidRPr="00C93262">
        <w:rPr>
          <w:rFonts w:ascii="Book Antiqua" w:eastAsia="Book Antiqua" w:hAnsi="Book Antiqua" w:cs="Book Antiqua"/>
          <w:color w:val="000000" w:themeColor="text1"/>
          <w:lang w:val="es-PR"/>
        </w:rPr>
        <w:t xml:space="preserve"> ácido fólico es una vitamina del complejo B </w:t>
      </w:r>
      <w:r w:rsidR="00C8076C" w:rsidRPr="00C8076C">
        <w:rPr>
          <w:rFonts w:ascii="Book Antiqua" w:eastAsia="Book Antiqua" w:hAnsi="Book Antiqua" w:cs="Book Antiqua"/>
          <w:color w:val="000000" w:themeColor="text1"/>
          <w:lang w:val="es-PR"/>
        </w:rPr>
        <w:t>esencial</w:t>
      </w:r>
      <w:r w:rsidR="00C93262" w:rsidRPr="00C93262">
        <w:rPr>
          <w:rFonts w:ascii="Book Antiqua" w:eastAsia="Book Antiqua" w:hAnsi="Book Antiqua" w:cs="Book Antiqua"/>
          <w:color w:val="000000" w:themeColor="text1"/>
          <w:lang w:val="es-PR"/>
        </w:rPr>
        <w:t xml:space="preserve"> para la prevención de defectos congénitos graves en el cerebro y la médula espinal, conocidos como defectos del tubo </w:t>
      </w:r>
      <w:r w:rsidR="00C93262" w:rsidRPr="00C93262">
        <w:rPr>
          <w:rFonts w:ascii="Book Antiqua" w:eastAsia="Book Antiqua" w:hAnsi="Book Antiqua" w:cs="Book Antiqua"/>
          <w:color w:val="000000" w:themeColor="text1"/>
          <w:lang w:val="es-PR"/>
        </w:rPr>
        <w:lastRenderedPageBreak/>
        <w:t xml:space="preserve">neural. Su consumo antes del embarazo y durante las primeras </w:t>
      </w:r>
      <w:r w:rsidR="00D21E5F" w:rsidRPr="00D21E5F">
        <w:rPr>
          <w:rFonts w:ascii="Book Antiqua" w:eastAsia="Book Antiqua" w:hAnsi="Book Antiqua" w:cs="Book Antiqua"/>
          <w:color w:val="000000" w:themeColor="text1"/>
          <w:lang w:val="es-PR"/>
        </w:rPr>
        <w:t>semanas de gestación</w:t>
      </w:r>
      <w:r w:rsidR="00C93262" w:rsidRPr="00C93262">
        <w:rPr>
          <w:rFonts w:ascii="Book Antiqua" w:eastAsia="Book Antiqua" w:hAnsi="Book Antiqua" w:cs="Book Antiqua"/>
          <w:color w:val="000000" w:themeColor="text1"/>
          <w:lang w:val="es-PR"/>
        </w:rPr>
        <w:t xml:space="preserve"> puede marcar la diferencia entre el nacimiento de un bebé sano y la aparición de anomalías como la espina bífida y la anencefalia</w:t>
      </w:r>
      <w:r w:rsidRPr="00E8449E">
        <w:rPr>
          <w:rFonts w:ascii="Book Antiqua" w:eastAsia="Book Antiqua" w:hAnsi="Book Antiqua" w:cs="Book Antiqua"/>
          <w:color w:val="000000" w:themeColor="text1"/>
          <w:lang w:val="es-PR"/>
        </w:rPr>
        <w:t xml:space="preserve">. </w:t>
      </w:r>
    </w:p>
    <w:p w14:paraId="3057E430" w14:textId="4DEA5C8D" w:rsidR="00E8449E" w:rsidRPr="00E8449E" w:rsidRDefault="00890C4D" w:rsidP="009C5D39">
      <w:pPr>
        <w:jc w:val="both"/>
        <w:rPr>
          <w:rFonts w:ascii="Book Antiqua" w:eastAsia="Book Antiqua" w:hAnsi="Book Antiqua" w:cs="Book Antiqua"/>
          <w:color w:val="000000" w:themeColor="text1"/>
          <w:lang w:val="es-PR"/>
        </w:rPr>
      </w:pPr>
      <w:r w:rsidRPr="00890C4D">
        <w:rPr>
          <w:rFonts w:ascii="Book Antiqua" w:eastAsia="Book Antiqua" w:hAnsi="Book Antiqua" w:cs="Book Antiqua"/>
          <w:color w:val="000000" w:themeColor="text1"/>
          <w:lang w:val="es-PR"/>
        </w:rPr>
        <w:t xml:space="preserve">Los defectos del tubo neural son las malformaciones congénitas más comunes del sistema nervioso central. La espina bífida se produce cuando la médula espinal y la columna vertebral no se cierran completamente, mientras que la anencefalia ocurre cuando el cerebro no se desarrolla adecuadamente. Estos defectos se originan en las primeras cuatro semanas del embarazo, a menudo antes de que la mujer sepa que está embarazada. </w:t>
      </w:r>
      <w:r w:rsidR="009833D3">
        <w:rPr>
          <w:rFonts w:ascii="Book Antiqua" w:eastAsia="Book Antiqua" w:hAnsi="Book Antiqua" w:cs="Book Antiqua"/>
          <w:color w:val="000000" w:themeColor="text1"/>
          <w:lang w:val="es-PR"/>
        </w:rPr>
        <w:t>P</w:t>
      </w:r>
      <w:r w:rsidR="009833D3" w:rsidRPr="009833D3">
        <w:rPr>
          <w:rFonts w:ascii="Book Antiqua" w:eastAsia="Book Antiqua" w:hAnsi="Book Antiqua" w:cs="Book Antiqua"/>
          <w:color w:val="000000" w:themeColor="text1"/>
          <w:lang w:val="es-PR"/>
        </w:rPr>
        <w:t>or esta razón, es fundamental que todas las mujeres en edad reproductiva consuman ácido fólico de forma regular, y no solo aquellas que planean concebir. Esta vitamina es esencial para el crecimiento y desarrollo saludable del bebé.</w:t>
      </w:r>
      <w:r w:rsidR="00E8449E" w:rsidRPr="00E8449E">
        <w:rPr>
          <w:rFonts w:ascii="Book Antiqua" w:eastAsia="Book Antiqua" w:hAnsi="Book Antiqua" w:cs="Book Antiqua"/>
          <w:color w:val="000000" w:themeColor="text1"/>
          <w:lang w:val="es-PR"/>
        </w:rPr>
        <w:t xml:space="preserve">  </w:t>
      </w:r>
    </w:p>
    <w:p w14:paraId="36D9C6F7" w14:textId="77777777" w:rsidR="00E8449E" w:rsidRPr="00E8449E" w:rsidRDefault="00E8449E" w:rsidP="009C5D39">
      <w:pPr>
        <w:ind w:firstLine="720"/>
        <w:jc w:val="both"/>
        <w:rPr>
          <w:rFonts w:ascii="Book Antiqua" w:eastAsia="Book Antiqua" w:hAnsi="Book Antiqua" w:cs="Book Antiqua"/>
          <w:color w:val="000000" w:themeColor="text1"/>
          <w:lang w:val="es-PR"/>
        </w:rPr>
      </w:pPr>
    </w:p>
    <w:p w14:paraId="0C25F642" w14:textId="5FF91DA7" w:rsidR="00E8449E" w:rsidRPr="00E8449E" w:rsidRDefault="00890C4D" w:rsidP="009C5D39">
      <w:pPr>
        <w:jc w:val="both"/>
        <w:rPr>
          <w:rFonts w:ascii="Book Antiqua" w:eastAsia="Book Antiqua" w:hAnsi="Book Antiqua" w:cs="Book Antiqua"/>
          <w:color w:val="000000" w:themeColor="text1"/>
          <w:lang w:val="es-PR"/>
        </w:rPr>
      </w:pPr>
      <w:r w:rsidRPr="00890C4D">
        <w:rPr>
          <w:rFonts w:ascii="Book Antiqua" w:eastAsia="Book Antiqua" w:hAnsi="Book Antiqua" w:cs="Book Antiqua"/>
          <w:color w:val="000000" w:themeColor="text1"/>
          <w:lang w:val="es-PR"/>
        </w:rPr>
        <w:t>El riesgo de padecer estos defectos congénitos no distingue nivel socioeconómico ni origen. Sin embargo, su prevención es posible. Se ha demostrado que la ingesta diaria de al menos 400 microgramos (0.4 miligramos) de ácido fólico reduce entre un 50% y un 70% el riesgo de espina bífida. Una vez confirmado el embarazo, la cantidad recomendada debe aumentarse para satisfacer las crecientes necesidades del organismo materno y fetal</w:t>
      </w:r>
      <w:r w:rsidR="00E8449E" w:rsidRPr="00E8449E">
        <w:rPr>
          <w:rFonts w:ascii="Book Antiqua" w:eastAsia="Book Antiqua" w:hAnsi="Book Antiqua" w:cs="Book Antiqua"/>
          <w:color w:val="000000" w:themeColor="text1"/>
          <w:lang w:val="es-PR"/>
        </w:rPr>
        <w:t>.</w:t>
      </w:r>
      <w:r w:rsidR="00731270">
        <w:rPr>
          <w:rFonts w:ascii="Book Antiqua" w:eastAsia="Book Antiqua" w:hAnsi="Book Antiqua" w:cs="Book Antiqua"/>
          <w:color w:val="000000" w:themeColor="text1"/>
          <w:lang w:val="es-PR"/>
        </w:rPr>
        <w:t xml:space="preserve"> </w:t>
      </w:r>
      <w:r w:rsidR="002435A4" w:rsidRPr="002435A4">
        <w:rPr>
          <w:rFonts w:ascii="Book Antiqua" w:eastAsia="Book Antiqua" w:hAnsi="Book Antiqua" w:cs="Book Antiqua"/>
          <w:color w:val="000000" w:themeColor="text1"/>
          <w:lang w:val="es-PR"/>
        </w:rPr>
        <w:t>Además de su papel en la prevención de defectos congénitos, el ácido fólico desempeña funciones esenciales en el embarazo, como favorecer el desarrollo adecuado de la placenta y del feto, así como la producción de ADN, indispensable para la multiplicación celular. Una deficiencia de esta vitamina podría afectar la división celular, comprometiendo el desarrollo del bebé y la placenta</w:t>
      </w:r>
      <w:r w:rsidR="00E8449E" w:rsidRPr="00E8449E">
        <w:rPr>
          <w:rFonts w:ascii="Book Antiqua" w:eastAsia="Book Antiqua" w:hAnsi="Book Antiqua" w:cs="Book Antiqua"/>
          <w:color w:val="000000" w:themeColor="text1"/>
          <w:lang w:val="es-PR"/>
        </w:rPr>
        <w:t>.</w:t>
      </w:r>
    </w:p>
    <w:p w14:paraId="2764F48E" w14:textId="77777777" w:rsidR="00E8449E" w:rsidRPr="00E8449E" w:rsidRDefault="00E8449E" w:rsidP="009C5D39">
      <w:pPr>
        <w:ind w:firstLine="720"/>
        <w:jc w:val="both"/>
        <w:rPr>
          <w:rFonts w:ascii="Book Antiqua" w:eastAsia="Book Antiqua" w:hAnsi="Book Antiqua" w:cs="Book Antiqua"/>
          <w:color w:val="000000" w:themeColor="text1"/>
          <w:lang w:val="es-PR"/>
        </w:rPr>
      </w:pPr>
    </w:p>
    <w:p w14:paraId="543ADDB7" w14:textId="13838D59" w:rsidR="005B3512" w:rsidRDefault="00503C13" w:rsidP="00E255AC">
      <w:pPr>
        <w:jc w:val="both"/>
        <w:rPr>
          <w:rFonts w:ascii="Book Antiqua" w:eastAsia="Book Antiqua" w:hAnsi="Book Antiqua" w:cs="Book Antiqua"/>
          <w:color w:val="000000" w:themeColor="text1"/>
          <w:lang w:val="es-PR"/>
        </w:rPr>
      </w:pPr>
      <w:r w:rsidRPr="00503C13">
        <w:rPr>
          <w:rFonts w:ascii="Book Antiqua" w:eastAsia="Book Antiqua" w:hAnsi="Book Antiqua" w:cs="Book Antiqua"/>
          <w:color w:val="000000" w:themeColor="text1"/>
          <w:lang w:val="es-PR"/>
        </w:rPr>
        <w:t>La</w:t>
      </w:r>
      <w:r w:rsidR="0031323F" w:rsidRPr="0031323F">
        <w:rPr>
          <w:rFonts w:ascii="Book Antiqua" w:eastAsia="Book Antiqua" w:hAnsi="Book Antiqua" w:cs="Book Antiqua"/>
          <w:color w:val="000000" w:themeColor="text1"/>
          <w:lang w:val="es-PR"/>
        </w:rPr>
        <w:t xml:space="preserve"> educación y orientación sobre este tema son fundamentales para la prevención de estos defectos. A través de esta </w:t>
      </w:r>
      <w:r w:rsidR="007252DE">
        <w:rPr>
          <w:rFonts w:ascii="Book Antiqua" w:eastAsia="Book Antiqua" w:hAnsi="Book Antiqua" w:cs="Book Antiqua"/>
          <w:color w:val="000000" w:themeColor="text1"/>
          <w:lang w:val="es-PR"/>
        </w:rPr>
        <w:t>Ley</w:t>
      </w:r>
      <w:r w:rsidR="0031323F" w:rsidRPr="0031323F">
        <w:rPr>
          <w:rFonts w:ascii="Book Antiqua" w:eastAsia="Book Antiqua" w:hAnsi="Book Antiqua" w:cs="Book Antiqua"/>
          <w:color w:val="000000" w:themeColor="text1"/>
          <w:lang w:val="es-PR"/>
        </w:rPr>
        <w:t>, esta Administración reafirma su compromiso con la salud y el desarrollo integral de los niños, promoviendo la información y el consumo de ácido fólico entre todas las mujeres en edad reproductiva, con el objetivo de reducir la incidencia de defectos congénitos como la espina bífida y la anencefalia</w:t>
      </w:r>
      <w:r w:rsidR="00E8449E" w:rsidRPr="00E8449E">
        <w:rPr>
          <w:rFonts w:ascii="Book Antiqua" w:eastAsia="Book Antiqua" w:hAnsi="Book Antiqua" w:cs="Book Antiqua"/>
          <w:color w:val="000000" w:themeColor="text1"/>
          <w:lang w:val="es-PR"/>
        </w:rPr>
        <w:t>.</w:t>
      </w:r>
    </w:p>
    <w:bookmarkEnd w:id="1"/>
    <w:p w14:paraId="428130DF" w14:textId="77777777" w:rsidR="00E8449E" w:rsidRPr="003B17EE" w:rsidRDefault="00E8449E" w:rsidP="00E255AC">
      <w:pPr>
        <w:jc w:val="both"/>
        <w:rPr>
          <w:rFonts w:ascii="Book Antiqua" w:eastAsia="Book Antiqua" w:hAnsi="Book Antiqua" w:cs="Book Antiqua"/>
          <w:color w:val="000000" w:themeColor="text1"/>
          <w:lang w:val="es-PR"/>
        </w:rPr>
      </w:pPr>
    </w:p>
    <w:p w14:paraId="7955066D" w14:textId="77777777" w:rsidR="00FF2214" w:rsidRPr="002F48BA" w:rsidRDefault="00850770" w:rsidP="00E255AC">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3979D7F1" w14:textId="474C18D1" w:rsidR="004D0CDB" w:rsidRPr="004D0CDB" w:rsidRDefault="006B17C2" w:rsidP="006F7FEA">
      <w:pPr>
        <w:pStyle w:val="BodyText"/>
        <w:spacing w:line="480" w:lineRule="auto"/>
        <w:ind w:firstLine="720"/>
        <w:rPr>
          <w:rFonts w:ascii="Book Antiqua" w:hAnsi="Book Antiqua"/>
        </w:rPr>
      </w:pPr>
      <w:bookmarkStart w:id="2" w:name="{20D8}"/>
      <w:bookmarkStart w:id="3" w:name="_Hlk189832381"/>
      <w:bookmarkStart w:id="4" w:name="_Hlk192855252"/>
      <w:r>
        <w:rPr>
          <w:rFonts w:ascii="Book Antiqua" w:hAnsi="Book Antiqua"/>
        </w:rPr>
        <w:t>Artículo</w:t>
      </w:r>
      <w:r w:rsidR="004D0CDB" w:rsidRPr="004D0CDB">
        <w:rPr>
          <w:rFonts w:ascii="Book Antiqua" w:hAnsi="Book Antiqua"/>
        </w:rPr>
        <w:t xml:space="preserve"> </w:t>
      </w:r>
      <w:r w:rsidR="001216F2" w:rsidRPr="0087373E">
        <w:rPr>
          <w:rFonts w:ascii="Book Antiqua" w:eastAsia="Book Antiqua" w:hAnsi="Book Antiqua" w:cs="Book Antiqua"/>
        </w:rPr>
        <w:t>1</w:t>
      </w:r>
      <w:r w:rsidR="00A30925">
        <w:rPr>
          <w:rFonts w:ascii="Book Antiqua" w:eastAsia="Book Antiqua" w:hAnsi="Book Antiqua" w:cs="Book Antiqua"/>
        </w:rPr>
        <w:t>.-</w:t>
      </w:r>
      <w:r>
        <w:rPr>
          <w:rFonts w:ascii="Book Antiqua" w:hAnsi="Book Antiqua"/>
        </w:rPr>
        <w:t>Título.</w:t>
      </w:r>
      <w:r w:rsidR="004D0CDB" w:rsidRPr="004D0CDB">
        <w:rPr>
          <w:rFonts w:ascii="Book Antiqua" w:hAnsi="Book Antiqua"/>
        </w:rPr>
        <w:t xml:space="preserve"> </w:t>
      </w:r>
    </w:p>
    <w:bookmarkEnd w:id="2"/>
    <w:bookmarkEnd w:id="3"/>
    <w:p w14:paraId="7F277C34" w14:textId="3005DAE5" w:rsidR="00A3392B" w:rsidRPr="00A3392B" w:rsidRDefault="004B357F" w:rsidP="00A3392B">
      <w:pPr>
        <w:pStyle w:val="BodyText"/>
        <w:spacing w:line="480" w:lineRule="auto"/>
        <w:ind w:firstLine="720"/>
        <w:rPr>
          <w:rFonts w:ascii="Book Antiqua" w:hAnsi="Book Antiqua"/>
        </w:rPr>
      </w:pPr>
      <w:r w:rsidRPr="004B357F">
        <w:rPr>
          <w:rFonts w:ascii="Book Antiqua" w:hAnsi="Book Antiqua"/>
        </w:rPr>
        <w:t xml:space="preserve">Esta Ley se conocerá y podrá ser citada como </w:t>
      </w:r>
      <w:r w:rsidR="00391B13" w:rsidRPr="00391B13">
        <w:rPr>
          <w:rFonts w:ascii="Book Antiqua" w:hAnsi="Book Antiqua"/>
        </w:rPr>
        <w:t>“Ley para la Orientación sobre los Beneficios del Ácido Fólico”</w:t>
      </w:r>
      <w:r w:rsidR="00A3392B" w:rsidRPr="00A3392B">
        <w:rPr>
          <w:rFonts w:ascii="Book Antiqua" w:hAnsi="Book Antiqua"/>
        </w:rPr>
        <w:t>.</w:t>
      </w:r>
    </w:p>
    <w:p w14:paraId="28D4E03C" w14:textId="4B21F64C" w:rsidR="00A3392B" w:rsidRPr="00A3392B" w:rsidRDefault="00B24BAA" w:rsidP="00A3392B">
      <w:pPr>
        <w:pStyle w:val="BodyText"/>
        <w:spacing w:line="480" w:lineRule="auto"/>
        <w:ind w:firstLine="720"/>
        <w:rPr>
          <w:rFonts w:ascii="Book Antiqua" w:hAnsi="Book Antiqua"/>
        </w:rPr>
      </w:pPr>
      <w:r>
        <w:rPr>
          <w:rFonts w:ascii="Book Antiqua" w:hAnsi="Book Antiqua"/>
        </w:rPr>
        <w:t>Artículo</w:t>
      </w:r>
      <w:r w:rsidRPr="004D0CDB">
        <w:rPr>
          <w:rFonts w:ascii="Book Antiqua" w:hAnsi="Book Antiqua"/>
        </w:rPr>
        <w:t xml:space="preserve"> </w:t>
      </w:r>
      <w:r w:rsidR="00A30925">
        <w:rPr>
          <w:rFonts w:ascii="Book Antiqua" w:eastAsia="Book Antiqua" w:hAnsi="Book Antiqua" w:cs="Book Antiqua"/>
        </w:rPr>
        <w:t>2.-</w:t>
      </w:r>
      <w:r w:rsidR="00A3392B" w:rsidRPr="00A3392B">
        <w:rPr>
          <w:rFonts w:ascii="Book Antiqua" w:hAnsi="Book Antiqua"/>
        </w:rPr>
        <w:t>Definiciones</w:t>
      </w:r>
      <w:r>
        <w:rPr>
          <w:rFonts w:ascii="Book Antiqua" w:hAnsi="Book Antiqua"/>
        </w:rPr>
        <w:t>.</w:t>
      </w:r>
    </w:p>
    <w:p w14:paraId="09AB35B1" w14:textId="666FCB61" w:rsidR="00A3392B" w:rsidRPr="00A3392B" w:rsidRDefault="00A3392B" w:rsidP="00A3392B">
      <w:pPr>
        <w:pStyle w:val="BodyText"/>
        <w:spacing w:line="480" w:lineRule="auto"/>
        <w:ind w:firstLine="720"/>
        <w:rPr>
          <w:rFonts w:ascii="Book Antiqua" w:hAnsi="Book Antiqua"/>
        </w:rPr>
      </w:pPr>
      <w:r w:rsidRPr="00A3392B">
        <w:rPr>
          <w:rFonts w:ascii="Book Antiqua" w:hAnsi="Book Antiqua"/>
        </w:rPr>
        <w:t>Para propósitos de esta Ley, las siguientes palabras y frases tendrán el significado que se señala a continuación:</w:t>
      </w:r>
    </w:p>
    <w:p w14:paraId="5949F7D9" w14:textId="4A712883" w:rsidR="005640D7" w:rsidRDefault="00A3392B" w:rsidP="005640D7">
      <w:pPr>
        <w:pStyle w:val="BodyText"/>
        <w:numPr>
          <w:ilvl w:val="0"/>
          <w:numId w:val="10"/>
        </w:numPr>
        <w:spacing w:line="480" w:lineRule="auto"/>
        <w:rPr>
          <w:rFonts w:ascii="Book Antiqua" w:hAnsi="Book Antiqua"/>
        </w:rPr>
      </w:pPr>
      <w:r w:rsidRPr="00A3392B">
        <w:rPr>
          <w:rFonts w:ascii="Book Antiqua" w:hAnsi="Book Antiqua"/>
        </w:rPr>
        <w:lastRenderedPageBreak/>
        <w:t xml:space="preserve">“Ginecólogos </w:t>
      </w:r>
      <w:r w:rsidR="0034626A">
        <w:rPr>
          <w:rFonts w:ascii="Book Antiqua" w:hAnsi="Book Antiqua"/>
        </w:rPr>
        <w:t>y</w:t>
      </w:r>
      <w:r w:rsidRPr="00A3392B">
        <w:rPr>
          <w:rFonts w:ascii="Book Antiqua" w:hAnsi="Book Antiqua"/>
        </w:rPr>
        <w:t xml:space="preserve"> obstetras”: significa </w:t>
      </w:r>
      <w:r w:rsidR="00CC3852" w:rsidRPr="00CC3852">
        <w:rPr>
          <w:rFonts w:ascii="Book Antiqua" w:hAnsi="Book Antiqua"/>
        </w:rPr>
        <w:t>todo profesional de la medicina debidamente autorizado por la legislación y reglamentación aplicable para ejercer la ginecología o la obstetricia en Puerto Rico</w:t>
      </w:r>
      <w:r w:rsidRPr="00A3392B">
        <w:rPr>
          <w:rFonts w:ascii="Book Antiqua" w:hAnsi="Book Antiqua"/>
        </w:rPr>
        <w:t>.</w:t>
      </w:r>
    </w:p>
    <w:p w14:paraId="6577ACFB" w14:textId="7C66D182" w:rsidR="007167E7" w:rsidRDefault="00A3392B" w:rsidP="007167E7">
      <w:pPr>
        <w:pStyle w:val="BodyText"/>
        <w:numPr>
          <w:ilvl w:val="0"/>
          <w:numId w:val="10"/>
        </w:numPr>
        <w:spacing w:line="480" w:lineRule="auto"/>
        <w:rPr>
          <w:rFonts w:ascii="Book Antiqua" w:hAnsi="Book Antiqua"/>
        </w:rPr>
      </w:pPr>
      <w:r w:rsidRPr="005640D7">
        <w:rPr>
          <w:rFonts w:ascii="Book Antiqua" w:hAnsi="Book Antiqua"/>
        </w:rPr>
        <w:t xml:space="preserve">“Material </w:t>
      </w:r>
      <w:r w:rsidR="00A23051">
        <w:rPr>
          <w:rFonts w:ascii="Book Antiqua" w:hAnsi="Book Antiqua"/>
        </w:rPr>
        <w:t>i</w:t>
      </w:r>
      <w:r w:rsidRPr="005640D7">
        <w:rPr>
          <w:rFonts w:ascii="Book Antiqua" w:hAnsi="Book Antiqua"/>
        </w:rPr>
        <w:t xml:space="preserve">nformativo”: significa cualquier </w:t>
      </w:r>
      <w:r w:rsidR="00FB470E" w:rsidRPr="00FB470E">
        <w:rPr>
          <w:rFonts w:ascii="Book Antiqua" w:hAnsi="Book Antiqua"/>
        </w:rPr>
        <w:t>folleto, panfleto, video, hoja suelta</w:t>
      </w:r>
      <w:r w:rsidR="00CA00BA">
        <w:rPr>
          <w:rFonts w:ascii="Book Antiqua" w:hAnsi="Book Antiqua"/>
        </w:rPr>
        <w:t xml:space="preserve"> </w:t>
      </w:r>
      <w:r w:rsidR="00CA00BA">
        <w:rPr>
          <w:rFonts w:ascii="Book Antiqua" w:hAnsi="Book Antiqua"/>
          <w:i/>
          <w:iCs/>
          <w:u w:val="single"/>
        </w:rPr>
        <w:t xml:space="preserve">enlace digital código de respuesta rápida (QR </w:t>
      </w:r>
      <w:proofErr w:type="spellStart"/>
      <w:r w:rsidR="00CA00BA">
        <w:rPr>
          <w:rFonts w:ascii="Book Antiqua" w:hAnsi="Book Antiqua"/>
          <w:i/>
          <w:iCs/>
          <w:u w:val="single"/>
        </w:rPr>
        <w:t>Code</w:t>
      </w:r>
      <w:proofErr w:type="spellEnd"/>
      <w:r w:rsidR="00CA00BA">
        <w:rPr>
          <w:rFonts w:ascii="Book Antiqua" w:hAnsi="Book Antiqua"/>
          <w:i/>
          <w:iCs/>
          <w:u w:val="single"/>
        </w:rPr>
        <w:t>)</w:t>
      </w:r>
      <w:r w:rsidR="00FB470E" w:rsidRPr="00FB470E">
        <w:rPr>
          <w:rFonts w:ascii="Book Antiqua" w:hAnsi="Book Antiqua"/>
        </w:rPr>
        <w:t xml:space="preserve"> u otro recurso que detalle los beneficios comprobados del consumo de ácido fólico</w:t>
      </w:r>
      <w:r w:rsidRPr="005640D7">
        <w:rPr>
          <w:rFonts w:ascii="Book Antiqua" w:hAnsi="Book Antiqua"/>
        </w:rPr>
        <w:t>.</w:t>
      </w:r>
    </w:p>
    <w:p w14:paraId="73958482" w14:textId="48CCE171" w:rsidR="00A3392B" w:rsidRPr="007167E7" w:rsidRDefault="00A3392B" w:rsidP="007167E7">
      <w:pPr>
        <w:pStyle w:val="BodyText"/>
        <w:numPr>
          <w:ilvl w:val="0"/>
          <w:numId w:val="10"/>
        </w:numPr>
        <w:spacing w:line="480" w:lineRule="auto"/>
        <w:rPr>
          <w:rFonts w:ascii="Book Antiqua" w:hAnsi="Book Antiqua"/>
        </w:rPr>
      </w:pPr>
      <w:r w:rsidRPr="007167E7">
        <w:rPr>
          <w:rFonts w:ascii="Book Antiqua" w:hAnsi="Book Antiqua"/>
        </w:rPr>
        <w:t xml:space="preserve"> “Medio de comunicación”: significa todo mecanismo que pueda ser utilizado </w:t>
      </w:r>
      <w:r w:rsidR="007E368D" w:rsidRPr="007E368D">
        <w:rPr>
          <w:rFonts w:ascii="Book Antiqua" w:hAnsi="Book Antiqua"/>
        </w:rPr>
        <w:t>para la difusión de información, incluyendo, pero sin limitarse a, radio, televisión, videograbaciones, periódicos de publicación diaria, semanal o mensual, revistas, folletos</w:t>
      </w:r>
      <w:r w:rsidR="00CA00BA">
        <w:rPr>
          <w:rFonts w:ascii="Book Antiqua" w:hAnsi="Book Antiqua"/>
          <w:i/>
          <w:iCs/>
          <w:u w:val="single"/>
        </w:rPr>
        <w:t>,</w:t>
      </w:r>
      <w:r w:rsidR="007E368D" w:rsidRPr="007E368D">
        <w:rPr>
          <w:rFonts w:ascii="Book Antiqua" w:hAnsi="Book Antiqua"/>
        </w:rPr>
        <w:t xml:space="preserve"> </w:t>
      </w:r>
      <w:r w:rsidR="007E368D" w:rsidRPr="00CA00BA">
        <w:rPr>
          <w:rFonts w:ascii="Book Antiqua" w:hAnsi="Book Antiqua"/>
          <w:strike/>
        </w:rPr>
        <w:t>y</w:t>
      </w:r>
      <w:r w:rsidR="007E368D" w:rsidRPr="007E368D">
        <w:rPr>
          <w:rFonts w:ascii="Book Antiqua" w:hAnsi="Book Antiqua"/>
        </w:rPr>
        <w:t xml:space="preserve"> carteles</w:t>
      </w:r>
      <w:r w:rsidRPr="007167E7">
        <w:rPr>
          <w:rFonts w:ascii="Book Antiqua" w:hAnsi="Book Antiqua"/>
        </w:rPr>
        <w:t>,</w:t>
      </w:r>
      <w:r w:rsidR="00CA00BA">
        <w:rPr>
          <w:rFonts w:ascii="Book Antiqua" w:hAnsi="Book Antiqua"/>
        </w:rPr>
        <w:t xml:space="preserve"> </w:t>
      </w:r>
      <w:r w:rsidR="00CA00BA">
        <w:rPr>
          <w:rFonts w:ascii="Book Antiqua" w:hAnsi="Book Antiqua"/>
          <w:i/>
          <w:iCs/>
          <w:u w:val="single"/>
        </w:rPr>
        <w:t xml:space="preserve">redes sociales, páginas “web” </w:t>
      </w:r>
      <w:r w:rsidR="00CA00BA" w:rsidRPr="00CA00BA">
        <w:rPr>
          <w:rFonts w:ascii="Book Antiqua" w:hAnsi="Book Antiqua"/>
          <w:i/>
          <w:iCs/>
          <w:u w:val="single"/>
        </w:rPr>
        <w:t>gubernamentales</w:t>
      </w:r>
      <w:r w:rsidR="00CA00BA" w:rsidRPr="00CA00BA">
        <w:rPr>
          <w:rFonts w:ascii="Book Antiqua" w:eastAsia="Calibri" w:hAnsi="Book Antiqua"/>
          <w:i/>
          <w:iCs/>
          <w:color w:val="000000"/>
          <w:u w:val="single"/>
        </w:rPr>
        <w:t xml:space="preserve"> y plataformas comunitarias</w:t>
      </w:r>
      <w:r w:rsidR="00CA00BA">
        <w:rPr>
          <w:rFonts w:ascii="Book Antiqua" w:hAnsi="Book Antiqua"/>
        </w:rPr>
        <w:t>,</w:t>
      </w:r>
      <w:r w:rsidRPr="007167E7">
        <w:rPr>
          <w:rFonts w:ascii="Book Antiqua" w:hAnsi="Book Antiqua"/>
        </w:rPr>
        <w:t xml:space="preserve"> entre otros.  </w:t>
      </w:r>
    </w:p>
    <w:p w14:paraId="4A09702E" w14:textId="2CC142CB" w:rsidR="00A3392B" w:rsidRPr="00A3392B" w:rsidRDefault="00B24BAA" w:rsidP="00B24BAA">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Pr>
          <w:rFonts w:ascii="Book Antiqua" w:eastAsia="Book Antiqua" w:hAnsi="Book Antiqua" w:cs="Book Antiqua"/>
        </w:rPr>
        <w:t>3</w:t>
      </w:r>
      <w:r w:rsidR="002304C5">
        <w:rPr>
          <w:rFonts w:ascii="Book Antiqua" w:eastAsia="Book Antiqua" w:hAnsi="Book Antiqua" w:cs="Book Antiqua"/>
        </w:rPr>
        <w:t>.-</w:t>
      </w:r>
      <w:r w:rsidR="004E04A9" w:rsidRPr="004E04A9">
        <w:rPr>
          <w:rFonts w:ascii="Book Antiqua" w:hAnsi="Book Antiqua"/>
        </w:rPr>
        <w:t xml:space="preserve">Implementación y </w:t>
      </w:r>
      <w:r w:rsidR="004E04A9">
        <w:rPr>
          <w:rFonts w:ascii="Book Antiqua" w:hAnsi="Book Antiqua"/>
        </w:rPr>
        <w:t>c</w:t>
      </w:r>
      <w:r w:rsidR="004E04A9" w:rsidRPr="004E04A9">
        <w:rPr>
          <w:rFonts w:ascii="Book Antiqua" w:hAnsi="Book Antiqua"/>
        </w:rPr>
        <w:t>umplimiento</w:t>
      </w:r>
      <w:r>
        <w:rPr>
          <w:rFonts w:ascii="Book Antiqua" w:hAnsi="Book Antiqua"/>
        </w:rPr>
        <w:t>.</w:t>
      </w:r>
    </w:p>
    <w:p w14:paraId="4A31A925" w14:textId="3725AAEA" w:rsidR="00C05E49" w:rsidRDefault="005D3EB3" w:rsidP="00C05E49">
      <w:pPr>
        <w:pStyle w:val="BodyText"/>
        <w:numPr>
          <w:ilvl w:val="0"/>
          <w:numId w:val="11"/>
        </w:numPr>
        <w:spacing w:line="480" w:lineRule="auto"/>
        <w:rPr>
          <w:rFonts w:ascii="Book Antiqua" w:hAnsi="Book Antiqua"/>
        </w:rPr>
      </w:pPr>
      <w:r w:rsidRPr="005D3EB3">
        <w:rPr>
          <w:rFonts w:ascii="Book Antiqua" w:hAnsi="Book Antiqua"/>
        </w:rPr>
        <w:t>El Departamento de Salud</w:t>
      </w:r>
      <w:r w:rsidR="00CA00BA">
        <w:rPr>
          <w:rFonts w:ascii="Book Antiqua" w:hAnsi="Book Antiqua"/>
        </w:rPr>
        <w:t xml:space="preserve"> </w:t>
      </w:r>
      <w:r w:rsidR="00CA00BA">
        <w:rPr>
          <w:rFonts w:ascii="Book Antiqua" w:hAnsi="Book Antiqua"/>
          <w:i/>
          <w:iCs/>
          <w:u w:val="single"/>
        </w:rPr>
        <w:t xml:space="preserve">y </w:t>
      </w:r>
      <w:r w:rsidR="00CA00BA">
        <w:rPr>
          <w:rFonts w:ascii="Book Antiqua" w:eastAsia="Book Antiqua" w:hAnsi="Book Antiqua" w:cs="Book Antiqua"/>
          <w:i/>
          <w:iCs/>
          <w:color w:val="000000" w:themeColor="text1"/>
          <w:u w:val="single"/>
        </w:rPr>
        <w:t>la Oficina de la Procuradora de las Mujeres,</w:t>
      </w:r>
      <w:r w:rsidRPr="005D3EB3">
        <w:rPr>
          <w:rFonts w:ascii="Book Antiqua" w:hAnsi="Book Antiqua"/>
        </w:rPr>
        <w:t xml:space="preserve"> </w:t>
      </w:r>
      <w:r w:rsidRPr="00CA00BA">
        <w:rPr>
          <w:rFonts w:ascii="Book Antiqua" w:hAnsi="Book Antiqua"/>
          <w:strike/>
        </w:rPr>
        <w:t>llevará</w:t>
      </w:r>
      <w:r w:rsidRPr="005D3EB3">
        <w:rPr>
          <w:rFonts w:ascii="Book Antiqua" w:hAnsi="Book Antiqua"/>
        </w:rPr>
        <w:t xml:space="preserve"> </w:t>
      </w:r>
      <w:r w:rsidR="00CA00BA" w:rsidRPr="00CA00BA">
        <w:rPr>
          <w:rFonts w:ascii="Book Antiqua" w:hAnsi="Book Antiqua"/>
          <w:i/>
          <w:iCs/>
          <w:u w:val="single"/>
        </w:rPr>
        <w:t>llevarán</w:t>
      </w:r>
      <w:r w:rsidR="00CA00BA" w:rsidRPr="005D3EB3">
        <w:rPr>
          <w:rFonts w:ascii="Book Antiqua" w:hAnsi="Book Antiqua"/>
        </w:rPr>
        <w:t xml:space="preserve"> </w:t>
      </w:r>
      <w:r w:rsidRPr="005D3EB3">
        <w:rPr>
          <w:rFonts w:ascii="Book Antiqua" w:hAnsi="Book Antiqua"/>
        </w:rPr>
        <w:t xml:space="preserve">a cabo, de manera anual, una campaña informativa a través de los medios de comunicación </w:t>
      </w:r>
      <w:r w:rsidR="00514CDE">
        <w:rPr>
          <w:rFonts w:ascii="Book Antiqua" w:hAnsi="Book Antiqua"/>
        </w:rPr>
        <w:t>de Puerto Rico</w:t>
      </w:r>
      <w:r w:rsidRPr="005D3EB3">
        <w:rPr>
          <w:rFonts w:ascii="Book Antiqua" w:hAnsi="Book Antiqua"/>
        </w:rPr>
        <w:t xml:space="preserve"> para orientar y educar a las mujeres sobre la importancia del consumo de ácido fólico</w:t>
      </w:r>
      <w:r w:rsidR="00A3392B" w:rsidRPr="00A3392B">
        <w:rPr>
          <w:rFonts w:ascii="Book Antiqua" w:hAnsi="Book Antiqua"/>
        </w:rPr>
        <w:t>.</w:t>
      </w:r>
    </w:p>
    <w:p w14:paraId="298BE60A" w14:textId="56FD91C2" w:rsidR="00C05E49" w:rsidRDefault="008863D7" w:rsidP="00C05E49">
      <w:pPr>
        <w:pStyle w:val="BodyText"/>
        <w:numPr>
          <w:ilvl w:val="0"/>
          <w:numId w:val="11"/>
        </w:numPr>
        <w:spacing w:line="480" w:lineRule="auto"/>
        <w:rPr>
          <w:rFonts w:ascii="Book Antiqua" w:hAnsi="Book Antiqua"/>
        </w:rPr>
      </w:pPr>
      <w:r w:rsidRPr="008863D7">
        <w:rPr>
          <w:rFonts w:ascii="Book Antiqua" w:hAnsi="Book Antiqua"/>
        </w:rPr>
        <w:t>Toda oficina de ginecología u obstetricia que brinde atención a mujeres embarazadas o en edad reproductiva deberá proporcionar, de manera gratuita, el material informativo suministrado por el Departamento de Salud</w:t>
      </w:r>
      <w:r w:rsidR="00CA00BA">
        <w:rPr>
          <w:rFonts w:ascii="Book Antiqua" w:hAnsi="Book Antiqua"/>
        </w:rPr>
        <w:t xml:space="preserve"> </w:t>
      </w:r>
      <w:r w:rsidR="00CA00BA">
        <w:rPr>
          <w:rFonts w:ascii="Book Antiqua" w:hAnsi="Book Antiqua"/>
          <w:i/>
          <w:iCs/>
          <w:u w:val="single"/>
        </w:rPr>
        <w:t xml:space="preserve">y </w:t>
      </w:r>
      <w:r w:rsidR="00CA00BA">
        <w:rPr>
          <w:rFonts w:ascii="Book Antiqua" w:eastAsia="Book Antiqua" w:hAnsi="Book Antiqua" w:cs="Book Antiqua"/>
          <w:i/>
          <w:iCs/>
          <w:color w:val="000000" w:themeColor="text1"/>
          <w:u w:val="single"/>
        </w:rPr>
        <w:t>la Oficina de la Procuradora de las Mujeres</w:t>
      </w:r>
      <w:r w:rsidRPr="008863D7">
        <w:rPr>
          <w:rFonts w:ascii="Book Antiqua" w:hAnsi="Book Antiqua"/>
        </w:rPr>
        <w:t xml:space="preserve">. Dicho material destacará los beneficios del consumo diario de ácido fólico para el desarrollo del infante y la prevención de </w:t>
      </w:r>
      <w:r w:rsidRPr="008863D7">
        <w:rPr>
          <w:rFonts w:ascii="Book Antiqua" w:hAnsi="Book Antiqua"/>
        </w:rPr>
        <w:lastRenderedPageBreak/>
        <w:t>enfermedades congénitas. Además, cada institución obligada por esta Ley deberá mantener un registro en el que la receptora del material informativo confirme, mediante su firma, haberlo recibido</w:t>
      </w:r>
      <w:r w:rsidR="00A3392B" w:rsidRPr="00C05E49">
        <w:rPr>
          <w:rFonts w:ascii="Book Antiqua" w:hAnsi="Book Antiqua"/>
        </w:rPr>
        <w:t>.</w:t>
      </w:r>
    </w:p>
    <w:p w14:paraId="6A7053B0" w14:textId="18A82786" w:rsidR="00C05E49" w:rsidRDefault="00A3392B" w:rsidP="00C05E49">
      <w:pPr>
        <w:pStyle w:val="BodyText"/>
        <w:numPr>
          <w:ilvl w:val="0"/>
          <w:numId w:val="11"/>
        </w:numPr>
        <w:spacing w:line="480" w:lineRule="auto"/>
        <w:rPr>
          <w:rFonts w:ascii="Book Antiqua" w:hAnsi="Book Antiqua"/>
        </w:rPr>
      </w:pPr>
      <w:r w:rsidRPr="00C05E49">
        <w:rPr>
          <w:rFonts w:ascii="Book Antiqua" w:hAnsi="Book Antiqua"/>
        </w:rPr>
        <w:t>El Departamento de Salud</w:t>
      </w:r>
      <w:r w:rsidR="00CA00BA">
        <w:rPr>
          <w:rFonts w:ascii="Book Antiqua" w:hAnsi="Book Antiqua"/>
        </w:rPr>
        <w:t xml:space="preserve"> </w:t>
      </w:r>
      <w:r w:rsidR="00CA00BA">
        <w:rPr>
          <w:rFonts w:ascii="Book Antiqua" w:hAnsi="Book Antiqua"/>
          <w:i/>
          <w:iCs/>
          <w:u w:val="single"/>
        </w:rPr>
        <w:t xml:space="preserve">con la colaboración de </w:t>
      </w:r>
      <w:r w:rsidR="00CA00BA">
        <w:rPr>
          <w:rFonts w:ascii="Book Antiqua" w:eastAsia="Book Antiqua" w:hAnsi="Book Antiqua" w:cs="Book Antiqua"/>
          <w:i/>
          <w:iCs/>
          <w:color w:val="000000" w:themeColor="text1"/>
          <w:u w:val="single"/>
        </w:rPr>
        <w:t>la Oficina de la Procuradora de las Mujeres</w:t>
      </w:r>
      <w:r w:rsidRPr="00C05E49">
        <w:rPr>
          <w:rFonts w:ascii="Book Antiqua" w:hAnsi="Book Antiqua"/>
        </w:rPr>
        <w:t xml:space="preserve">, dentro del término de noventa (90) días a partir de la vigencia de esta Ley, </w:t>
      </w:r>
      <w:r w:rsidRPr="00CA00BA">
        <w:rPr>
          <w:rFonts w:ascii="Book Antiqua" w:hAnsi="Book Antiqua"/>
          <w:strike/>
        </w:rPr>
        <w:t>preparará</w:t>
      </w:r>
      <w:r w:rsidRPr="00C05E49">
        <w:rPr>
          <w:rFonts w:ascii="Book Antiqua" w:hAnsi="Book Antiqua"/>
        </w:rPr>
        <w:t xml:space="preserve"> </w:t>
      </w:r>
      <w:r w:rsidR="00CA00BA">
        <w:rPr>
          <w:rFonts w:ascii="Book Antiqua" w:hAnsi="Book Antiqua"/>
          <w:i/>
          <w:iCs/>
          <w:u w:val="single"/>
        </w:rPr>
        <w:t>prepararán</w:t>
      </w:r>
      <w:r w:rsidR="00CA00BA">
        <w:rPr>
          <w:rFonts w:ascii="Book Antiqua" w:hAnsi="Book Antiqua"/>
        </w:rPr>
        <w:t xml:space="preserve"> </w:t>
      </w:r>
      <w:r w:rsidRPr="00C05E49">
        <w:rPr>
          <w:rFonts w:ascii="Book Antiqua" w:hAnsi="Book Antiqua"/>
        </w:rPr>
        <w:t xml:space="preserve">y </w:t>
      </w:r>
      <w:r w:rsidRPr="00CA00BA">
        <w:rPr>
          <w:rFonts w:ascii="Book Antiqua" w:hAnsi="Book Antiqua"/>
          <w:strike/>
        </w:rPr>
        <w:t>pondrá</w:t>
      </w:r>
      <w:r w:rsidRPr="00C05E49">
        <w:rPr>
          <w:rFonts w:ascii="Book Antiqua" w:hAnsi="Book Antiqua"/>
        </w:rPr>
        <w:t xml:space="preserve"> </w:t>
      </w:r>
      <w:r w:rsidR="00CA00BA" w:rsidRPr="00CA00BA">
        <w:rPr>
          <w:rFonts w:ascii="Book Antiqua" w:hAnsi="Book Antiqua"/>
          <w:i/>
          <w:iCs/>
          <w:u w:val="single"/>
        </w:rPr>
        <w:t>pondrán</w:t>
      </w:r>
      <w:r w:rsidR="00CA00BA" w:rsidRPr="00C05E49">
        <w:rPr>
          <w:rFonts w:ascii="Book Antiqua" w:hAnsi="Book Antiqua"/>
        </w:rPr>
        <w:t xml:space="preserve"> </w:t>
      </w:r>
      <w:r w:rsidRPr="00C05E49">
        <w:rPr>
          <w:rFonts w:ascii="Book Antiqua" w:hAnsi="Book Antiqua"/>
        </w:rPr>
        <w:t xml:space="preserve">a disposición de las oficinas de ginecólogos </w:t>
      </w:r>
      <w:r w:rsidR="00D00EE1">
        <w:rPr>
          <w:rFonts w:ascii="Book Antiqua" w:hAnsi="Book Antiqua"/>
        </w:rPr>
        <w:t>y</w:t>
      </w:r>
      <w:r w:rsidRPr="00C05E49">
        <w:rPr>
          <w:rFonts w:ascii="Book Antiqua" w:hAnsi="Book Antiqua"/>
        </w:rPr>
        <w:t xml:space="preserve"> obstetras material informativo que ilustre cabalmente los beneficios ácido fólico. </w:t>
      </w:r>
      <w:r w:rsidR="00E90225" w:rsidRPr="00E90225">
        <w:rPr>
          <w:rFonts w:ascii="Book Antiqua" w:hAnsi="Book Antiqua"/>
        </w:rPr>
        <w:t>Dicho material deberá estar disponible en todas las oficinas regionales del Departamento de Salud</w:t>
      </w:r>
      <w:r w:rsidR="00CA00BA">
        <w:rPr>
          <w:rFonts w:ascii="Book Antiqua" w:hAnsi="Book Antiqua"/>
        </w:rPr>
        <w:t xml:space="preserve"> </w:t>
      </w:r>
      <w:r w:rsidR="00CA00BA">
        <w:rPr>
          <w:rFonts w:ascii="Book Antiqua" w:hAnsi="Book Antiqua"/>
          <w:i/>
          <w:iCs/>
          <w:u w:val="single"/>
        </w:rPr>
        <w:t xml:space="preserve">y </w:t>
      </w:r>
      <w:r w:rsidR="00CA00BA">
        <w:rPr>
          <w:rFonts w:ascii="Book Antiqua" w:eastAsia="Book Antiqua" w:hAnsi="Book Antiqua" w:cs="Book Antiqua"/>
          <w:i/>
          <w:iCs/>
          <w:color w:val="000000" w:themeColor="text1"/>
          <w:u w:val="single"/>
        </w:rPr>
        <w:t>la Oficina de la Procuradora de las Mujeres</w:t>
      </w:r>
      <w:r w:rsidR="00E90225" w:rsidRPr="00E90225">
        <w:rPr>
          <w:rFonts w:ascii="Book Antiqua" w:hAnsi="Book Antiqua"/>
        </w:rPr>
        <w:t>. Será responsabilidad de los representantes de las entidades obligadas por esta Ley recoger el material informativo en las oficinas regionales del Departamento de Salud</w:t>
      </w:r>
      <w:r w:rsidRPr="00C05E49">
        <w:rPr>
          <w:rFonts w:ascii="Book Antiqua" w:hAnsi="Book Antiqua"/>
        </w:rPr>
        <w:t>.</w:t>
      </w:r>
    </w:p>
    <w:p w14:paraId="18324366" w14:textId="32A6B5EB" w:rsidR="00A3392B" w:rsidRPr="00C05E49" w:rsidRDefault="00A3392B" w:rsidP="00C05E49">
      <w:pPr>
        <w:pStyle w:val="BodyText"/>
        <w:numPr>
          <w:ilvl w:val="0"/>
          <w:numId w:val="11"/>
        </w:numPr>
        <w:spacing w:line="480" w:lineRule="auto"/>
        <w:rPr>
          <w:rFonts w:ascii="Book Antiqua" w:hAnsi="Book Antiqua"/>
        </w:rPr>
      </w:pPr>
      <w:r w:rsidRPr="00C05E49">
        <w:rPr>
          <w:rFonts w:ascii="Book Antiqua" w:hAnsi="Book Antiqua"/>
        </w:rPr>
        <w:t xml:space="preserve">Las oficinas de ginecólogos </w:t>
      </w:r>
      <w:r w:rsidR="00C05E49">
        <w:rPr>
          <w:rFonts w:ascii="Book Antiqua" w:hAnsi="Book Antiqua"/>
        </w:rPr>
        <w:t>y</w:t>
      </w:r>
      <w:r w:rsidRPr="00C05E49">
        <w:rPr>
          <w:rFonts w:ascii="Book Antiqua" w:hAnsi="Book Antiqua"/>
        </w:rPr>
        <w:t xml:space="preserve"> obstetras deberán comenzar a distribuir el material informativo dentro de los ciento veinte (120) días siguientes a la aprobación de esta Ley.  </w:t>
      </w:r>
      <w:r w:rsidR="00556C43" w:rsidRPr="00556C43">
        <w:rPr>
          <w:rFonts w:ascii="Book Antiqua" w:hAnsi="Book Antiqua"/>
        </w:rPr>
        <w:t>Asimismo, deberán implementar y mantener el registro mencionado en el inciso (b) de este artículo</w:t>
      </w:r>
      <w:r w:rsidRPr="00C05E49">
        <w:rPr>
          <w:rFonts w:ascii="Book Antiqua" w:hAnsi="Book Antiqua"/>
        </w:rPr>
        <w:t>.</w:t>
      </w:r>
    </w:p>
    <w:p w14:paraId="1BF4B653" w14:textId="59B2F942" w:rsidR="002C1726" w:rsidRDefault="002C1726" w:rsidP="00251AFB">
      <w:pPr>
        <w:pStyle w:val="BodyText"/>
        <w:spacing w:line="480" w:lineRule="auto"/>
        <w:ind w:firstLine="360"/>
        <w:rPr>
          <w:rFonts w:ascii="Book Antiqua" w:hAnsi="Book Antiqua"/>
        </w:rPr>
      </w:pPr>
      <w:r>
        <w:rPr>
          <w:rFonts w:ascii="Book Antiqua" w:hAnsi="Book Antiqua"/>
        </w:rPr>
        <w:t xml:space="preserve">Artículo 4.- Reglamentación. </w:t>
      </w:r>
    </w:p>
    <w:p w14:paraId="70A7696B" w14:textId="3C5AB00C" w:rsidR="002C1726" w:rsidRPr="006E4F1F" w:rsidRDefault="002C1726" w:rsidP="00251AFB">
      <w:pPr>
        <w:pStyle w:val="BodyText"/>
        <w:spacing w:line="480" w:lineRule="auto"/>
        <w:ind w:firstLine="360"/>
        <w:rPr>
          <w:rFonts w:ascii="Book Antiqua" w:hAnsi="Book Antiqua"/>
          <w:i/>
          <w:iCs/>
          <w:u w:val="single"/>
        </w:rPr>
      </w:pPr>
      <w:r>
        <w:rPr>
          <w:rFonts w:ascii="Book Antiqua" w:hAnsi="Book Antiqua"/>
        </w:rPr>
        <w:t xml:space="preserve">Se ordena y faculta al Departamento de Salud a </w:t>
      </w:r>
      <w:r w:rsidR="00291A4F">
        <w:rPr>
          <w:rFonts w:ascii="Book Antiqua" w:hAnsi="Book Antiqua"/>
        </w:rPr>
        <w:t xml:space="preserve">aprobar toda regla, reglamento, carta circular o norma que sea necesaria para asegurar el más fiel cumplimiento con las disposiciones de esta Ley. </w:t>
      </w:r>
      <w:r w:rsidR="00CA00BA">
        <w:rPr>
          <w:rFonts w:ascii="Book Antiqua" w:hAnsi="Book Antiqua"/>
        </w:rPr>
        <w:t xml:space="preserve"> </w:t>
      </w:r>
      <w:r w:rsidR="00CA00BA" w:rsidRPr="006E4F1F">
        <w:rPr>
          <w:rFonts w:ascii="Book Antiqua" w:hAnsi="Book Antiqua"/>
          <w:i/>
          <w:iCs/>
          <w:u w:val="single"/>
        </w:rPr>
        <w:t>En estas, se incluirá, pero no se limitará</w:t>
      </w:r>
      <w:r w:rsidR="006E4F1F">
        <w:rPr>
          <w:rFonts w:ascii="Book Antiqua" w:hAnsi="Book Antiqua"/>
          <w:i/>
          <w:iCs/>
          <w:u w:val="single"/>
        </w:rPr>
        <w:t>,</w:t>
      </w:r>
      <w:r w:rsidR="00CA00BA" w:rsidRPr="006E4F1F">
        <w:rPr>
          <w:rFonts w:ascii="Book Antiqua" w:hAnsi="Book Antiqua"/>
          <w:i/>
          <w:iCs/>
          <w:u w:val="single"/>
        </w:rPr>
        <w:t xml:space="preserve"> a </w:t>
      </w:r>
      <w:r w:rsidR="006E4F1F" w:rsidRPr="006E4F1F">
        <w:rPr>
          <w:rFonts w:ascii="Book Antiqua" w:eastAsia="Calibri" w:hAnsi="Book Antiqua"/>
          <w:i/>
          <w:iCs/>
          <w:color w:val="000000"/>
          <w:u w:val="single"/>
        </w:rPr>
        <w:t xml:space="preserve">establecer métricas para </w:t>
      </w:r>
      <w:r w:rsidR="006E4F1F" w:rsidRPr="006E4F1F">
        <w:rPr>
          <w:rFonts w:ascii="Book Antiqua" w:eastAsia="Calibri" w:hAnsi="Book Antiqua"/>
          <w:i/>
          <w:iCs/>
          <w:color w:val="000000"/>
          <w:u w:val="single"/>
        </w:rPr>
        <w:lastRenderedPageBreak/>
        <w:t>que el Departamento de Salud y</w:t>
      </w:r>
      <w:r w:rsidR="006E4F1F" w:rsidRPr="006E4F1F">
        <w:rPr>
          <w:rFonts w:ascii="Book Antiqua" w:eastAsia="Book Antiqua" w:hAnsi="Book Antiqua" w:cs="Book Antiqua"/>
          <w:i/>
          <w:iCs/>
          <w:color w:val="000000" w:themeColor="text1"/>
          <w:u w:val="single"/>
        </w:rPr>
        <w:t xml:space="preserve"> </w:t>
      </w:r>
      <w:r w:rsidR="006E4F1F">
        <w:rPr>
          <w:rFonts w:ascii="Book Antiqua" w:eastAsia="Book Antiqua" w:hAnsi="Book Antiqua" w:cs="Book Antiqua"/>
          <w:i/>
          <w:iCs/>
          <w:color w:val="000000" w:themeColor="text1"/>
          <w:u w:val="single"/>
        </w:rPr>
        <w:t>la Oficina de la Procuradora de las Mujeres</w:t>
      </w:r>
      <w:r w:rsidR="006E4F1F" w:rsidRPr="006E4F1F">
        <w:rPr>
          <w:rFonts w:ascii="Book Antiqua" w:eastAsia="Calibri" w:hAnsi="Book Antiqua"/>
          <w:i/>
          <w:iCs/>
          <w:color w:val="000000"/>
          <w:u w:val="single"/>
        </w:rPr>
        <w:t xml:space="preserve"> evalúen el impacto de la campaña, mediante indicadores de distribución, acceso y conocimiento del público meta.  </w:t>
      </w:r>
    </w:p>
    <w:p w14:paraId="5B505A46" w14:textId="5CE6C3DC" w:rsidR="00A3392B" w:rsidRPr="00A3392B" w:rsidRDefault="00251AFB" w:rsidP="00251AFB">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5.-</w:t>
      </w:r>
      <w:r w:rsidR="00A3392B" w:rsidRPr="00A3392B">
        <w:rPr>
          <w:rFonts w:ascii="Book Antiqua" w:hAnsi="Book Antiqua"/>
        </w:rPr>
        <w:t>Penalidades</w:t>
      </w:r>
      <w:r w:rsidR="00260FC0">
        <w:rPr>
          <w:rFonts w:ascii="Book Antiqua" w:hAnsi="Book Antiqua"/>
        </w:rPr>
        <w:t>.</w:t>
      </w:r>
    </w:p>
    <w:p w14:paraId="34A40E71" w14:textId="46674838" w:rsidR="00A3392B" w:rsidRPr="00A3392B" w:rsidRDefault="00A3392B" w:rsidP="00251AFB">
      <w:pPr>
        <w:pStyle w:val="BodyText"/>
        <w:spacing w:line="480" w:lineRule="auto"/>
        <w:ind w:firstLine="360"/>
        <w:rPr>
          <w:rFonts w:ascii="Book Antiqua" w:hAnsi="Book Antiqua"/>
        </w:rPr>
      </w:pPr>
      <w:r w:rsidRPr="00A3392B">
        <w:rPr>
          <w:rFonts w:ascii="Book Antiqua" w:hAnsi="Book Antiqua"/>
        </w:rPr>
        <w:t xml:space="preserve">El Departamento de Salud podrá imponer multas de hasta quinientos </w:t>
      </w:r>
      <w:r w:rsidR="00040CAA" w:rsidRPr="00A3392B">
        <w:rPr>
          <w:rFonts w:ascii="Book Antiqua" w:hAnsi="Book Antiqua"/>
        </w:rPr>
        <w:t xml:space="preserve">dólares </w:t>
      </w:r>
      <w:r w:rsidRPr="00A3392B">
        <w:rPr>
          <w:rFonts w:ascii="Book Antiqua" w:hAnsi="Book Antiqua"/>
        </w:rPr>
        <w:t>(</w:t>
      </w:r>
      <w:r w:rsidR="00040CAA">
        <w:rPr>
          <w:rFonts w:ascii="Book Antiqua" w:hAnsi="Book Antiqua"/>
        </w:rPr>
        <w:t>$</w:t>
      </w:r>
      <w:r w:rsidRPr="00A3392B">
        <w:rPr>
          <w:rFonts w:ascii="Book Antiqua" w:hAnsi="Book Antiqua"/>
        </w:rPr>
        <w:t>500</w:t>
      </w:r>
      <w:r w:rsidR="00040CAA">
        <w:rPr>
          <w:rFonts w:ascii="Book Antiqua" w:hAnsi="Book Antiqua"/>
        </w:rPr>
        <w:t>.00</w:t>
      </w:r>
      <w:r w:rsidRPr="00A3392B">
        <w:rPr>
          <w:rFonts w:ascii="Book Antiqua" w:hAnsi="Book Antiqua"/>
        </w:rPr>
        <w:t xml:space="preserve">) por el incumplimiento </w:t>
      </w:r>
      <w:r w:rsidR="00093558">
        <w:rPr>
          <w:rFonts w:ascii="Book Antiqua" w:hAnsi="Book Antiqua"/>
        </w:rPr>
        <w:t>con las</w:t>
      </w:r>
      <w:r w:rsidR="00093558" w:rsidRPr="00093558">
        <w:rPr>
          <w:rFonts w:ascii="Book Antiqua" w:hAnsi="Book Antiqua"/>
        </w:rPr>
        <w:t xml:space="preserve"> disposiciones de esta Ley</w:t>
      </w:r>
      <w:r w:rsidR="00432896">
        <w:rPr>
          <w:rFonts w:ascii="Book Antiqua" w:hAnsi="Book Antiqua"/>
        </w:rPr>
        <w:t xml:space="preserve"> o cualquier reglamento aprobado para asegurar su más fiel </w:t>
      </w:r>
      <w:r w:rsidR="005D63B7">
        <w:rPr>
          <w:rFonts w:ascii="Book Antiqua" w:hAnsi="Book Antiqua"/>
        </w:rPr>
        <w:t>cumplimiento.</w:t>
      </w:r>
      <w:r w:rsidR="00093558" w:rsidRPr="00093558">
        <w:rPr>
          <w:rFonts w:ascii="Book Antiqua" w:hAnsi="Book Antiqua"/>
        </w:rPr>
        <w:t xml:space="preserve"> En ningún caso, la multa será inferior a cien dólares ($100</w:t>
      </w:r>
      <w:r w:rsidR="00093558">
        <w:rPr>
          <w:rFonts w:ascii="Book Antiqua" w:hAnsi="Book Antiqua"/>
        </w:rPr>
        <w:t>.00</w:t>
      </w:r>
      <w:r w:rsidR="00093558" w:rsidRPr="00093558">
        <w:rPr>
          <w:rFonts w:ascii="Book Antiqua" w:hAnsi="Book Antiqua"/>
        </w:rPr>
        <w:t>)</w:t>
      </w:r>
      <w:r w:rsidRPr="00A3392B">
        <w:rPr>
          <w:rFonts w:ascii="Book Antiqua" w:hAnsi="Book Antiqua"/>
        </w:rPr>
        <w:t>.</w:t>
      </w:r>
    </w:p>
    <w:p w14:paraId="14CAC4D1" w14:textId="485FCA9C" w:rsidR="00A3392B" w:rsidRPr="00A3392B" w:rsidRDefault="00251AFB" w:rsidP="00251AFB">
      <w:pPr>
        <w:pStyle w:val="BodyText"/>
        <w:spacing w:line="480" w:lineRule="auto"/>
        <w:ind w:firstLine="36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6.-</w:t>
      </w:r>
      <w:r w:rsidR="00A3392B" w:rsidRPr="00A3392B">
        <w:rPr>
          <w:rFonts w:ascii="Book Antiqua" w:hAnsi="Book Antiqua"/>
        </w:rPr>
        <w:t>Vigencia</w:t>
      </w:r>
      <w:r w:rsidR="00260FC0">
        <w:rPr>
          <w:rFonts w:ascii="Book Antiqua" w:hAnsi="Book Antiqua"/>
        </w:rPr>
        <w:t>.</w:t>
      </w:r>
    </w:p>
    <w:p w14:paraId="79550695" w14:textId="6070EBA2" w:rsidR="00FF2214" w:rsidRPr="00D962FB" w:rsidRDefault="00A3392B" w:rsidP="00251AFB">
      <w:pPr>
        <w:pStyle w:val="BodyText"/>
        <w:spacing w:line="480" w:lineRule="auto"/>
        <w:ind w:firstLine="360"/>
        <w:rPr>
          <w:rFonts w:ascii="Book Antiqua" w:hAnsi="Book Antiqua"/>
        </w:rPr>
      </w:pPr>
      <w:r w:rsidRPr="00A3392B">
        <w:rPr>
          <w:rFonts w:ascii="Book Antiqua" w:hAnsi="Book Antiqua"/>
        </w:rPr>
        <w:t>Esta Ley empezará a regir inmediatamente después de su aprobación.</w:t>
      </w:r>
      <w:r w:rsidR="00BF5DE6">
        <w:rPr>
          <w:rFonts w:ascii="Book Antiqua" w:hAnsi="Book Antiqua"/>
          <w:lang w:val="es-ES"/>
        </w:rPr>
        <w:t xml:space="preserve"> </w:t>
      </w:r>
      <w:bookmarkEnd w:id="4"/>
    </w:p>
    <w:sectPr w:rsidR="00FF2214" w:rsidRPr="00D962F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1EBD3" w14:textId="77777777" w:rsidR="00E673B7" w:rsidRDefault="00E673B7">
      <w:r>
        <w:separator/>
      </w:r>
    </w:p>
  </w:endnote>
  <w:endnote w:type="continuationSeparator" w:id="0">
    <w:p w14:paraId="2823CA4F" w14:textId="77777777" w:rsidR="00E673B7" w:rsidRDefault="00E673B7">
      <w:r>
        <w:continuationSeparator/>
      </w:r>
    </w:p>
  </w:endnote>
  <w:endnote w:type="continuationNotice" w:id="1">
    <w:p w14:paraId="40DFE78D" w14:textId="77777777" w:rsidR="00E673B7" w:rsidRDefault="00E67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Cambria"/>
    <w:panose1 w:val="02040602050305030304"/>
    <w:charset w:val="00"/>
    <w:family w:val="roman"/>
    <w:pitch w:val="variable"/>
    <w:sig w:usb0="00000287" w:usb1="00000000" w:usb2="00000000" w:usb3="00000000" w:csb0="0000009F" w:csb1="00000000"/>
    <w:embedRegular r:id="rId1" w:fontKey="{0D2E2BC2-FE42-42EC-97C3-547FE56C3A5A}"/>
    <w:embedBold r:id="rId2" w:fontKey="{4797C371-8AEE-456D-B30A-0175030A371C}"/>
    <w:embedItalic r:id="rId3" w:fontKey="{EB730294-721D-4C56-8399-45E12CAA159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AD39CEEE-1BE4-42A6-9AAC-87AD04285CA6}"/>
  </w:font>
  <w:font w:name="Georgia">
    <w:panose1 w:val="02040502050405020303"/>
    <w:charset w:val="00"/>
    <w:family w:val="roman"/>
    <w:pitch w:val="variable"/>
    <w:sig w:usb0="00000287" w:usb1="00000000" w:usb2="00000000" w:usb3="00000000" w:csb0="0000009F" w:csb1="00000000"/>
    <w:embedRegular r:id="rId5" w:fontKey="{764F3F29-29C3-48F4-8E96-0C15A200BBD8}"/>
    <w:embedItalic r:id="rId6" w:fontKey="{0A374FA8-29AC-403A-96FA-37469A381049}"/>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A53DFE86-4484-40EC-8B9C-9BFABB1AE8C6}"/>
    <w:embedItalic r:id="rId8" w:fontKey="{D142CDA8-AE7A-42C5-8837-2BAD46C20B77}"/>
  </w:font>
  <w:font w:name="Calibri">
    <w:panose1 w:val="020F0502020204030204"/>
    <w:charset w:val="00"/>
    <w:family w:val="swiss"/>
    <w:pitch w:val="variable"/>
    <w:sig w:usb0="E4002EFF" w:usb1="C000247B" w:usb2="00000009" w:usb3="00000000" w:csb0="000001FF" w:csb1="00000000"/>
    <w:embedRegular r:id="rId9" w:fontKey="{F44EF286-DAC0-48DB-B63C-A6A9E934516E}"/>
    <w:embedItalic r:id="rId10" w:fontKey="{A500E61B-0F8B-4E6B-8CB0-01AB8B90E33D}"/>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1" w:fontKey="{C50035E2-1327-40A0-BFF9-944519FBA52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1CE7" w14:textId="77777777" w:rsidR="00E673B7" w:rsidRDefault="00E673B7">
      <w:r>
        <w:separator/>
      </w:r>
    </w:p>
  </w:footnote>
  <w:footnote w:type="continuationSeparator" w:id="0">
    <w:p w14:paraId="2D701B09" w14:textId="77777777" w:rsidR="00E673B7" w:rsidRDefault="00E673B7">
      <w:r>
        <w:continuationSeparator/>
      </w:r>
    </w:p>
  </w:footnote>
  <w:footnote w:type="continuationNotice" w:id="1">
    <w:p w14:paraId="21103A3A" w14:textId="77777777" w:rsidR="00E673B7" w:rsidRDefault="00E67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AD45E6B" w:rsidR="00FF2214" w:rsidRDefault="00FB45E6">
    <w:pPr>
      <w:tabs>
        <w:tab w:val="center" w:pos="4320"/>
        <w:tab w:val="right" w:pos="8640"/>
      </w:tabs>
      <w:rPr>
        <w:color w:val="000000"/>
      </w:rPr>
    </w:pPr>
    <w:r>
      <w:rPr>
        <w:color w:val="000000"/>
      </w:rPr>
      <w:tab/>
    </w:r>
    <w:r>
      <w:rPr>
        <w:color w:val="000000"/>
      </w:rPr>
      <w:tab/>
      <w:t>A-019</w:t>
    </w:r>
    <w:r w:rsidR="00850770">
      <w:rPr>
        <w:color w:val="000000"/>
      </w:rPr>
      <w:tab/>
    </w:r>
    <w:r w:rsidR="00850770">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6"/>
  </w:num>
  <w:num w:numId="2" w16cid:durableId="1011832284">
    <w:abstractNumId w:val="3"/>
  </w:num>
  <w:num w:numId="3" w16cid:durableId="1943102285">
    <w:abstractNumId w:val="10"/>
  </w:num>
  <w:num w:numId="4" w16cid:durableId="1106316835">
    <w:abstractNumId w:val="8"/>
  </w:num>
  <w:num w:numId="5" w16cid:durableId="455106598">
    <w:abstractNumId w:val="7"/>
  </w:num>
  <w:num w:numId="6" w16cid:durableId="175340939">
    <w:abstractNumId w:val="1"/>
  </w:num>
  <w:num w:numId="7" w16cid:durableId="1854225982">
    <w:abstractNumId w:val="9"/>
  </w:num>
  <w:num w:numId="8" w16cid:durableId="1919754197">
    <w:abstractNumId w:val="0"/>
  </w:num>
  <w:num w:numId="9" w16cid:durableId="365562201">
    <w:abstractNumId w:val="2"/>
  </w:num>
  <w:num w:numId="10" w16cid:durableId="1904826230">
    <w:abstractNumId w:val="4"/>
  </w:num>
  <w:num w:numId="11" w16cid:durableId="118687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1054D"/>
    <w:rsid w:val="000107AB"/>
    <w:rsid w:val="00010836"/>
    <w:rsid w:val="00022FC4"/>
    <w:rsid w:val="00027C66"/>
    <w:rsid w:val="00032F6A"/>
    <w:rsid w:val="00040CAA"/>
    <w:rsid w:val="0004601B"/>
    <w:rsid w:val="000502AE"/>
    <w:rsid w:val="00056D71"/>
    <w:rsid w:val="00057EF4"/>
    <w:rsid w:val="00067102"/>
    <w:rsid w:val="0007036F"/>
    <w:rsid w:val="0008657D"/>
    <w:rsid w:val="00093558"/>
    <w:rsid w:val="0009603C"/>
    <w:rsid w:val="000A1DC3"/>
    <w:rsid w:val="000A33B9"/>
    <w:rsid w:val="000A3DD4"/>
    <w:rsid w:val="000B33EC"/>
    <w:rsid w:val="000B757B"/>
    <w:rsid w:val="000C0F6A"/>
    <w:rsid w:val="000C58FF"/>
    <w:rsid w:val="000C68E5"/>
    <w:rsid w:val="000D2EB5"/>
    <w:rsid w:val="000D30A4"/>
    <w:rsid w:val="000E515E"/>
    <w:rsid w:val="000E6633"/>
    <w:rsid w:val="00113415"/>
    <w:rsid w:val="001150B3"/>
    <w:rsid w:val="00115129"/>
    <w:rsid w:val="001216F2"/>
    <w:rsid w:val="0012412E"/>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4A5E"/>
    <w:rsid w:val="00194D59"/>
    <w:rsid w:val="0019674C"/>
    <w:rsid w:val="001969E8"/>
    <w:rsid w:val="001A1EA2"/>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2667E"/>
    <w:rsid w:val="00230215"/>
    <w:rsid w:val="002304C5"/>
    <w:rsid w:val="002318F0"/>
    <w:rsid w:val="00231C2C"/>
    <w:rsid w:val="0023393F"/>
    <w:rsid w:val="002429DB"/>
    <w:rsid w:val="002435A4"/>
    <w:rsid w:val="00251AFB"/>
    <w:rsid w:val="00252646"/>
    <w:rsid w:val="00254DCC"/>
    <w:rsid w:val="00260FC0"/>
    <w:rsid w:val="002646F8"/>
    <w:rsid w:val="002655D0"/>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43CBC"/>
    <w:rsid w:val="0034626A"/>
    <w:rsid w:val="00346582"/>
    <w:rsid w:val="003524D5"/>
    <w:rsid w:val="00356264"/>
    <w:rsid w:val="00356E97"/>
    <w:rsid w:val="00365FFA"/>
    <w:rsid w:val="00372E7F"/>
    <w:rsid w:val="00381E1D"/>
    <w:rsid w:val="00391B13"/>
    <w:rsid w:val="003A2100"/>
    <w:rsid w:val="003B17EE"/>
    <w:rsid w:val="003B2357"/>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46A8"/>
    <w:rsid w:val="0042619D"/>
    <w:rsid w:val="00432896"/>
    <w:rsid w:val="00437135"/>
    <w:rsid w:val="00437DC4"/>
    <w:rsid w:val="004403A8"/>
    <w:rsid w:val="00444257"/>
    <w:rsid w:val="00452649"/>
    <w:rsid w:val="00461FBD"/>
    <w:rsid w:val="00462353"/>
    <w:rsid w:val="00462BEA"/>
    <w:rsid w:val="004674AD"/>
    <w:rsid w:val="0048210C"/>
    <w:rsid w:val="0049533B"/>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4CDE"/>
    <w:rsid w:val="00521CE8"/>
    <w:rsid w:val="005229AD"/>
    <w:rsid w:val="00524FBA"/>
    <w:rsid w:val="00526AC9"/>
    <w:rsid w:val="00527B13"/>
    <w:rsid w:val="00534596"/>
    <w:rsid w:val="005427F8"/>
    <w:rsid w:val="00543529"/>
    <w:rsid w:val="00552C7A"/>
    <w:rsid w:val="00556C43"/>
    <w:rsid w:val="005640D7"/>
    <w:rsid w:val="0056577A"/>
    <w:rsid w:val="00573345"/>
    <w:rsid w:val="0057336F"/>
    <w:rsid w:val="00573C36"/>
    <w:rsid w:val="0057614A"/>
    <w:rsid w:val="00576725"/>
    <w:rsid w:val="00580739"/>
    <w:rsid w:val="00591957"/>
    <w:rsid w:val="005A3527"/>
    <w:rsid w:val="005B3512"/>
    <w:rsid w:val="005C3826"/>
    <w:rsid w:val="005C3AFC"/>
    <w:rsid w:val="005C7524"/>
    <w:rsid w:val="005D3EB3"/>
    <w:rsid w:val="005D63B7"/>
    <w:rsid w:val="005E3602"/>
    <w:rsid w:val="005E3680"/>
    <w:rsid w:val="005E4152"/>
    <w:rsid w:val="005E63C3"/>
    <w:rsid w:val="005E7EC5"/>
    <w:rsid w:val="005F0A2C"/>
    <w:rsid w:val="005F265C"/>
    <w:rsid w:val="005F2872"/>
    <w:rsid w:val="005F486E"/>
    <w:rsid w:val="0060246B"/>
    <w:rsid w:val="00604DA6"/>
    <w:rsid w:val="0061628B"/>
    <w:rsid w:val="0062471D"/>
    <w:rsid w:val="006414C7"/>
    <w:rsid w:val="00642C79"/>
    <w:rsid w:val="006430D0"/>
    <w:rsid w:val="0064494E"/>
    <w:rsid w:val="00654571"/>
    <w:rsid w:val="00657A02"/>
    <w:rsid w:val="00663D06"/>
    <w:rsid w:val="00670249"/>
    <w:rsid w:val="00670CA7"/>
    <w:rsid w:val="00676551"/>
    <w:rsid w:val="0068065A"/>
    <w:rsid w:val="006819FE"/>
    <w:rsid w:val="00694E17"/>
    <w:rsid w:val="006A1488"/>
    <w:rsid w:val="006B17C2"/>
    <w:rsid w:val="006B3A56"/>
    <w:rsid w:val="006B78AD"/>
    <w:rsid w:val="006C4755"/>
    <w:rsid w:val="006C5540"/>
    <w:rsid w:val="006D1974"/>
    <w:rsid w:val="006E1314"/>
    <w:rsid w:val="006E4F1F"/>
    <w:rsid w:val="006E7A33"/>
    <w:rsid w:val="006F0B06"/>
    <w:rsid w:val="006F1A06"/>
    <w:rsid w:val="006F205C"/>
    <w:rsid w:val="006F6D54"/>
    <w:rsid w:val="006F7FEA"/>
    <w:rsid w:val="00702DBD"/>
    <w:rsid w:val="007164D0"/>
    <w:rsid w:val="007167E7"/>
    <w:rsid w:val="007252DE"/>
    <w:rsid w:val="007255E2"/>
    <w:rsid w:val="00725A20"/>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4E3"/>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70BC"/>
    <w:rsid w:val="00875A4D"/>
    <w:rsid w:val="008863D7"/>
    <w:rsid w:val="0089008A"/>
    <w:rsid w:val="00890C4D"/>
    <w:rsid w:val="00891773"/>
    <w:rsid w:val="008925BB"/>
    <w:rsid w:val="008A1F5E"/>
    <w:rsid w:val="008B3680"/>
    <w:rsid w:val="008C0934"/>
    <w:rsid w:val="008D172D"/>
    <w:rsid w:val="008D2008"/>
    <w:rsid w:val="008D5A27"/>
    <w:rsid w:val="008D5B00"/>
    <w:rsid w:val="008E23CC"/>
    <w:rsid w:val="008E3AED"/>
    <w:rsid w:val="008E5542"/>
    <w:rsid w:val="008E5DA2"/>
    <w:rsid w:val="008F27E4"/>
    <w:rsid w:val="0090179D"/>
    <w:rsid w:val="009061B2"/>
    <w:rsid w:val="009063F6"/>
    <w:rsid w:val="00910CF1"/>
    <w:rsid w:val="00916051"/>
    <w:rsid w:val="0091725F"/>
    <w:rsid w:val="00922818"/>
    <w:rsid w:val="0093314A"/>
    <w:rsid w:val="0093744C"/>
    <w:rsid w:val="00942884"/>
    <w:rsid w:val="00942E06"/>
    <w:rsid w:val="00950505"/>
    <w:rsid w:val="00950A46"/>
    <w:rsid w:val="00952875"/>
    <w:rsid w:val="00954675"/>
    <w:rsid w:val="00962C3E"/>
    <w:rsid w:val="00963E17"/>
    <w:rsid w:val="00965195"/>
    <w:rsid w:val="00970540"/>
    <w:rsid w:val="009833D3"/>
    <w:rsid w:val="009927E5"/>
    <w:rsid w:val="009A0ED5"/>
    <w:rsid w:val="009B47BF"/>
    <w:rsid w:val="009C5D39"/>
    <w:rsid w:val="009D1C75"/>
    <w:rsid w:val="009D5726"/>
    <w:rsid w:val="009D61E3"/>
    <w:rsid w:val="009D7450"/>
    <w:rsid w:val="009D79EC"/>
    <w:rsid w:val="009E36AA"/>
    <w:rsid w:val="009F15AE"/>
    <w:rsid w:val="00A02203"/>
    <w:rsid w:val="00A04577"/>
    <w:rsid w:val="00A04CA5"/>
    <w:rsid w:val="00A076E6"/>
    <w:rsid w:val="00A11BAB"/>
    <w:rsid w:val="00A22039"/>
    <w:rsid w:val="00A23051"/>
    <w:rsid w:val="00A23CBE"/>
    <w:rsid w:val="00A26489"/>
    <w:rsid w:val="00A30925"/>
    <w:rsid w:val="00A3392B"/>
    <w:rsid w:val="00A41F69"/>
    <w:rsid w:val="00A44362"/>
    <w:rsid w:val="00A47378"/>
    <w:rsid w:val="00A47BDC"/>
    <w:rsid w:val="00A52322"/>
    <w:rsid w:val="00A52F9B"/>
    <w:rsid w:val="00A62528"/>
    <w:rsid w:val="00A67A3A"/>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1686"/>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44AA7"/>
    <w:rsid w:val="00B51DBD"/>
    <w:rsid w:val="00B57F92"/>
    <w:rsid w:val="00B60014"/>
    <w:rsid w:val="00B70B63"/>
    <w:rsid w:val="00B72A6A"/>
    <w:rsid w:val="00B74EC0"/>
    <w:rsid w:val="00B81E44"/>
    <w:rsid w:val="00B84666"/>
    <w:rsid w:val="00B84B1D"/>
    <w:rsid w:val="00B87A1C"/>
    <w:rsid w:val="00B87D3C"/>
    <w:rsid w:val="00B950B6"/>
    <w:rsid w:val="00BA70CD"/>
    <w:rsid w:val="00BB3314"/>
    <w:rsid w:val="00BB3C4F"/>
    <w:rsid w:val="00BB48CC"/>
    <w:rsid w:val="00BB4F4D"/>
    <w:rsid w:val="00BC1AD6"/>
    <w:rsid w:val="00BD11DE"/>
    <w:rsid w:val="00BD4F99"/>
    <w:rsid w:val="00BE1D68"/>
    <w:rsid w:val="00BE4BBF"/>
    <w:rsid w:val="00BE55AC"/>
    <w:rsid w:val="00BE7D02"/>
    <w:rsid w:val="00BF5A14"/>
    <w:rsid w:val="00BF5DE6"/>
    <w:rsid w:val="00C004A4"/>
    <w:rsid w:val="00C05E49"/>
    <w:rsid w:val="00C05E9D"/>
    <w:rsid w:val="00C12AE0"/>
    <w:rsid w:val="00C13DC9"/>
    <w:rsid w:val="00C32AB8"/>
    <w:rsid w:val="00C32AF1"/>
    <w:rsid w:val="00C33CEB"/>
    <w:rsid w:val="00C357E4"/>
    <w:rsid w:val="00C361CD"/>
    <w:rsid w:val="00C57448"/>
    <w:rsid w:val="00C635EB"/>
    <w:rsid w:val="00C71782"/>
    <w:rsid w:val="00C8076C"/>
    <w:rsid w:val="00C87975"/>
    <w:rsid w:val="00C90DA0"/>
    <w:rsid w:val="00C93262"/>
    <w:rsid w:val="00C97C1A"/>
    <w:rsid w:val="00CA00BA"/>
    <w:rsid w:val="00CA38D8"/>
    <w:rsid w:val="00CA3F74"/>
    <w:rsid w:val="00CA5BDF"/>
    <w:rsid w:val="00CB2AE9"/>
    <w:rsid w:val="00CB6810"/>
    <w:rsid w:val="00CC12B7"/>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763D9"/>
    <w:rsid w:val="00D84992"/>
    <w:rsid w:val="00D937E3"/>
    <w:rsid w:val="00D938F9"/>
    <w:rsid w:val="00D95879"/>
    <w:rsid w:val="00D960EB"/>
    <w:rsid w:val="00D962FB"/>
    <w:rsid w:val="00DA5EB9"/>
    <w:rsid w:val="00DB7468"/>
    <w:rsid w:val="00DD225A"/>
    <w:rsid w:val="00DD4EC2"/>
    <w:rsid w:val="00DD633A"/>
    <w:rsid w:val="00DE4C0D"/>
    <w:rsid w:val="00DF4DB8"/>
    <w:rsid w:val="00DF5718"/>
    <w:rsid w:val="00DF5E51"/>
    <w:rsid w:val="00E03053"/>
    <w:rsid w:val="00E05064"/>
    <w:rsid w:val="00E138E0"/>
    <w:rsid w:val="00E142DA"/>
    <w:rsid w:val="00E22AE3"/>
    <w:rsid w:val="00E255AC"/>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5E6"/>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1154</Words>
  <Characters>6579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2025-03-18T14:00:00Z</cp:lastPrinted>
  <dcterms:created xsi:type="dcterms:W3CDTF">2025-03-31T19:56:00Z</dcterms:created>
  <dcterms:modified xsi:type="dcterms:W3CDTF">2025-03-31T19:56:00Z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