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footer3.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app.xml" ContentType="application/vnd.openxmlformats-officedocument.extended-properties+xml"/>
  <Override PartName="/docProps/custom.xml" ContentType="application/vnd.openxmlformats-officedocument.custom-properties+xml"/>
  <Override PartName="/word/fontTable.xml" ContentType="application/vnd.openxmlformats-officedocument.wordprocessingml.fontTable+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4CDB2F" w14:textId="0EAEEB58" w:rsidR="00CF5E12" w:rsidRDefault="00CF5E12" w:rsidP="009710CA">
      <w:pPr>
        <w:suppressLineNumbers/>
        <w:tabs>
          <w:tab w:val="center" w:pos="4680"/>
        </w:tabs>
        <w:jc w:val="center"/>
        <w:rPr>
          <w:rFonts w:ascii="Book Antiqua" w:hAnsi="Book Antiqua"/>
          <w:b/>
          <w:bCs/>
          <w:lang w:val="es-PR"/>
        </w:rPr>
      </w:pPr>
      <w:bookmarkStart w:id="0" w:name="_Hlk138253982"/>
      <w:r>
        <w:rPr>
          <w:rFonts w:ascii="Book Antiqua" w:hAnsi="Book Antiqua"/>
          <w:b/>
          <w:bCs/>
          <w:lang w:val="es-PR"/>
        </w:rPr>
        <w:t>(ENTIRILLADO ELECTR</w:t>
      </w:r>
      <w:r w:rsidR="00145860">
        <w:rPr>
          <w:rFonts w:ascii="Book Antiqua" w:hAnsi="Book Antiqua"/>
          <w:b/>
          <w:bCs/>
          <w:lang w:val="es-PR"/>
        </w:rPr>
        <w:t>Ó</w:t>
      </w:r>
      <w:r>
        <w:rPr>
          <w:rFonts w:ascii="Book Antiqua" w:hAnsi="Book Antiqua"/>
          <w:b/>
          <w:bCs/>
          <w:lang w:val="es-PR"/>
        </w:rPr>
        <w:t>NICO)</w:t>
      </w:r>
    </w:p>
    <w:p w14:paraId="69EA66F1" w14:textId="315D4C82" w:rsidR="009710CA" w:rsidRPr="008D2855" w:rsidRDefault="009710CA" w:rsidP="009710CA">
      <w:pPr>
        <w:suppressLineNumbers/>
        <w:tabs>
          <w:tab w:val="center" w:pos="4680"/>
        </w:tabs>
        <w:jc w:val="center"/>
        <w:rPr>
          <w:rFonts w:ascii="Book Antiqua" w:hAnsi="Book Antiqua"/>
          <w:b/>
          <w:bCs/>
          <w:lang w:val="es-PR"/>
        </w:rPr>
      </w:pPr>
      <w:r w:rsidRPr="008D2855">
        <w:rPr>
          <w:rFonts w:ascii="Book Antiqua" w:hAnsi="Book Antiqua"/>
          <w:b/>
          <w:bCs/>
          <w:lang w:val="es-PR"/>
        </w:rPr>
        <w:t>(TEXTO DE APROBACI</w:t>
      </w:r>
      <w:r>
        <w:rPr>
          <w:rFonts w:ascii="Book Antiqua" w:hAnsi="Book Antiqua"/>
          <w:b/>
          <w:bCs/>
          <w:lang w:val="es-PR"/>
        </w:rPr>
        <w:t>Ó</w:t>
      </w:r>
      <w:r w:rsidRPr="008D2855">
        <w:rPr>
          <w:rFonts w:ascii="Book Antiqua" w:hAnsi="Book Antiqua"/>
          <w:b/>
          <w:bCs/>
          <w:lang w:val="es-PR"/>
        </w:rPr>
        <w:t>N FINAL POR LA C</w:t>
      </w:r>
      <w:r>
        <w:rPr>
          <w:rFonts w:ascii="Book Antiqua" w:hAnsi="Book Antiqua"/>
          <w:b/>
          <w:bCs/>
          <w:lang w:val="es-PR"/>
        </w:rPr>
        <w:t>Á</w:t>
      </w:r>
      <w:r w:rsidRPr="008D2855">
        <w:rPr>
          <w:rFonts w:ascii="Book Antiqua" w:hAnsi="Book Antiqua"/>
          <w:b/>
          <w:bCs/>
          <w:lang w:val="es-PR"/>
        </w:rPr>
        <w:t>MARA)</w:t>
      </w:r>
      <w:r w:rsidRPr="008D2855">
        <w:rPr>
          <w:rFonts w:ascii="Book Antiqua" w:hAnsi="Book Antiqua"/>
          <w:b/>
          <w:bCs/>
          <w:lang w:val="es-ES_tradnl"/>
        </w:rPr>
        <w:fldChar w:fldCharType="begin"/>
      </w:r>
      <w:r w:rsidRPr="008D2855">
        <w:rPr>
          <w:rFonts w:ascii="Book Antiqua" w:hAnsi="Book Antiqua"/>
          <w:b/>
          <w:bCs/>
          <w:lang w:val="es-PR"/>
        </w:rPr>
        <w:instrText xml:space="preserve">PRIVATE </w:instrText>
      </w:r>
      <w:r w:rsidRPr="008D2855">
        <w:rPr>
          <w:rFonts w:ascii="Book Antiqua" w:hAnsi="Book Antiqua"/>
          <w:b/>
          <w:bCs/>
          <w:lang w:val="es-ES_tradnl"/>
        </w:rPr>
        <w:fldChar w:fldCharType="end"/>
      </w:r>
    </w:p>
    <w:p w14:paraId="607C0863" w14:textId="61E4FCCF" w:rsidR="009710CA" w:rsidRPr="008D2855" w:rsidRDefault="009710CA" w:rsidP="009710CA">
      <w:pPr>
        <w:suppressLineNumbers/>
        <w:tabs>
          <w:tab w:val="center" w:pos="4680"/>
        </w:tabs>
        <w:jc w:val="center"/>
        <w:rPr>
          <w:rFonts w:ascii="Book Antiqua" w:hAnsi="Book Antiqua"/>
          <w:b/>
          <w:bCs/>
          <w:lang w:val="es-PR"/>
        </w:rPr>
      </w:pPr>
      <w:r w:rsidRPr="008D2855">
        <w:rPr>
          <w:rFonts w:ascii="Book Antiqua" w:hAnsi="Book Antiqua"/>
          <w:b/>
          <w:bCs/>
          <w:lang w:val="es-PR"/>
        </w:rPr>
        <w:t>(</w:t>
      </w:r>
      <w:r w:rsidR="0070183E">
        <w:rPr>
          <w:rFonts w:ascii="Book Antiqua" w:hAnsi="Book Antiqua"/>
          <w:b/>
          <w:bCs/>
          <w:lang w:val="es-PR"/>
        </w:rPr>
        <w:t>7</w:t>
      </w:r>
      <w:r w:rsidRPr="008D2855">
        <w:rPr>
          <w:rFonts w:ascii="Book Antiqua" w:hAnsi="Book Antiqua"/>
          <w:b/>
          <w:bCs/>
          <w:lang w:val="es-PR"/>
        </w:rPr>
        <w:t xml:space="preserve"> DE </w:t>
      </w:r>
      <w:r w:rsidR="0070183E">
        <w:rPr>
          <w:rFonts w:ascii="Book Antiqua" w:hAnsi="Book Antiqua"/>
          <w:b/>
          <w:bCs/>
          <w:lang w:val="es-PR"/>
        </w:rPr>
        <w:t>ABRIL</w:t>
      </w:r>
      <w:r w:rsidRPr="008D2855">
        <w:rPr>
          <w:rFonts w:ascii="Book Antiqua" w:hAnsi="Book Antiqua"/>
          <w:b/>
          <w:bCs/>
          <w:lang w:val="es-PR"/>
        </w:rPr>
        <w:t xml:space="preserve"> DE 202</w:t>
      </w:r>
      <w:r>
        <w:rPr>
          <w:rFonts w:ascii="Book Antiqua" w:hAnsi="Book Antiqua"/>
          <w:b/>
          <w:bCs/>
          <w:lang w:val="es-PR"/>
        </w:rPr>
        <w:t>5</w:t>
      </w:r>
      <w:r w:rsidRPr="008D2855">
        <w:rPr>
          <w:rFonts w:ascii="Book Antiqua" w:hAnsi="Book Antiqua"/>
          <w:b/>
          <w:bCs/>
          <w:lang w:val="es-PR"/>
        </w:rPr>
        <w:t>)</w:t>
      </w:r>
    </w:p>
    <w:p w14:paraId="115A99D5" w14:textId="77777777" w:rsidR="009710CA" w:rsidRPr="008D2855" w:rsidRDefault="009710CA" w:rsidP="009710CA">
      <w:pPr>
        <w:suppressLineNumbers/>
        <w:tabs>
          <w:tab w:val="center" w:pos="4680"/>
        </w:tabs>
        <w:jc w:val="center"/>
        <w:rPr>
          <w:rFonts w:ascii="Book Antiqua" w:hAnsi="Book Antiqua"/>
          <w:b/>
          <w:bCs/>
          <w:lang w:val="es-ES_tradnl"/>
        </w:rPr>
      </w:pPr>
      <w:r>
        <w:rPr>
          <w:noProof/>
        </w:rPr>
        <mc:AlternateContent>
          <mc:Choice Requires="wps">
            <w:drawing>
              <wp:anchor distT="0" distB="0" distL="114300" distR="114300" simplePos="0" relativeHeight="251659264" behindDoc="1" locked="0" layoutInCell="0" allowOverlap="1" wp14:anchorId="5BCC2804" wp14:editId="4227FEAA">
                <wp:simplePos x="0" y="0"/>
                <wp:positionH relativeFrom="margin">
                  <wp:posOffset>0</wp:posOffset>
                </wp:positionH>
                <wp:positionV relativeFrom="paragraph">
                  <wp:posOffset>0</wp:posOffset>
                </wp:positionV>
                <wp:extent cx="5943600" cy="22860"/>
                <wp:effectExtent l="0" t="0" r="0" b="0"/>
                <wp:wrapNone/>
                <wp:docPr id="1204880187"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442155C" id="Rectangle 1"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p>
    <w:p w14:paraId="05AE0438" w14:textId="6B8748AA" w:rsidR="00A22D3B" w:rsidRPr="00BC63DB" w:rsidRDefault="00A22D3B" w:rsidP="0087214A">
      <w:pPr>
        <w:jc w:val="center"/>
        <w:rPr>
          <w:rFonts w:ascii="Book Antiqua" w:hAnsi="Book Antiqua"/>
          <w:bCs/>
          <w:sz w:val="28"/>
          <w:szCs w:val="28"/>
          <w:lang w:val="es-PR"/>
        </w:rPr>
      </w:pPr>
      <w:r w:rsidRPr="00BC63DB">
        <w:rPr>
          <w:rFonts w:ascii="Book Antiqua" w:hAnsi="Book Antiqua"/>
          <w:bCs/>
          <w:sz w:val="28"/>
          <w:szCs w:val="28"/>
          <w:lang w:val="es-PR"/>
        </w:rPr>
        <w:t>GOBIERNO DE PUERTO RICO</w:t>
      </w:r>
    </w:p>
    <w:p w14:paraId="2F72E3DF" w14:textId="77777777" w:rsidR="0086165E" w:rsidRDefault="0086165E" w:rsidP="0087214A">
      <w:pPr>
        <w:jc w:val="center"/>
        <w:rPr>
          <w:rFonts w:ascii="Book Antiqua" w:eastAsia="Book Antiqua" w:hAnsi="Book Antiqua" w:cs="Book Antiqua"/>
          <w:color w:val="000000" w:themeColor="text1"/>
          <w:lang w:val="es-PR"/>
        </w:rPr>
      </w:pPr>
    </w:p>
    <w:p w14:paraId="2F72E3E0" w14:textId="77777777" w:rsidR="0086165E" w:rsidRDefault="0099207B" w:rsidP="0087214A">
      <w:pPr>
        <w:tabs>
          <w:tab w:val="left" w:pos="648"/>
          <w:tab w:val="right" w:pos="7776"/>
          <w:tab w:val="left" w:pos="7848"/>
        </w:tabs>
        <w:rPr>
          <w:rFonts w:ascii="Book Antiqua" w:eastAsia="Book Antiqua" w:hAnsi="Book Antiqua" w:cs="Book Antiqua"/>
          <w:color w:val="000000" w:themeColor="text1"/>
          <w:lang w:val="es-PR"/>
        </w:rPr>
      </w:pPr>
      <w:r>
        <w:rPr>
          <w:rFonts w:ascii="Book Antiqua" w:eastAsia="Book Antiqua" w:hAnsi="Book Antiqua" w:cs="Book Antiqua"/>
          <w:color w:val="000000" w:themeColor="text1"/>
          <w:lang w:val="es-PR"/>
        </w:rPr>
        <w:t xml:space="preserve">20 </w:t>
      </w:r>
      <w:r>
        <w:rPr>
          <w:rFonts w:ascii="Book Antiqua" w:eastAsia="Book Antiqua" w:hAnsi="Book Antiqua" w:cs="Book Antiqua"/>
          <w:color w:val="000000" w:themeColor="text1"/>
          <w:vertAlign w:val="superscript"/>
          <w:lang w:val="es-PR"/>
        </w:rPr>
        <w:t>ma.</w:t>
      </w:r>
      <w:r>
        <w:rPr>
          <w:rFonts w:ascii="Book Antiqua" w:eastAsia="Book Antiqua" w:hAnsi="Book Antiqua" w:cs="Book Antiqua"/>
          <w:color w:val="000000" w:themeColor="text1"/>
          <w:lang w:val="es-PR"/>
        </w:rPr>
        <w:tab/>
        <w:t>Asamblea</w:t>
      </w:r>
      <w:r>
        <w:rPr>
          <w:rFonts w:ascii="Book Antiqua" w:eastAsia="Book Antiqua" w:hAnsi="Book Antiqua" w:cs="Book Antiqua"/>
          <w:color w:val="000000" w:themeColor="text1"/>
          <w:lang w:val="es-PR"/>
        </w:rPr>
        <w:tab/>
        <w:t>1</w:t>
      </w:r>
      <w:r>
        <w:rPr>
          <w:rFonts w:ascii="Book Antiqua" w:eastAsia="Book Antiqua" w:hAnsi="Book Antiqua" w:cs="Book Antiqua"/>
          <w:color w:val="000000" w:themeColor="text1"/>
          <w:vertAlign w:val="superscript"/>
          <w:lang w:val="es-PR"/>
        </w:rPr>
        <w:t>ra.</w:t>
      </w:r>
      <w:r>
        <w:rPr>
          <w:rFonts w:ascii="Book Antiqua" w:eastAsia="Book Antiqua" w:hAnsi="Book Antiqua" w:cs="Book Antiqua"/>
          <w:color w:val="000000" w:themeColor="text1"/>
          <w:vertAlign w:val="superscript"/>
          <w:lang w:val="es-PR"/>
        </w:rPr>
        <w:tab/>
      </w:r>
      <w:r>
        <w:rPr>
          <w:rFonts w:ascii="Book Antiqua" w:eastAsia="Book Antiqua" w:hAnsi="Book Antiqua" w:cs="Book Antiqua"/>
          <w:color w:val="000000" w:themeColor="text1"/>
          <w:lang w:val="es-PR"/>
        </w:rPr>
        <w:t>Sesión</w:t>
      </w:r>
    </w:p>
    <w:p w14:paraId="2F72E3E1" w14:textId="77777777" w:rsidR="0086165E" w:rsidRDefault="0099207B" w:rsidP="0087214A">
      <w:pPr>
        <w:tabs>
          <w:tab w:val="left" w:pos="648"/>
          <w:tab w:val="right" w:pos="7776"/>
          <w:tab w:val="left" w:pos="7848"/>
        </w:tabs>
        <w:rPr>
          <w:rFonts w:ascii="Book Antiqua" w:eastAsia="Book Antiqua" w:hAnsi="Book Antiqua" w:cs="Book Antiqua"/>
          <w:color w:val="000000" w:themeColor="text1"/>
          <w:lang w:val="es-PR"/>
        </w:rPr>
      </w:pPr>
      <w:r>
        <w:rPr>
          <w:rFonts w:ascii="Book Antiqua" w:eastAsia="Book Antiqua" w:hAnsi="Book Antiqua" w:cs="Book Antiqua"/>
          <w:color w:val="000000" w:themeColor="text1"/>
          <w:lang w:val="es-PR"/>
        </w:rPr>
        <w:tab/>
        <w:t>Legislativa</w:t>
      </w:r>
      <w:r>
        <w:rPr>
          <w:rFonts w:ascii="Book Antiqua" w:eastAsia="Book Antiqua" w:hAnsi="Book Antiqua" w:cs="Book Antiqua"/>
          <w:color w:val="000000" w:themeColor="text1"/>
          <w:lang w:val="es-PR"/>
        </w:rPr>
        <w:tab/>
      </w:r>
      <w:r>
        <w:rPr>
          <w:rFonts w:ascii="Book Antiqua" w:eastAsia="Book Antiqua" w:hAnsi="Book Antiqua" w:cs="Book Antiqua"/>
          <w:color w:val="000000" w:themeColor="text1"/>
          <w:lang w:val="es-PR"/>
        </w:rPr>
        <w:tab/>
        <w:t>Ordinaria</w:t>
      </w:r>
    </w:p>
    <w:p w14:paraId="2F72E3E2" w14:textId="77777777" w:rsidR="0086165E" w:rsidRDefault="0086165E" w:rsidP="0087214A">
      <w:pPr>
        <w:rPr>
          <w:rFonts w:ascii="Book Antiqua" w:eastAsia="Book Antiqua" w:hAnsi="Book Antiqua" w:cs="Book Antiqua"/>
          <w:color w:val="000000" w:themeColor="text1"/>
          <w:lang w:val="es-PR"/>
        </w:rPr>
      </w:pPr>
    </w:p>
    <w:p w14:paraId="4244B1D4" w14:textId="77777777" w:rsidR="0087214A" w:rsidRDefault="006C4E23" w:rsidP="0087214A">
      <w:pPr>
        <w:jc w:val="center"/>
        <w:rPr>
          <w:rFonts w:ascii="Book Antiqua" w:hAnsi="Book Antiqua"/>
          <w:b/>
          <w:sz w:val="36"/>
          <w:lang w:val="es-ES"/>
        </w:rPr>
      </w:pPr>
      <w:r w:rsidRPr="00DF4C50">
        <w:rPr>
          <w:rFonts w:ascii="Book Antiqua" w:hAnsi="Book Antiqua"/>
          <w:b/>
          <w:sz w:val="36"/>
          <w:lang w:val="es-ES"/>
        </w:rPr>
        <w:t>CÁMARA DE REPRESENTANTES</w:t>
      </w:r>
    </w:p>
    <w:p w14:paraId="4B1DE8F2" w14:textId="45900CB7" w:rsidR="006C4E23" w:rsidRPr="0087214A" w:rsidRDefault="006C4E23" w:rsidP="0087214A">
      <w:pPr>
        <w:jc w:val="center"/>
        <w:rPr>
          <w:rFonts w:ascii="Book Antiqua" w:eastAsia="Book Antiqua" w:hAnsi="Book Antiqua" w:cs="Book Antiqua"/>
          <w:b/>
          <w:color w:val="000000" w:themeColor="text1"/>
          <w:lang w:val="es-PR"/>
        </w:rPr>
      </w:pPr>
      <w:r w:rsidRPr="0087214A">
        <w:rPr>
          <w:rFonts w:ascii="Book Antiqua" w:eastAsia="Book Antiqua" w:hAnsi="Book Antiqua" w:cs="Book Antiqua"/>
          <w:b/>
          <w:color w:val="000000" w:themeColor="text1"/>
          <w:lang w:val="es-PR"/>
        </w:rPr>
        <w:t xml:space="preserve"> </w:t>
      </w:r>
    </w:p>
    <w:p w14:paraId="2F72E3E4" w14:textId="179119D3" w:rsidR="0086165E" w:rsidRDefault="0099207B" w:rsidP="0087214A">
      <w:pPr>
        <w:jc w:val="center"/>
        <w:rPr>
          <w:rFonts w:ascii="Book Antiqua" w:eastAsia="Book Antiqua" w:hAnsi="Book Antiqua" w:cs="Book Antiqua"/>
          <w:b/>
          <w:color w:val="000000" w:themeColor="text1"/>
          <w:sz w:val="52"/>
          <w:szCs w:val="52"/>
          <w:lang w:val="es-PR"/>
        </w:rPr>
      </w:pPr>
      <w:r>
        <w:rPr>
          <w:rFonts w:ascii="Book Antiqua" w:eastAsia="Book Antiqua" w:hAnsi="Book Antiqua" w:cs="Book Antiqua"/>
          <w:b/>
          <w:color w:val="000000" w:themeColor="text1"/>
          <w:sz w:val="52"/>
          <w:szCs w:val="52"/>
          <w:lang w:val="es-PR"/>
        </w:rPr>
        <w:t>P. de</w:t>
      </w:r>
      <w:r w:rsidR="006C4E23">
        <w:rPr>
          <w:rFonts w:ascii="Book Antiqua" w:eastAsia="Book Antiqua" w:hAnsi="Book Antiqua" w:cs="Book Antiqua"/>
          <w:b/>
          <w:color w:val="000000" w:themeColor="text1"/>
          <w:sz w:val="52"/>
          <w:szCs w:val="52"/>
          <w:lang w:val="es-PR"/>
        </w:rPr>
        <w:t xml:space="preserve"> la C</w:t>
      </w:r>
      <w:r>
        <w:rPr>
          <w:rFonts w:ascii="Book Antiqua" w:eastAsia="Book Antiqua" w:hAnsi="Book Antiqua" w:cs="Book Antiqua"/>
          <w:b/>
          <w:color w:val="000000" w:themeColor="text1"/>
          <w:sz w:val="52"/>
          <w:szCs w:val="52"/>
          <w:lang w:val="es-PR"/>
        </w:rPr>
        <w:t xml:space="preserve">. </w:t>
      </w:r>
      <w:r w:rsidR="00ED4565">
        <w:rPr>
          <w:rFonts w:ascii="Book Antiqua" w:eastAsia="Book Antiqua" w:hAnsi="Book Antiqua" w:cs="Book Antiqua"/>
          <w:b/>
          <w:color w:val="000000" w:themeColor="text1"/>
          <w:sz w:val="52"/>
          <w:szCs w:val="52"/>
          <w:lang w:val="es-PR"/>
        </w:rPr>
        <w:t>420</w:t>
      </w:r>
    </w:p>
    <w:p w14:paraId="295FE94F" w14:textId="77777777" w:rsidR="0087214A" w:rsidRPr="0087214A" w:rsidRDefault="0087214A" w:rsidP="0087214A">
      <w:pPr>
        <w:jc w:val="center"/>
        <w:rPr>
          <w:rFonts w:ascii="Book Antiqua" w:eastAsia="Book Antiqua" w:hAnsi="Book Antiqua" w:cs="Book Antiqua"/>
          <w:b/>
          <w:color w:val="000000" w:themeColor="text1"/>
          <w:lang w:val="es-PR"/>
        </w:rPr>
      </w:pPr>
    </w:p>
    <w:p w14:paraId="6E03E3EB" w14:textId="5B29F87A" w:rsidR="006C4E23" w:rsidRDefault="00ED4565" w:rsidP="0087214A">
      <w:pPr>
        <w:jc w:val="center"/>
        <w:rPr>
          <w:rFonts w:ascii="Book Antiqua" w:eastAsia="Book Antiqua" w:hAnsi="Book Antiqua" w:cs="Book Antiqua"/>
          <w:color w:val="000000" w:themeColor="text1"/>
          <w:lang w:val="es-PR"/>
        </w:rPr>
      </w:pPr>
      <w:r>
        <w:rPr>
          <w:rFonts w:ascii="Book Antiqua" w:eastAsia="Book Antiqua" w:hAnsi="Book Antiqua" w:cs="Book Antiqua"/>
          <w:color w:val="000000" w:themeColor="text1"/>
          <w:lang w:val="es-PR"/>
        </w:rPr>
        <w:t xml:space="preserve">18 </w:t>
      </w:r>
      <w:r w:rsidR="0087214A">
        <w:rPr>
          <w:rFonts w:ascii="Book Antiqua" w:eastAsia="Book Antiqua" w:hAnsi="Book Antiqua" w:cs="Book Antiqua"/>
          <w:color w:val="000000" w:themeColor="text1"/>
          <w:lang w:val="es-PR"/>
        </w:rPr>
        <w:t>DE MARZO DE</w:t>
      </w:r>
      <w:r w:rsidR="0099207B">
        <w:rPr>
          <w:rFonts w:ascii="Book Antiqua" w:eastAsia="Book Antiqua" w:hAnsi="Book Antiqua" w:cs="Book Antiqua"/>
          <w:color w:val="000000" w:themeColor="text1"/>
          <w:lang w:val="es-PR"/>
        </w:rPr>
        <w:t xml:space="preserve"> 2025</w:t>
      </w:r>
    </w:p>
    <w:p w14:paraId="24DF9322" w14:textId="77777777" w:rsidR="006C4E23" w:rsidRDefault="006C4E23" w:rsidP="0087214A">
      <w:pPr>
        <w:jc w:val="center"/>
        <w:rPr>
          <w:rFonts w:ascii="Book Antiqua" w:eastAsia="Book Antiqua" w:hAnsi="Book Antiqua" w:cs="Book Antiqua"/>
          <w:color w:val="000000" w:themeColor="text1"/>
          <w:lang w:val="es-PR"/>
        </w:rPr>
      </w:pPr>
    </w:p>
    <w:p w14:paraId="390597A1" w14:textId="7AFA438F" w:rsidR="0087214A" w:rsidRDefault="0087214A" w:rsidP="0087214A">
      <w:pPr>
        <w:ind w:left="810" w:hanging="810"/>
        <w:jc w:val="both"/>
        <w:rPr>
          <w:rFonts w:ascii="Book Antiqua" w:eastAsia="Aptos" w:hAnsi="Book Antiqua"/>
          <w:i/>
          <w:iCs/>
          <w:kern w:val="2"/>
          <w:lang w:val="es-ES"/>
          <w14:ligatures w14:val="standardContextual"/>
        </w:rPr>
      </w:pPr>
      <w:bookmarkStart w:id="1" w:name="_heading=h.gjdgxs" w:colFirst="0" w:colLast="0"/>
      <w:bookmarkEnd w:id="1"/>
      <w:r>
        <w:rPr>
          <w:rFonts w:ascii="Book Antiqua" w:eastAsia="Book Antiqua" w:hAnsi="Book Antiqua" w:cs="Book Antiqua"/>
          <w:color w:val="000000" w:themeColor="text1"/>
          <w:lang w:val="es-PR"/>
        </w:rPr>
        <w:t xml:space="preserve">Presentado por </w:t>
      </w:r>
      <w:r w:rsidRPr="00BC63DB">
        <w:rPr>
          <w:rFonts w:ascii="Book Antiqua" w:hAnsi="Book Antiqua"/>
          <w:lang w:val="es-ES"/>
        </w:rPr>
        <w:t xml:space="preserve">el representante </w:t>
      </w:r>
      <w:r w:rsidRPr="00BC63DB">
        <w:rPr>
          <w:rFonts w:ascii="Book Antiqua" w:hAnsi="Book Antiqua"/>
          <w:i/>
          <w:iCs/>
          <w:lang w:val="es-PR"/>
        </w:rPr>
        <w:t>Méndez Núñez</w:t>
      </w:r>
      <w:r>
        <w:rPr>
          <w:rFonts w:ascii="Book Antiqua" w:hAnsi="Book Antiqua"/>
          <w:i/>
          <w:iCs/>
          <w:lang w:val="es-PR"/>
        </w:rPr>
        <w:t>;</w:t>
      </w:r>
      <w:r w:rsidRPr="00BC63DB">
        <w:rPr>
          <w:rFonts w:ascii="Book Antiqua" w:hAnsi="Book Antiqua"/>
          <w:i/>
          <w:iCs/>
          <w:lang w:val="es-PR"/>
        </w:rPr>
        <w:t xml:space="preserve"> </w:t>
      </w:r>
      <w:r w:rsidRPr="00BC63DB">
        <w:rPr>
          <w:rFonts w:ascii="Book Antiqua" w:eastAsia="Aptos" w:hAnsi="Book Antiqua"/>
          <w:kern w:val="2"/>
          <w:lang w:val="es-ES"/>
          <w14:ligatures w14:val="standardContextual"/>
        </w:rPr>
        <w:t>la representante</w:t>
      </w:r>
      <w:r w:rsidRPr="00BC63DB">
        <w:rPr>
          <w:rFonts w:ascii="Book Antiqua" w:eastAsia="Aptos" w:hAnsi="Book Antiqua"/>
          <w:i/>
          <w:iCs/>
          <w:kern w:val="2"/>
          <w:lang w:val="es-ES"/>
          <w14:ligatures w14:val="standardContextual"/>
        </w:rPr>
        <w:t xml:space="preserve"> Lebrón Rodríguez; </w:t>
      </w:r>
      <w:r w:rsidRPr="00BC63DB">
        <w:rPr>
          <w:rFonts w:ascii="Book Antiqua" w:eastAsia="Aptos" w:hAnsi="Book Antiqua"/>
          <w:kern w:val="2"/>
          <w:lang w:val="es-ES"/>
          <w14:ligatures w14:val="standardContextual"/>
        </w:rPr>
        <w:t>los representantes</w:t>
      </w:r>
      <w:r w:rsidRPr="00BC63DB">
        <w:rPr>
          <w:rFonts w:ascii="Book Antiqua" w:eastAsia="Aptos" w:hAnsi="Book Antiqua"/>
          <w:i/>
          <w:iCs/>
          <w:kern w:val="2"/>
          <w:lang w:val="es-ES"/>
          <w14:ligatures w14:val="standardContextual"/>
        </w:rPr>
        <w:t xml:space="preserve"> Peña Ramírez, Torres Zamora, Román López, Aponte Hernández, Carlo Acosta, </w:t>
      </w:r>
      <w:proofErr w:type="spellStart"/>
      <w:r w:rsidRPr="00BC63DB">
        <w:rPr>
          <w:rFonts w:ascii="Book Antiqua" w:eastAsia="Aptos" w:hAnsi="Book Antiqua"/>
          <w:i/>
          <w:iCs/>
          <w:kern w:val="2"/>
          <w:lang w:val="es-ES"/>
          <w14:ligatures w14:val="standardContextual"/>
        </w:rPr>
        <w:t>Charbonier</w:t>
      </w:r>
      <w:proofErr w:type="spellEnd"/>
      <w:r w:rsidRPr="00BC63DB">
        <w:rPr>
          <w:rFonts w:ascii="Book Antiqua" w:eastAsia="Aptos" w:hAnsi="Book Antiqua"/>
          <w:i/>
          <w:iCs/>
          <w:kern w:val="2"/>
          <w:lang w:val="es-ES"/>
          <w14:ligatures w14:val="standardContextual"/>
        </w:rPr>
        <w:t xml:space="preserve"> Chinea, Colón Rodríguez; </w:t>
      </w:r>
      <w:r w:rsidRPr="00BC63DB">
        <w:rPr>
          <w:rFonts w:ascii="Book Antiqua" w:eastAsia="Aptos" w:hAnsi="Book Antiqua"/>
          <w:kern w:val="2"/>
          <w:lang w:val="es-ES"/>
          <w14:ligatures w14:val="standardContextual"/>
        </w:rPr>
        <w:t>la representante</w:t>
      </w:r>
      <w:r w:rsidRPr="00BC63DB">
        <w:rPr>
          <w:rFonts w:ascii="Book Antiqua" w:eastAsia="Aptos" w:hAnsi="Book Antiqua"/>
          <w:i/>
          <w:iCs/>
          <w:kern w:val="2"/>
          <w:lang w:val="es-ES"/>
          <w14:ligatures w14:val="standardContextual"/>
        </w:rPr>
        <w:t xml:space="preserve"> del Valle Correa; </w:t>
      </w:r>
      <w:r w:rsidRPr="00BC63DB">
        <w:rPr>
          <w:rFonts w:ascii="Book Antiqua" w:eastAsia="Aptos" w:hAnsi="Book Antiqua"/>
          <w:kern w:val="2"/>
          <w:lang w:val="es-ES"/>
          <w14:ligatures w14:val="standardContextual"/>
        </w:rPr>
        <w:t>los representantes</w:t>
      </w:r>
      <w:r w:rsidRPr="00BC63DB">
        <w:rPr>
          <w:rFonts w:ascii="Book Antiqua" w:eastAsia="Aptos" w:hAnsi="Book Antiqua"/>
          <w:i/>
          <w:iCs/>
          <w:kern w:val="2"/>
          <w:lang w:val="es-ES"/>
          <w14:ligatures w14:val="standardContextual"/>
        </w:rPr>
        <w:t xml:space="preserve"> Estévez Vélez, </w:t>
      </w:r>
      <w:proofErr w:type="spellStart"/>
      <w:r w:rsidRPr="00BC63DB">
        <w:rPr>
          <w:rFonts w:ascii="Book Antiqua" w:eastAsia="Aptos" w:hAnsi="Book Antiqua"/>
          <w:i/>
          <w:iCs/>
          <w:kern w:val="2"/>
          <w:lang w:val="es-ES"/>
          <w14:ligatures w14:val="standardContextual"/>
        </w:rPr>
        <w:t>Franqui</w:t>
      </w:r>
      <w:proofErr w:type="spellEnd"/>
      <w:r w:rsidRPr="00BC63DB">
        <w:rPr>
          <w:rFonts w:ascii="Book Antiqua" w:eastAsia="Aptos" w:hAnsi="Book Antiqua"/>
          <w:i/>
          <w:iCs/>
          <w:kern w:val="2"/>
          <w:lang w:val="es-ES"/>
          <w14:ligatures w14:val="standardContextual"/>
        </w:rPr>
        <w:t xml:space="preserve"> </w:t>
      </w:r>
      <w:proofErr w:type="spellStart"/>
      <w:r w:rsidRPr="00BC63DB">
        <w:rPr>
          <w:rFonts w:ascii="Book Antiqua" w:eastAsia="Aptos" w:hAnsi="Book Antiqua"/>
          <w:i/>
          <w:iCs/>
          <w:kern w:val="2"/>
          <w:lang w:val="es-ES"/>
          <w14:ligatures w14:val="standardContextual"/>
        </w:rPr>
        <w:t>Atiles</w:t>
      </w:r>
      <w:proofErr w:type="spellEnd"/>
      <w:r w:rsidRPr="00BC63DB">
        <w:rPr>
          <w:rFonts w:ascii="Book Antiqua" w:eastAsia="Aptos" w:hAnsi="Book Antiqua"/>
          <w:i/>
          <w:iCs/>
          <w:kern w:val="2"/>
          <w:lang w:val="es-ES"/>
          <w14:ligatures w14:val="standardContextual"/>
        </w:rPr>
        <w:t xml:space="preserve">; </w:t>
      </w:r>
      <w:r w:rsidRPr="00BC63DB">
        <w:rPr>
          <w:rFonts w:ascii="Book Antiqua" w:eastAsia="Aptos" w:hAnsi="Book Antiqua"/>
          <w:kern w:val="2"/>
          <w:lang w:val="es-ES"/>
          <w14:ligatures w14:val="standardContextual"/>
        </w:rPr>
        <w:t>las representantes</w:t>
      </w:r>
      <w:r w:rsidRPr="00BC63DB">
        <w:rPr>
          <w:rFonts w:ascii="Book Antiqua" w:eastAsia="Aptos" w:hAnsi="Book Antiqua"/>
          <w:i/>
          <w:iCs/>
          <w:kern w:val="2"/>
          <w:lang w:val="es-ES"/>
          <w14:ligatures w14:val="standardContextual"/>
        </w:rPr>
        <w:t xml:space="preserve"> González Aguayo, González </w:t>
      </w:r>
      <w:proofErr w:type="spellStart"/>
      <w:r w:rsidRPr="00BC63DB">
        <w:rPr>
          <w:rFonts w:ascii="Book Antiqua" w:eastAsia="Aptos" w:hAnsi="Book Antiqua"/>
          <w:i/>
          <w:iCs/>
          <w:kern w:val="2"/>
          <w:lang w:val="es-ES"/>
          <w14:ligatures w14:val="standardContextual"/>
        </w:rPr>
        <w:t>González</w:t>
      </w:r>
      <w:proofErr w:type="spellEnd"/>
      <w:r w:rsidRPr="00BC63DB">
        <w:rPr>
          <w:rFonts w:ascii="Book Antiqua" w:eastAsia="Aptos" w:hAnsi="Book Antiqua"/>
          <w:i/>
          <w:iCs/>
          <w:kern w:val="2"/>
          <w:lang w:val="es-ES"/>
          <w14:ligatures w14:val="standardContextual"/>
        </w:rPr>
        <w:t xml:space="preserve">; </w:t>
      </w:r>
      <w:r w:rsidRPr="00BC63DB">
        <w:rPr>
          <w:rFonts w:ascii="Book Antiqua" w:eastAsia="Aptos" w:hAnsi="Book Antiqua"/>
          <w:kern w:val="2"/>
          <w:lang w:val="es-ES"/>
          <w14:ligatures w14:val="standardContextual"/>
        </w:rPr>
        <w:t>los representantes</w:t>
      </w:r>
      <w:r w:rsidRPr="00BC63DB">
        <w:rPr>
          <w:rFonts w:ascii="Book Antiqua" w:eastAsia="Aptos" w:hAnsi="Book Antiqua"/>
          <w:i/>
          <w:iCs/>
          <w:kern w:val="2"/>
          <w:lang w:val="es-ES"/>
          <w14:ligatures w14:val="standardContextual"/>
        </w:rPr>
        <w:t xml:space="preserve"> Hernández Concepción, Jiménez Torres; </w:t>
      </w:r>
      <w:r w:rsidRPr="00BC63DB">
        <w:rPr>
          <w:rFonts w:ascii="Book Antiqua" w:eastAsia="Aptos" w:hAnsi="Book Antiqua"/>
          <w:kern w:val="2"/>
          <w:lang w:val="es-ES"/>
          <w14:ligatures w14:val="standardContextual"/>
        </w:rPr>
        <w:t>las representantes</w:t>
      </w:r>
      <w:r w:rsidRPr="00BC63DB">
        <w:rPr>
          <w:rFonts w:ascii="Book Antiqua" w:eastAsia="Aptos" w:hAnsi="Book Antiqua"/>
          <w:i/>
          <w:iCs/>
          <w:kern w:val="2"/>
          <w:lang w:val="es-ES"/>
          <w14:ligatures w14:val="standardContextual"/>
        </w:rPr>
        <w:t xml:space="preserve"> Martínez Vázquez, Medina Calderón; </w:t>
      </w:r>
      <w:r w:rsidRPr="00BC63DB">
        <w:rPr>
          <w:rFonts w:ascii="Book Antiqua" w:eastAsia="Aptos" w:hAnsi="Book Antiqua"/>
          <w:kern w:val="2"/>
          <w:lang w:val="es-ES"/>
          <w14:ligatures w14:val="standardContextual"/>
        </w:rPr>
        <w:t>los representantes</w:t>
      </w:r>
      <w:r w:rsidRPr="00BC63DB">
        <w:rPr>
          <w:rFonts w:ascii="Book Antiqua" w:eastAsia="Aptos" w:hAnsi="Book Antiqua"/>
          <w:i/>
          <w:iCs/>
          <w:kern w:val="2"/>
          <w:lang w:val="es-ES"/>
          <w14:ligatures w14:val="standardContextual"/>
        </w:rPr>
        <w:t xml:space="preserve"> </w:t>
      </w:r>
      <w:proofErr w:type="spellStart"/>
      <w:r w:rsidRPr="00BC63DB">
        <w:rPr>
          <w:rFonts w:ascii="Book Antiqua" w:eastAsia="Aptos" w:hAnsi="Book Antiqua"/>
          <w:i/>
          <w:iCs/>
          <w:kern w:val="2"/>
          <w:lang w:val="es-ES"/>
          <w14:ligatures w14:val="standardContextual"/>
        </w:rPr>
        <w:t>Morey</w:t>
      </w:r>
      <w:proofErr w:type="spellEnd"/>
      <w:r w:rsidRPr="00BC63DB">
        <w:rPr>
          <w:rFonts w:ascii="Book Antiqua" w:eastAsia="Aptos" w:hAnsi="Book Antiqua"/>
          <w:i/>
          <w:iCs/>
          <w:kern w:val="2"/>
          <w:lang w:val="es-ES"/>
          <w14:ligatures w14:val="standardContextual"/>
        </w:rPr>
        <w:t xml:space="preserve"> Noble, Muriel Sánchez, Navarro Suárez, Nieves Rosario, Ocasio Ramos, Pacheco Burgos, Parés Otero; </w:t>
      </w:r>
      <w:r w:rsidRPr="00BC63DB">
        <w:rPr>
          <w:rFonts w:ascii="Book Antiqua" w:eastAsia="Aptos" w:hAnsi="Book Antiqua"/>
          <w:kern w:val="2"/>
          <w:lang w:val="es-ES"/>
          <w14:ligatures w14:val="standardContextual"/>
        </w:rPr>
        <w:t>la representante</w:t>
      </w:r>
      <w:r w:rsidRPr="00BC63DB">
        <w:rPr>
          <w:rFonts w:ascii="Book Antiqua" w:eastAsia="Aptos" w:hAnsi="Book Antiqua"/>
          <w:i/>
          <w:iCs/>
          <w:kern w:val="2"/>
          <w:lang w:val="es-ES"/>
          <w14:ligatures w14:val="standardContextual"/>
        </w:rPr>
        <w:t xml:space="preserve"> Peña Dávila; </w:t>
      </w:r>
      <w:r w:rsidRPr="00BC63DB">
        <w:rPr>
          <w:rFonts w:ascii="Book Antiqua" w:eastAsia="Aptos" w:hAnsi="Book Antiqua"/>
          <w:kern w:val="2"/>
          <w:lang w:val="es-ES"/>
          <w14:ligatures w14:val="standardContextual"/>
        </w:rPr>
        <w:t>los representantes</w:t>
      </w:r>
      <w:r w:rsidRPr="00BC63DB">
        <w:rPr>
          <w:rFonts w:ascii="Book Antiqua" w:eastAsia="Aptos" w:hAnsi="Book Antiqua"/>
          <w:i/>
          <w:iCs/>
          <w:kern w:val="2"/>
          <w:lang w:val="es-ES"/>
          <w14:ligatures w14:val="standardContextual"/>
        </w:rPr>
        <w:t xml:space="preserve"> Pérez Cordero, Pérez Ortiz; </w:t>
      </w:r>
      <w:r w:rsidRPr="00BC63DB">
        <w:rPr>
          <w:rFonts w:ascii="Book Antiqua" w:eastAsia="Aptos" w:hAnsi="Book Antiqua"/>
          <w:kern w:val="2"/>
          <w:lang w:val="es-ES"/>
          <w14:ligatures w14:val="standardContextual"/>
        </w:rPr>
        <w:t>las representantes</w:t>
      </w:r>
      <w:r w:rsidRPr="00BC63DB">
        <w:rPr>
          <w:rFonts w:ascii="Book Antiqua" w:eastAsia="Aptos" w:hAnsi="Book Antiqua"/>
          <w:i/>
          <w:iCs/>
          <w:kern w:val="2"/>
          <w:lang w:val="es-ES"/>
          <w14:ligatures w14:val="standardContextual"/>
        </w:rPr>
        <w:t xml:space="preserve"> Pérez Ramírez, Ramos Rivera; </w:t>
      </w:r>
      <w:r w:rsidRPr="00BC63DB">
        <w:rPr>
          <w:rFonts w:ascii="Book Antiqua" w:eastAsia="Aptos" w:hAnsi="Book Antiqua"/>
          <w:kern w:val="2"/>
          <w:lang w:val="es-ES"/>
          <w14:ligatures w14:val="standardContextual"/>
        </w:rPr>
        <w:t>los representantes</w:t>
      </w:r>
      <w:r w:rsidRPr="00BC63DB">
        <w:rPr>
          <w:rFonts w:ascii="Book Antiqua" w:eastAsia="Aptos" w:hAnsi="Book Antiqua"/>
          <w:i/>
          <w:iCs/>
          <w:kern w:val="2"/>
          <w:lang w:val="es-ES"/>
          <w14:ligatures w14:val="standardContextual"/>
        </w:rPr>
        <w:t xml:space="preserve"> Robles Rivera, Rodríguez Aguiló, Rodríguez Torres, Roque Gracia, Sanabria Colón</w:t>
      </w:r>
      <w:r w:rsidRPr="00973663">
        <w:rPr>
          <w:rFonts w:ascii="Book Antiqua" w:eastAsia="Aptos" w:hAnsi="Book Antiqua"/>
          <w:kern w:val="2"/>
          <w:lang w:val="es-ES"/>
          <w14:ligatures w14:val="standardContextual"/>
        </w:rPr>
        <w:t xml:space="preserve"> </w:t>
      </w:r>
      <w:r w:rsidRPr="009710CA">
        <w:rPr>
          <w:rFonts w:ascii="Book Antiqua" w:eastAsia="Aptos" w:hAnsi="Book Antiqua"/>
          <w:kern w:val="2"/>
          <w:lang w:val="es-ES"/>
          <w14:ligatures w14:val="standardContextual"/>
        </w:rPr>
        <w:t>y</w:t>
      </w:r>
      <w:r w:rsidRPr="00BC63DB">
        <w:rPr>
          <w:rFonts w:ascii="Book Antiqua" w:eastAsia="Aptos" w:hAnsi="Book Antiqua"/>
          <w:i/>
          <w:iCs/>
          <w:kern w:val="2"/>
          <w:lang w:val="es-ES"/>
          <w14:ligatures w14:val="standardContextual"/>
        </w:rPr>
        <w:t xml:space="preserve"> Santiago Guzmán</w:t>
      </w:r>
    </w:p>
    <w:p w14:paraId="619A291A" w14:textId="77777777" w:rsidR="006C4E23" w:rsidRPr="006C4E23" w:rsidRDefault="006C4E23" w:rsidP="0087214A">
      <w:pPr>
        <w:ind w:left="810" w:hanging="810"/>
        <w:jc w:val="both"/>
        <w:rPr>
          <w:rFonts w:ascii="Book Antiqua" w:eastAsia="Aptos" w:hAnsi="Book Antiqua"/>
          <w:i/>
          <w:iCs/>
          <w:kern w:val="2"/>
          <w:lang w:val="es-ES"/>
          <w14:ligatures w14:val="standardContextual"/>
        </w:rPr>
      </w:pPr>
    </w:p>
    <w:p w14:paraId="2F72E3E9" w14:textId="4E3F4144" w:rsidR="0086165E" w:rsidRPr="0087214A" w:rsidRDefault="0099207B" w:rsidP="0087214A">
      <w:pPr>
        <w:ind w:left="720" w:hanging="630"/>
        <w:jc w:val="center"/>
        <w:rPr>
          <w:rFonts w:ascii="Book Antiqua" w:eastAsia="Book Antiqua" w:hAnsi="Book Antiqua" w:cs="Book Antiqua"/>
          <w:iCs/>
          <w:color w:val="000000" w:themeColor="text1"/>
          <w:lang w:val="es-PR"/>
        </w:rPr>
      </w:pPr>
      <w:r w:rsidRPr="0087214A">
        <w:rPr>
          <w:rFonts w:ascii="Book Antiqua" w:eastAsia="Book Antiqua" w:hAnsi="Book Antiqua" w:cs="Book Antiqua"/>
          <w:iCs/>
          <w:color w:val="000000" w:themeColor="text1"/>
          <w:lang w:val="es-PR"/>
        </w:rPr>
        <w:t>Referido a</w:t>
      </w:r>
      <w:r w:rsidR="00B463D4">
        <w:rPr>
          <w:rFonts w:ascii="Book Antiqua" w:eastAsia="Book Antiqua" w:hAnsi="Book Antiqua" w:cs="Book Antiqua"/>
          <w:iCs/>
          <w:color w:val="000000" w:themeColor="text1"/>
          <w:lang w:val="es-PR"/>
        </w:rPr>
        <w:t xml:space="preserve"> las Comisiones de Asuntos Municipales; y de Hacienda</w:t>
      </w:r>
    </w:p>
    <w:p w14:paraId="6D8A4821" w14:textId="77777777" w:rsidR="00A22D3B" w:rsidRPr="00A22D3B" w:rsidRDefault="00A22D3B" w:rsidP="0087214A">
      <w:pPr>
        <w:jc w:val="center"/>
        <w:rPr>
          <w:rFonts w:ascii="Book Antiqua" w:eastAsia="Book Antiqua" w:hAnsi="Book Antiqua" w:cs="Book Antiqua"/>
          <w:i/>
          <w:color w:val="000000" w:themeColor="text1"/>
          <w:lang w:val="es-PR"/>
        </w:rPr>
      </w:pPr>
    </w:p>
    <w:p w14:paraId="2F72E3EA" w14:textId="77777777" w:rsidR="0086165E" w:rsidRDefault="0099207B" w:rsidP="0087214A">
      <w:pPr>
        <w:jc w:val="center"/>
        <w:rPr>
          <w:rFonts w:ascii="Book Antiqua" w:eastAsia="Book Antiqua" w:hAnsi="Book Antiqua" w:cs="Book Antiqua"/>
          <w:b/>
          <w:color w:val="000000" w:themeColor="text1"/>
          <w:sz w:val="28"/>
          <w:szCs w:val="28"/>
          <w:lang w:val="es-PR"/>
        </w:rPr>
      </w:pPr>
      <w:r>
        <w:rPr>
          <w:rFonts w:ascii="Book Antiqua" w:eastAsia="Book Antiqua" w:hAnsi="Book Antiqua" w:cs="Book Antiqua"/>
          <w:b/>
          <w:color w:val="000000" w:themeColor="text1"/>
          <w:sz w:val="28"/>
          <w:szCs w:val="28"/>
          <w:lang w:val="es-PR"/>
        </w:rPr>
        <w:t>LEY</w:t>
      </w:r>
    </w:p>
    <w:p w14:paraId="2F72E3EB" w14:textId="77777777" w:rsidR="0086165E" w:rsidRDefault="0086165E" w:rsidP="0087214A">
      <w:pPr>
        <w:jc w:val="both"/>
        <w:rPr>
          <w:rFonts w:ascii="Book Antiqua" w:eastAsia="Book Antiqua" w:hAnsi="Book Antiqua" w:cs="Book Antiqua"/>
          <w:color w:val="000000" w:themeColor="text1"/>
          <w:lang w:val="es-PR"/>
        </w:rPr>
      </w:pPr>
    </w:p>
    <w:p w14:paraId="7AFBEFF6" w14:textId="1F2EE07C" w:rsidR="000E0C97" w:rsidRPr="009710CA" w:rsidRDefault="0099207B" w:rsidP="0087214A">
      <w:pPr>
        <w:ind w:left="540" w:hanging="540"/>
        <w:jc w:val="both"/>
        <w:rPr>
          <w:rFonts w:ascii="Book Antiqua" w:hAnsi="Book Antiqua"/>
          <w:color w:val="000000" w:themeColor="text1"/>
          <w:lang w:val="es-PR" w:eastAsia="es-PR"/>
        </w:rPr>
      </w:pPr>
      <w:r w:rsidRPr="009710CA">
        <w:rPr>
          <w:rFonts w:ascii="Book Antiqua" w:eastAsia="Book Antiqua" w:hAnsi="Book Antiqua" w:cs="Book Antiqua"/>
          <w:color w:val="000000" w:themeColor="text1"/>
          <w:lang w:val="es-PR"/>
        </w:rPr>
        <w:t xml:space="preserve">Para </w:t>
      </w:r>
      <w:r w:rsidR="0036466D" w:rsidRPr="009710CA">
        <w:rPr>
          <w:rFonts w:ascii="Book Antiqua" w:hAnsi="Book Antiqua"/>
          <w:color w:val="000000" w:themeColor="text1"/>
          <w:lang w:val="es-PR"/>
        </w:rPr>
        <w:t xml:space="preserve">enmendar </w:t>
      </w:r>
      <w:bookmarkStart w:id="2" w:name="_Hlk19787265"/>
      <w:r w:rsidR="0036466D" w:rsidRPr="009710CA">
        <w:rPr>
          <w:rFonts w:ascii="Book Antiqua" w:hAnsi="Book Antiqua"/>
          <w:color w:val="000000" w:themeColor="text1"/>
          <w:lang w:val="es-PR"/>
        </w:rPr>
        <w:t xml:space="preserve">los Artículos 7.138, 7.148 y 7.162 de la Ley 107-2020, según enmendada, conocida como “Código Municipal de Puerto Rico”, </w:t>
      </w:r>
      <w:bookmarkStart w:id="3" w:name="_Hlk19787651"/>
      <w:bookmarkEnd w:id="2"/>
      <w:r w:rsidR="0036466D" w:rsidRPr="009710CA">
        <w:rPr>
          <w:rFonts w:ascii="Book Antiqua" w:hAnsi="Book Antiqua"/>
          <w:color w:val="000000" w:themeColor="text1"/>
          <w:lang w:val="es-PR"/>
        </w:rPr>
        <w:t xml:space="preserve">a los fines de fijar para los años </w:t>
      </w:r>
      <w:r w:rsidR="0036466D" w:rsidRPr="00A06370">
        <w:rPr>
          <w:rFonts w:ascii="Book Antiqua" w:hAnsi="Book Antiqua"/>
          <w:strike/>
          <w:color w:val="000000" w:themeColor="text1"/>
          <w:lang w:val="es-PR"/>
        </w:rPr>
        <w:t>fiscales</w:t>
      </w:r>
      <w:r w:rsidR="00A06370">
        <w:rPr>
          <w:rFonts w:ascii="Book Antiqua" w:hAnsi="Book Antiqua"/>
          <w:color w:val="000000" w:themeColor="text1"/>
          <w:u w:val="single"/>
          <w:lang w:val="es-PR"/>
        </w:rPr>
        <w:t xml:space="preserve"> </w:t>
      </w:r>
      <w:r w:rsidR="00A06370" w:rsidRPr="00867761">
        <w:rPr>
          <w:rFonts w:ascii="Book Antiqua" w:hAnsi="Book Antiqua"/>
          <w:i/>
          <w:iCs/>
          <w:color w:val="000000" w:themeColor="text1"/>
          <w:u w:val="single"/>
          <w:lang w:val="es-PR"/>
        </w:rPr>
        <w:t>contributivos</w:t>
      </w:r>
      <w:r w:rsidR="0036466D" w:rsidRPr="00867761">
        <w:rPr>
          <w:rFonts w:ascii="Book Antiqua" w:hAnsi="Book Antiqua"/>
          <w:i/>
          <w:iCs/>
          <w:color w:val="000000" w:themeColor="text1"/>
          <w:lang w:val="es-PR"/>
        </w:rPr>
        <w:t xml:space="preserve"> </w:t>
      </w:r>
      <w:r w:rsidR="0036466D" w:rsidRPr="00A06370">
        <w:rPr>
          <w:rFonts w:ascii="Book Antiqua" w:hAnsi="Book Antiqua"/>
          <w:strike/>
          <w:color w:val="000000" w:themeColor="text1"/>
          <w:lang w:val="es-PR"/>
        </w:rPr>
        <w:t>2024 al 2028</w:t>
      </w:r>
      <w:r w:rsidR="00A06370">
        <w:rPr>
          <w:rFonts w:ascii="Book Antiqua" w:hAnsi="Book Antiqua"/>
          <w:strike/>
          <w:color w:val="000000" w:themeColor="text1"/>
          <w:lang w:val="es-PR"/>
        </w:rPr>
        <w:t xml:space="preserve"> </w:t>
      </w:r>
      <w:r w:rsidR="00A06370" w:rsidRPr="00867761">
        <w:rPr>
          <w:rFonts w:ascii="Book Antiqua" w:hAnsi="Book Antiqua"/>
          <w:i/>
          <w:iCs/>
          <w:color w:val="000000" w:themeColor="text1"/>
          <w:u w:val="single"/>
          <w:lang w:val="es-PR"/>
        </w:rPr>
        <w:t>2025-2027</w:t>
      </w:r>
      <w:r w:rsidR="0036466D" w:rsidRPr="009710CA">
        <w:rPr>
          <w:rFonts w:ascii="Book Antiqua" w:hAnsi="Book Antiqua"/>
          <w:color w:val="000000" w:themeColor="text1"/>
          <w:lang w:val="es-PR"/>
        </w:rPr>
        <w:t xml:space="preserve">, la imposición contributiva sobre el valor del inventario a base de un promedio de valoración de inventarios y de la tasa de contribución vigente para el año </w:t>
      </w:r>
      <w:r w:rsidR="0036466D" w:rsidRPr="00A06370">
        <w:rPr>
          <w:rFonts w:ascii="Book Antiqua" w:hAnsi="Book Antiqua"/>
          <w:strike/>
          <w:color w:val="000000" w:themeColor="text1"/>
          <w:lang w:val="es-PR"/>
        </w:rPr>
        <w:t>2024-2025</w:t>
      </w:r>
      <w:r w:rsidR="00A06370">
        <w:rPr>
          <w:rFonts w:ascii="Book Antiqua" w:hAnsi="Book Antiqua"/>
          <w:strike/>
          <w:color w:val="000000" w:themeColor="text1"/>
          <w:lang w:val="es-PR"/>
        </w:rPr>
        <w:t xml:space="preserve"> </w:t>
      </w:r>
      <w:r w:rsidR="00A06370" w:rsidRPr="00867761">
        <w:rPr>
          <w:rFonts w:ascii="Book Antiqua" w:hAnsi="Book Antiqua"/>
          <w:i/>
          <w:iCs/>
          <w:color w:val="000000" w:themeColor="text1"/>
          <w:u w:val="single"/>
          <w:lang w:val="es-PR"/>
        </w:rPr>
        <w:t>2025-2026</w:t>
      </w:r>
      <w:r w:rsidR="0036466D" w:rsidRPr="009710CA">
        <w:rPr>
          <w:rFonts w:ascii="Book Antiqua" w:hAnsi="Book Antiqua"/>
          <w:color w:val="000000" w:themeColor="text1"/>
          <w:lang w:val="es-PR"/>
        </w:rPr>
        <w:t xml:space="preserve">, según publicada por el Centro de Recaudación de Ingresos Municipales; para otorgar al Centro de Recaudación de Ingresos Municipales la facultad de requerir al Departamento de Hacienda aquella información o datos pertenecientes a los contribuyentes del Centro de Recaudación de Ingresos Municipales, sin que </w:t>
      </w:r>
      <w:r w:rsidR="001F0EB9" w:rsidRPr="009710CA">
        <w:rPr>
          <w:rFonts w:ascii="Book Antiqua" w:hAnsi="Book Antiqua"/>
          <w:color w:val="000000" w:themeColor="text1"/>
          <w:lang w:val="es-PR"/>
        </w:rPr>
        <w:t>e</w:t>
      </w:r>
      <w:r w:rsidR="0036466D" w:rsidRPr="009710CA">
        <w:rPr>
          <w:rFonts w:ascii="Book Antiqua" w:hAnsi="Book Antiqua"/>
          <w:color w:val="000000" w:themeColor="text1"/>
          <w:lang w:val="es-PR"/>
        </w:rPr>
        <w:t>sta se entienda c</w:t>
      </w:r>
      <w:r w:rsidR="001F0EB9" w:rsidRPr="009710CA">
        <w:rPr>
          <w:rFonts w:ascii="Book Antiqua" w:hAnsi="Book Antiqua"/>
          <w:color w:val="000000" w:themeColor="text1"/>
          <w:lang w:val="es-PR"/>
        </w:rPr>
        <w:t>o</w:t>
      </w:r>
      <w:r w:rsidR="0036466D" w:rsidRPr="009710CA">
        <w:rPr>
          <w:rFonts w:ascii="Book Antiqua" w:hAnsi="Book Antiqua"/>
          <w:color w:val="000000" w:themeColor="text1"/>
          <w:lang w:val="es-PR"/>
        </w:rPr>
        <w:t xml:space="preserve">mo una renuncia a las obligaciones del Departamento o del Gobierno de Puerto Rico para con el Servicio de Rentas Internas de Estados Unidos, todo lo cual permitirá tener un mecanismo </w:t>
      </w:r>
      <w:r w:rsidR="0036466D" w:rsidRPr="009710CA">
        <w:rPr>
          <w:rFonts w:ascii="Book Antiqua" w:hAnsi="Book Antiqua"/>
          <w:color w:val="000000" w:themeColor="text1"/>
          <w:lang w:val="es-PR"/>
        </w:rPr>
        <w:lastRenderedPageBreak/>
        <w:t>que resuelva finalmente la sustitución del impuesto al inventario</w:t>
      </w:r>
      <w:bookmarkEnd w:id="3"/>
      <w:r w:rsidR="0036466D" w:rsidRPr="009710CA">
        <w:rPr>
          <w:rFonts w:ascii="Book Antiqua" w:hAnsi="Book Antiqua"/>
          <w:color w:val="000000" w:themeColor="text1"/>
          <w:lang w:val="es-PR"/>
        </w:rPr>
        <w:t>; y para otros fines relacionados</w:t>
      </w:r>
      <w:r w:rsidR="0036466D" w:rsidRPr="009710CA">
        <w:rPr>
          <w:rFonts w:ascii="Book Antiqua" w:hAnsi="Book Antiqua"/>
          <w:color w:val="000000" w:themeColor="text1"/>
          <w:lang w:val="es-PR" w:eastAsia="es-PR"/>
        </w:rPr>
        <w:t>.</w:t>
      </w:r>
    </w:p>
    <w:p w14:paraId="27D49318" w14:textId="6FCEBDBE" w:rsidR="00A22D3B" w:rsidRPr="009710CA" w:rsidRDefault="00A22D3B" w:rsidP="0087214A">
      <w:pPr>
        <w:jc w:val="center"/>
        <w:rPr>
          <w:rFonts w:ascii="Book Antiqua" w:hAnsi="Book Antiqua"/>
          <w:bCs/>
          <w:lang w:val="es-PR"/>
        </w:rPr>
      </w:pPr>
      <w:r w:rsidRPr="009710CA">
        <w:rPr>
          <w:rFonts w:ascii="Book Antiqua" w:hAnsi="Book Antiqua"/>
          <w:bCs/>
          <w:lang w:val="es-PR"/>
        </w:rPr>
        <w:t>EXPOSICIÓN DE MOTIVOS</w:t>
      </w:r>
    </w:p>
    <w:p w14:paraId="43A7CB5F" w14:textId="77777777" w:rsidR="00A22D3B" w:rsidRPr="009710CA" w:rsidRDefault="00A22D3B" w:rsidP="0087214A">
      <w:pPr>
        <w:jc w:val="center"/>
        <w:rPr>
          <w:rFonts w:ascii="Book Antiqua" w:hAnsi="Book Antiqua"/>
          <w:bCs/>
          <w:lang w:val="es-PR"/>
        </w:rPr>
      </w:pPr>
    </w:p>
    <w:p w14:paraId="2FA3CA03" w14:textId="77777777" w:rsidR="00A06370" w:rsidRPr="00420BF8" w:rsidRDefault="00A06370" w:rsidP="00A06370">
      <w:pPr>
        <w:jc w:val="both"/>
        <w:rPr>
          <w:rFonts w:ascii="Book Antiqua" w:hAnsi="Book Antiqua"/>
          <w:i/>
          <w:iCs/>
          <w:color w:val="000000" w:themeColor="text1"/>
          <w:u w:val="single"/>
          <w:lang w:val="es-PR"/>
        </w:rPr>
      </w:pPr>
      <w:r w:rsidRPr="00420BF8">
        <w:rPr>
          <w:rFonts w:ascii="Book Antiqua" w:hAnsi="Book Antiqua"/>
          <w:i/>
          <w:iCs/>
          <w:color w:val="000000" w:themeColor="text1"/>
          <w:u w:val="single"/>
          <w:lang w:val="es-PR"/>
        </w:rPr>
        <w:t>Los Municipios son una piedra angular en la prestación de servicios esenciales a la población.  Éstos son la unidad básica de organización territorial y administrativa en muchos países del mundo, y son responsables, en la mayoría de los casos, de proporcionar servicios públicos esenciales y directos a los ciudadanos dentro de su demarcación territorial.  Los servicios esenciales que éstos proporcionan incluyen, pero no se limitan, a: (1) recogido y disposición de desperdicios sólidos, (2) transporte colectivo público local, (3) servicios y programas de prevención y promoción de la salud, (4) proyectos de protección y seguridad pública, (5) urbanismo y planificación territorial, (6) promoción del deporte y la cultura; (7) apoyo a los programas de amas de llaves y cuidado a envejecientes; y (8) mantenimiento de áreas verdes, parques y escuelas; entre otros.</w:t>
      </w:r>
    </w:p>
    <w:p w14:paraId="39899D3F" w14:textId="77777777" w:rsidR="00A06370" w:rsidRPr="00A06370" w:rsidRDefault="00A06370" w:rsidP="00A06370">
      <w:pPr>
        <w:jc w:val="both"/>
        <w:rPr>
          <w:rFonts w:ascii="Book Antiqua" w:hAnsi="Book Antiqua"/>
          <w:color w:val="000000" w:themeColor="text1"/>
          <w:u w:val="single"/>
          <w:lang w:val="es-PR"/>
        </w:rPr>
      </w:pPr>
    </w:p>
    <w:p w14:paraId="6F6250A7" w14:textId="77777777" w:rsidR="00A06370" w:rsidRPr="00A06370" w:rsidRDefault="00A06370" w:rsidP="00A06370">
      <w:pPr>
        <w:jc w:val="both"/>
        <w:rPr>
          <w:rFonts w:ascii="Book Antiqua" w:hAnsi="Book Antiqua"/>
          <w:color w:val="000000" w:themeColor="text1"/>
          <w:u w:val="single"/>
          <w:lang w:val="es-PR"/>
        </w:rPr>
      </w:pPr>
      <w:r w:rsidRPr="00420BF8">
        <w:rPr>
          <w:rFonts w:ascii="Book Antiqua" w:hAnsi="Book Antiqua"/>
          <w:i/>
          <w:iCs/>
          <w:color w:val="000000" w:themeColor="text1"/>
          <w:u w:val="single"/>
          <w:lang w:val="es-PR"/>
        </w:rPr>
        <w:t xml:space="preserve">La importancia de los Municipios en la prestación de estos servicios esenciales se debe a la cercanía e inmediatez con los ciudadanos. Son éstos, básicamente, la primera línea de atención a las necesidades de la población. Los Municipios tienen una comprensión profunda de las necesidades de su población y pueden proporcionar servicios personalizados y adaptados a las necesidades locales.  Además, los Municipios son responsables de garantizar la calidad y la accesibilidad de los servicios públicos en su área de jurisdicción. Para ello, deben invertir en infraestructuras y recursos humanos adecuados, así como en tecnologías y sistemas eficientes de gestión y control.  Es por ello </w:t>
      </w:r>
      <w:proofErr w:type="gramStart"/>
      <w:r w:rsidRPr="00420BF8">
        <w:rPr>
          <w:rFonts w:ascii="Book Antiqua" w:hAnsi="Book Antiqua"/>
          <w:i/>
          <w:iCs/>
          <w:color w:val="000000" w:themeColor="text1"/>
          <w:u w:val="single"/>
          <w:lang w:val="es-PR"/>
        </w:rPr>
        <w:t>que</w:t>
      </w:r>
      <w:proofErr w:type="gramEnd"/>
      <w:r w:rsidRPr="00420BF8">
        <w:rPr>
          <w:rFonts w:ascii="Book Antiqua" w:hAnsi="Book Antiqua"/>
          <w:i/>
          <w:iCs/>
          <w:color w:val="000000" w:themeColor="text1"/>
          <w:u w:val="single"/>
          <w:lang w:val="es-PR"/>
        </w:rPr>
        <w:t xml:space="preserve"> se reconoce que los Municipios son un brazo importante en nuestra estructura gubernamental</w:t>
      </w:r>
      <w:r w:rsidRPr="00A06370">
        <w:rPr>
          <w:rFonts w:ascii="Book Antiqua" w:hAnsi="Book Antiqua"/>
          <w:color w:val="000000" w:themeColor="text1"/>
          <w:u w:val="single"/>
          <w:lang w:val="es-PR"/>
        </w:rPr>
        <w:t xml:space="preserve">. </w:t>
      </w:r>
    </w:p>
    <w:p w14:paraId="29BCFD8C" w14:textId="77777777" w:rsidR="00A06370" w:rsidRPr="00A06370" w:rsidRDefault="00A06370" w:rsidP="00A06370">
      <w:pPr>
        <w:jc w:val="both"/>
        <w:rPr>
          <w:rFonts w:ascii="Book Antiqua" w:hAnsi="Book Antiqua"/>
          <w:color w:val="000000" w:themeColor="text1"/>
          <w:u w:val="single"/>
          <w:lang w:val="es-PR"/>
        </w:rPr>
      </w:pPr>
    </w:p>
    <w:p w14:paraId="08784845" w14:textId="5257A678" w:rsidR="00A06370" w:rsidRPr="00420BF8" w:rsidRDefault="00A06370" w:rsidP="00A06370">
      <w:pPr>
        <w:jc w:val="both"/>
        <w:rPr>
          <w:rFonts w:ascii="Book Antiqua" w:hAnsi="Book Antiqua"/>
          <w:i/>
          <w:iCs/>
          <w:color w:val="000000" w:themeColor="text1"/>
          <w:u w:val="single"/>
          <w:lang w:val="es-PR"/>
        </w:rPr>
      </w:pPr>
      <w:r w:rsidRPr="00420BF8">
        <w:rPr>
          <w:rFonts w:ascii="Book Antiqua" w:hAnsi="Book Antiqua"/>
          <w:i/>
          <w:iCs/>
          <w:color w:val="000000" w:themeColor="text1"/>
          <w:u w:val="single"/>
          <w:lang w:val="es-PR"/>
        </w:rPr>
        <w:t>El tiempo ha demostrado que estos, más allá de proveer servicios simples, aportan significativamente a solucionar los problemas de la ciudadanía.  Sin éstos, se verían afectados los servicios a la población. En vista de lo anterior y a modo de garantizar los servicios que éstos proveen a la ciudadanía, el Código Municipal de Puerto Rico concede amplias facultades a los municipios; entre las cuales se encuentra la de imponer una contribución sobre la propiedad mueble.  El objetivo de este impuesto es generar ingresos fiscales a los gobiernos locales para proveer servicios esenciales y financiar proyectos y programas de interés público.</w:t>
      </w:r>
    </w:p>
    <w:p w14:paraId="1C48801D" w14:textId="77777777" w:rsidR="00A06370" w:rsidRDefault="00A06370" w:rsidP="00A06370">
      <w:pPr>
        <w:jc w:val="both"/>
        <w:rPr>
          <w:rFonts w:ascii="Book Antiqua" w:hAnsi="Book Antiqua"/>
          <w:color w:val="000000" w:themeColor="text1"/>
          <w:lang w:val="es-PR"/>
        </w:rPr>
      </w:pPr>
    </w:p>
    <w:p w14:paraId="028E1356" w14:textId="5871DCC5" w:rsidR="0036466D" w:rsidRPr="009710CA" w:rsidRDefault="0036466D" w:rsidP="0087214A">
      <w:pPr>
        <w:jc w:val="both"/>
        <w:rPr>
          <w:rFonts w:ascii="Book Antiqua" w:hAnsi="Book Antiqua"/>
          <w:color w:val="000000" w:themeColor="text1"/>
          <w:lang w:val="es-PR"/>
        </w:rPr>
      </w:pPr>
      <w:r w:rsidRPr="009710CA">
        <w:rPr>
          <w:rFonts w:ascii="Book Antiqua" w:hAnsi="Book Antiqua"/>
          <w:color w:val="000000" w:themeColor="text1"/>
          <w:lang w:val="es-PR"/>
        </w:rPr>
        <w:t xml:space="preserve">El impuesto sobre los inventarios </w:t>
      </w:r>
      <w:r w:rsidR="00A06370" w:rsidRPr="00A06370">
        <w:rPr>
          <w:rFonts w:ascii="Book Antiqua" w:hAnsi="Book Antiqua"/>
          <w:color w:val="000000" w:themeColor="text1"/>
          <w:lang w:val="es-PR"/>
        </w:rPr>
        <w:t xml:space="preserve">es </w:t>
      </w:r>
      <w:r w:rsidR="00A06370" w:rsidRPr="00420BF8">
        <w:rPr>
          <w:rFonts w:ascii="Book Antiqua" w:hAnsi="Book Antiqua"/>
          <w:i/>
          <w:iCs/>
          <w:color w:val="000000" w:themeColor="text1"/>
          <w:u w:val="single"/>
          <w:lang w:val="es-PR"/>
        </w:rPr>
        <w:t xml:space="preserve">un reglón de la contribución sobre la propiedad mueble, que representa </w:t>
      </w:r>
      <w:r w:rsidRPr="00420BF8">
        <w:rPr>
          <w:rFonts w:ascii="Book Antiqua" w:hAnsi="Book Antiqua"/>
          <w:i/>
          <w:iCs/>
          <w:color w:val="000000" w:themeColor="text1"/>
          <w:u w:val="single"/>
          <w:lang w:val="es-PR"/>
        </w:rPr>
        <w:t>un</w:t>
      </w:r>
      <w:r w:rsidR="00AF33A2">
        <w:rPr>
          <w:rFonts w:ascii="Book Antiqua" w:hAnsi="Book Antiqua"/>
          <w:i/>
          <w:iCs/>
          <w:color w:val="000000" w:themeColor="text1"/>
          <w:u w:val="single"/>
          <w:lang w:val="es-PR"/>
        </w:rPr>
        <w:t>a fuente de ingreso</w:t>
      </w:r>
      <w:r w:rsidRPr="009710CA">
        <w:rPr>
          <w:rFonts w:ascii="Book Antiqua" w:hAnsi="Book Antiqua"/>
          <w:color w:val="000000" w:themeColor="text1"/>
          <w:lang w:val="es-PR"/>
        </w:rPr>
        <w:t xml:space="preserve"> </w:t>
      </w:r>
      <w:r w:rsidRPr="00A06370">
        <w:rPr>
          <w:rFonts w:ascii="Book Antiqua" w:hAnsi="Book Antiqua"/>
          <w:strike/>
          <w:color w:val="000000" w:themeColor="text1"/>
          <w:lang w:val="es-PR"/>
        </w:rPr>
        <w:t>de las distintas</w:t>
      </w:r>
      <w:r w:rsidRPr="009710CA">
        <w:rPr>
          <w:rFonts w:ascii="Book Antiqua" w:hAnsi="Book Antiqua"/>
          <w:color w:val="000000" w:themeColor="text1"/>
          <w:lang w:val="es-PR"/>
        </w:rPr>
        <w:t xml:space="preserve"> </w:t>
      </w:r>
      <w:r w:rsidRPr="00AF33A2">
        <w:rPr>
          <w:rFonts w:ascii="Book Antiqua" w:hAnsi="Book Antiqua"/>
          <w:strike/>
          <w:color w:val="000000" w:themeColor="text1"/>
          <w:lang w:val="es-PR"/>
        </w:rPr>
        <w:t>fuentes de ingresos</w:t>
      </w:r>
      <w:r w:rsidRPr="009710CA">
        <w:rPr>
          <w:rFonts w:ascii="Book Antiqua" w:hAnsi="Book Antiqua"/>
          <w:color w:val="000000" w:themeColor="text1"/>
          <w:lang w:val="es-PR"/>
        </w:rPr>
        <w:t xml:space="preserve"> para los municipios de Puerto Rico.  Sin embargo, hay quienes plantean que éste pudiera ser un impedimento para que se mantengan abastos robustos en nuestro archipiélago al requerir pago sobre las mercancías almacenadas, aun cuando los productos no se han vendido. </w:t>
      </w:r>
    </w:p>
    <w:p w14:paraId="1F887986" w14:textId="77777777" w:rsidR="0036466D" w:rsidRPr="009710CA" w:rsidRDefault="0036466D" w:rsidP="0087214A">
      <w:pPr>
        <w:ind w:firstLine="720"/>
        <w:jc w:val="both"/>
        <w:rPr>
          <w:rFonts w:ascii="Book Antiqua" w:hAnsi="Book Antiqua"/>
          <w:color w:val="000000" w:themeColor="text1"/>
          <w:lang w:val="es-PR"/>
        </w:rPr>
      </w:pPr>
    </w:p>
    <w:p w14:paraId="51AAD4C2" w14:textId="42805BE1" w:rsidR="0036466D" w:rsidRPr="009710CA" w:rsidRDefault="0036466D" w:rsidP="0087214A">
      <w:pPr>
        <w:jc w:val="both"/>
        <w:rPr>
          <w:rFonts w:ascii="Book Antiqua" w:hAnsi="Book Antiqua"/>
          <w:color w:val="000000" w:themeColor="text1"/>
          <w:lang w:val="es-PR"/>
        </w:rPr>
      </w:pPr>
      <w:r w:rsidRPr="009710CA">
        <w:rPr>
          <w:rFonts w:ascii="Book Antiqua" w:hAnsi="Book Antiqua"/>
          <w:color w:val="000000" w:themeColor="text1"/>
          <w:lang w:val="es-PR"/>
        </w:rPr>
        <w:t>En Puerto Rico, la gran mayoría de los productos de consumo son importados, por lo que es esencial que tengamos suficientes abastos de alimentos, medicinas, equipos de emergencia y de primera necesidad, piezas de reemplazo, entre otros. Esto, no sólo para poder atender adecuadamente cualquier emergencia que ponga en riesgo o dificulte la entrada de nuevos suministros sino para garantizar acceso contin</w:t>
      </w:r>
      <w:r w:rsidR="001F0EB9" w:rsidRPr="009710CA">
        <w:rPr>
          <w:rFonts w:ascii="Book Antiqua" w:hAnsi="Book Antiqua"/>
          <w:color w:val="000000" w:themeColor="text1"/>
          <w:lang w:val="es-PR"/>
        </w:rPr>
        <w:t>u</w:t>
      </w:r>
      <w:r w:rsidRPr="009710CA">
        <w:rPr>
          <w:rFonts w:ascii="Book Antiqua" w:hAnsi="Book Antiqua"/>
          <w:color w:val="000000" w:themeColor="text1"/>
          <w:lang w:val="es-PR"/>
        </w:rPr>
        <w:t xml:space="preserve">o a bienes y productos.   </w:t>
      </w:r>
    </w:p>
    <w:p w14:paraId="21B10778" w14:textId="77777777" w:rsidR="0036466D" w:rsidRPr="009710CA" w:rsidRDefault="0036466D" w:rsidP="0087214A">
      <w:pPr>
        <w:ind w:firstLine="720"/>
        <w:jc w:val="both"/>
        <w:rPr>
          <w:rFonts w:ascii="Book Antiqua" w:hAnsi="Book Antiqua"/>
          <w:color w:val="000000" w:themeColor="text1"/>
          <w:lang w:val="es-PR"/>
        </w:rPr>
      </w:pPr>
    </w:p>
    <w:p w14:paraId="1F785D23" w14:textId="77777777" w:rsidR="0036466D" w:rsidRPr="009710CA" w:rsidRDefault="0036466D" w:rsidP="0087214A">
      <w:pPr>
        <w:jc w:val="both"/>
        <w:rPr>
          <w:rFonts w:ascii="Book Antiqua" w:hAnsi="Book Antiqua"/>
          <w:color w:val="000000" w:themeColor="text1"/>
          <w:lang w:val="es-PR"/>
        </w:rPr>
      </w:pPr>
      <w:r w:rsidRPr="009710CA">
        <w:rPr>
          <w:rFonts w:ascii="Book Antiqua" w:hAnsi="Book Antiqua"/>
          <w:color w:val="000000" w:themeColor="text1"/>
          <w:lang w:val="es-PR"/>
        </w:rPr>
        <w:t xml:space="preserve">Es política pública del Gobierno buscar alternativas, junto al sector privado y municipios, para garantizar la disponibilidad de mayores abastos de mercancías, fortaleciendo así la capacidad de respuesta ante situaciones de emergencia, así como para el consumo de la población, asegurando el bienestar de nuestras familias. Este impuesto tiene el efecto directo sobre la inflación en el bolsillo del consumidor puertorriqueño. Sin embargo, no podemos perder de perspectiva que sus ingresos son una fuente de recursos para que los setenta y ocho municipios puedan ofrecer servicios directos a nuestra gente. Por tal razón, entendemos que necesitamos buscar alternativas que provoquen un verdadero balance: los recursos que necesitan los ayuntamientos para satisfacer las necesidades de nuestra población, pero sin que la imposición afecte la disponibilidad de bienes y servicios para nuestra ciudadanía. </w:t>
      </w:r>
    </w:p>
    <w:p w14:paraId="6799D9AF" w14:textId="77777777" w:rsidR="0036466D" w:rsidRPr="009710CA" w:rsidRDefault="0036466D" w:rsidP="0087214A">
      <w:pPr>
        <w:jc w:val="both"/>
        <w:rPr>
          <w:rFonts w:ascii="Book Antiqua" w:hAnsi="Book Antiqua"/>
          <w:color w:val="000000" w:themeColor="text1"/>
          <w:lang w:val="es-PR"/>
        </w:rPr>
      </w:pPr>
    </w:p>
    <w:p w14:paraId="1D3D0CD9" w14:textId="50F96E04" w:rsidR="0036466D" w:rsidRDefault="0036466D" w:rsidP="009710CA">
      <w:pPr>
        <w:jc w:val="both"/>
        <w:rPr>
          <w:rFonts w:ascii="Book Antiqua" w:hAnsi="Book Antiqua"/>
          <w:color w:val="000000" w:themeColor="text1"/>
          <w:lang w:val="es-PR"/>
        </w:rPr>
      </w:pPr>
      <w:r w:rsidRPr="009710CA">
        <w:rPr>
          <w:rFonts w:ascii="Book Antiqua" w:hAnsi="Book Antiqua"/>
          <w:color w:val="000000" w:themeColor="text1"/>
          <w:lang w:val="es-PR"/>
        </w:rPr>
        <w:t xml:space="preserve">Con todas estas enmiendas, se brinda certeza contributiva a los comerciantes, </w:t>
      </w:r>
      <w:r w:rsidR="00867761" w:rsidRPr="006754B5">
        <w:rPr>
          <w:rFonts w:ascii="Book Antiqua" w:hAnsi="Book Antiqua"/>
          <w:strike/>
          <w:color w:val="000000" w:themeColor="text1"/>
          <w:lang w:val="es-PR"/>
        </w:rPr>
        <w:t>congelando</w:t>
      </w:r>
      <w:r w:rsidR="00867761">
        <w:rPr>
          <w:rFonts w:ascii="Book Antiqua" w:hAnsi="Book Antiqua"/>
          <w:color w:val="000000" w:themeColor="text1"/>
          <w:u w:val="single"/>
          <w:lang w:val="es-PR"/>
        </w:rPr>
        <w:t xml:space="preserve">, </w:t>
      </w:r>
      <w:r w:rsidR="00867761" w:rsidRPr="00420BF8">
        <w:rPr>
          <w:rFonts w:ascii="Book Antiqua" w:hAnsi="Book Antiqua"/>
          <w:i/>
          <w:iCs/>
          <w:color w:val="000000" w:themeColor="text1"/>
          <w:u w:val="single"/>
          <w:lang w:val="es-PR"/>
        </w:rPr>
        <w:t>fijando</w:t>
      </w:r>
      <w:r w:rsidRPr="009710CA">
        <w:rPr>
          <w:rFonts w:ascii="Book Antiqua" w:hAnsi="Book Antiqua"/>
          <w:color w:val="000000" w:themeColor="text1"/>
          <w:lang w:val="es-PR"/>
        </w:rPr>
        <w:t xml:space="preserve">, por los próximos </w:t>
      </w:r>
      <w:r w:rsidRPr="00712EC8">
        <w:rPr>
          <w:rFonts w:ascii="Book Antiqua" w:hAnsi="Book Antiqua"/>
          <w:strike/>
          <w:color w:val="000000" w:themeColor="text1"/>
          <w:lang w:val="es-PR"/>
        </w:rPr>
        <w:t>cinco (5)</w:t>
      </w:r>
      <w:r w:rsidRPr="009710CA">
        <w:rPr>
          <w:rFonts w:ascii="Book Antiqua" w:hAnsi="Book Antiqua"/>
          <w:color w:val="000000" w:themeColor="text1"/>
          <w:lang w:val="es-PR"/>
        </w:rPr>
        <w:t xml:space="preserve"> </w:t>
      </w:r>
      <w:r w:rsidR="006754B5" w:rsidRPr="00420BF8">
        <w:rPr>
          <w:rFonts w:ascii="Book Antiqua" w:hAnsi="Book Antiqua"/>
          <w:i/>
          <w:iCs/>
          <w:color w:val="000000" w:themeColor="text1"/>
          <w:u w:val="single"/>
          <w:lang w:val="es-PR"/>
        </w:rPr>
        <w:t>tres (3)</w:t>
      </w:r>
      <w:r w:rsidR="00420BF8">
        <w:rPr>
          <w:rFonts w:ascii="Book Antiqua" w:hAnsi="Book Antiqua"/>
          <w:i/>
          <w:iCs/>
          <w:color w:val="000000" w:themeColor="text1"/>
          <w:u w:val="single"/>
          <w:lang w:val="es-PR"/>
        </w:rPr>
        <w:t xml:space="preserve"> </w:t>
      </w:r>
      <w:r w:rsidRPr="009710CA">
        <w:rPr>
          <w:rFonts w:ascii="Book Antiqua" w:hAnsi="Book Antiqua"/>
          <w:color w:val="000000" w:themeColor="text1"/>
          <w:lang w:val="es-PR"/>
        </w:rPr>
        <w:t xml:space="preserve">años, su responsabilidad contributiva con respecto </w:t>
      </w:r>
      <w:r w:rsidR="006754B5" w:rsidRPr="00420BF8">
        <w:rPr>
          <w:rFonts w:ascii="Book Antiqua" w:hAnsi="Book Antiqua"/>
          <w:i/>
          <w:iCs/>
          <w:color w:val="000000" w:themeColor="text1"/>
          <w:u w:val="single"/>
          <w:lang w:val="es-PR"/>
        </w:rPr>
        <w:t>al impuesto de</w:t>
      </w:r>
      <w:r w:rsidR="006754B5" w:rsidRPr="006754B5">
        <w:rPr>
          <w:rFonts w:ascii="Book Antiqua" w:hAnsi="Book Antiqua"/>
          <w:color w:val="000000" w:themeColor="text1"/>
          <w:lang w:val="es-PR"/>
        </w:rPr>
        <w:t xml:space="preserve"> </w:t>
      </w:r>
      <w:r w:rsidRPr="006754B5">
        <w:rPr>
          <w:rFonts w:ascii="Book Antiqua" w:hAnsi="Book Antiqua"/>
          <w:strike/>
          <w:color w:val="000000" w:themeColor="text1"/>
          <w:lang w:val="es-PR"/>
        </w:rPr>
        <w:t xml:space="preserve">a </w:t>
      </w:r>
      <w:r w:rsidRPr="006754B5">
        <w:rPr>
          <w:rFonts w:ascii="Book Antiqua" w:hAnsi="Book Antiqua"/>
          <w:color w:val="000000" w:themeColor="text1"/>
          <w:lang w:val="es-PR"/>
        </w:rPr>
        <w:t>la</w:t>
      </w:r>
      <w:r w:rsidRPr="009710CA">
        <w:rPr>
          <w:rFonts w:ascii="Book Antiqua" w:hAnsi="Book Antiqua"/>
          <w:color w:val="000000" w:themeColor="text1"/>
          <w:lang w:val="es-PR"/>
        </w:rPr>
        <w:t xml:space="preserve"> porción de inventario </w:t>
      </w:r>
      <w:r w:rsidRPr="006754B5">
        <w:rPr>
          <w:rFonts w:ascii="Book Antiqua" w:hAnsi="Book Antiqua"/>
          <w:strike/>
          <w:color w:val="000000" w:themeColor="text1"/>
          <w:lang w:val="es-PR"/>
        </w:rPr>
        <w:t>del impuesto</w:t>
      </w:r>
      <w:r w:rsidRPr="009710CA">
        <w:rPr>
          <w:rFonts w:ascii="Book Antiqua" w:hAnsi="Book Antiqua"/>
          <w:color w:val="000000" w:themeColor="text1"/>
          <w:lang w:val="es-PR"/>
        </w:rPr>
        <w:t xml:space="preserve"> </w:t>
      </w:r>
      <w:r w:rsidR="006754B5" w:rsidRPr="00420BF8">
        <w:rPr>
          <w:rFonts w:ascii="Book Antiqua" w:hAnsi="Book Antiqua"/>
          <w:i/>
          <w:iCs/>
          <w:color w:val="000000" w:themeColor="text1"/>
          <w:u w:val="single"/>
          <w:lang w:val="es-PR"/>
        </w:rPr>
        <w:t>de la contribución sobre la</w:t>
      </w:r>
      <w:r w:rsidR="006754B5" w:rsidRPr="006754B5">
        <w:rPr>
          <w:rFonts w:ascii="Book Antiqua" w:hAnsi="Book Antiqua"/>
          <w:color w:val="000000" w:themeColor="text1"/>
          <w:lang w:val="es-PR"/>
        </w:rPr>
        <w:t xml:space="preserve"> </w:t>
      </w:r>
      <w:r w:rsidRPr="006754B5">
        <w:rPr>
          <w:rFonts w:ascii="Book Antiqua" w:hAnsi="Book Antiqua"/>
          <w:strike/>
          <w:color w:val="000000" w:themeColor="text1"/>
          <w:lang w:val="es-PR"/>
        </w:rPr>
        <w:t xml:space="preserve">de </w:t>
      </w:r>
      <w:r w:rsidRPr="009710CA">
        <w:rPr>
          <w:rFonts w:ascii="Book Antiqua" w:hAnsi="Book Antiqua"/>
          <w:color w:val="000000" w:themeColor="text1"/>
          <w:lang w:val="es-PR"/>
        </w:rPr>
        <w:t xml:space="preserve">propiedad </w:t>
      </w:r>
      <w:r w:rsidRPr="006754B5">
        <w:rPr>
          <w:rFonts w:ascii="Book Antiqua" w:hAnsi="Book Antiqua"/>
          <w:strike/>
          <w:color w:val="000000" w:themeColor="text1"/>
          <w:lang w:val="es-PR"/>
        </w:rPr>
        <w:t>de bienes muebles</w:t>
      </w:r>
      <w:r w:rsidR="006754B5">
        <w:rPr>
          <w:rFonts w:ascii="Book Antiqua" w:hAnsi="Book Antiqua"/>
          <w:color w:val="000000" w:themeColor="text1"/>
          <w:lang w:val="es-PR"/>
        </w:rPr>
        <w:t xml:space="preserve"> </w:t>
      </w:r>
      <w:r w:rsidR="006754B5" w:rsidRPr="00420BF8">
        <w:rPr>
          <w:rFonts w:ascii="Book Antiqua" w:hAnsi="Book Antiqua"/>
          <w:i/>
          <w:iCs/>
          <w:color w:val="000000" w:themeColor="text1"/>
          <w:u w:val="single"/>
          <w:lang w:val="es-PR"/>
        </w:rPr>
        <w:t>mueble</w:t>
      </w:r>
      <w:r w:rsidRPr="009710CA">
        <w:rPr>
          <w:rFonts w:ascii="Book Antiqua" w:hAnsi="Book Antiqua"/>
          <w:color w:val="000000" w:themeColor="text1"/>
          <w:lang w:val="es-PR"/>
        </w:rPr>
        <w:t xml:space="preserve">. </w:t>
      </w:r>
      <w:r w:rsidRPr="006754B5">
        <w:rPr>
          <w:rFonts w:ascii="Book Antiqua" w:hAnsi="Book Antiqua"/>
          <w:strike/>
          <w:color w:val="000000" w:themeColor="text1"/>
          <w:lang w:val="es-PR"/>
        </w:rPr>
        <w:t>Así, se</w:t>
      </w:r>
      <w:r w:rsidRPr="009710CA">
        <w:rPr>
          <w:rFonts w:ascii="Book Antiqua" w:hAnsi="Book Antiqua"/>
          <w:color w:val="000000" w:themeColor="text1"/>
          <w:lang w:val="es-PR"/>
        </w:rPr>
        <w:t xml:space="preserve"> </w:t>
      </w:r>
      <w:r w:rsidR="006754B5" w:rsidRPr="00AB2796">
        <w:rPr>
          <w:rFonts w:ascii="Book Antiqua" w:hAnsi="Book Antiqua"/>
          <w:i/>
          <w:iCs/>
          <w:color w:val="000000" w:themeColor="text1"/>
          <w:u w:val="single"/>
          <w:lang w:val="es-PR"/>
        </w:rPr>
        <w:t>Este mecanismo temporero le</w:t>
      </w:r>
      <w:r w:rsidR="006754B5" w:rsidRPr="006754B5">
        <w:rPr>
          <w:rFonts w:ascii="Book Antiqua" w:hAnsi="Book Antiqua"/>
          <w:color w:val="000000" w:themeColor="text1"/>
          <w:lang w:val="es-PR"/>
        </w:rPr>
        <w:t xml:space="preserve"> </w:t>
      </w:r>
      <w:r w:rsidRPr="009710CA">
        <w:rPr>
          <w:rFonts w:ascii="Book Antiqua" w:hAnsi="Book Antiqua"/>
          <w:color w:val="000000" w:themeColor="text1"/>
          <w:lang w:val="es-PR"/>
        </w:rPr>
        <w:t xml:space="preserve">provee a los comerciantes la opción de determinar la imposición contributiva sobre el inventario a base de la tasa vigente para el año fiscal </w:t>
      </w:r>
      <w:r w:rsidRPr="006754B5">
        <w:rPr>
          <w:rFonts w:ascii="Book Antiqua" w:hAnsi="Book Antiqua"/>
          <w:strike/>
          <w:color w:val="000000" w:themeColor="text1"/>
          <w:lang w:val="es-PR"/>
        </w:rPr>
        <w:t>2024-2025</w:t>
      </w:r>
      <w:r w:rsidR="006754B5">
        <w:rPr>
          <w:rFonts w:ascii="Book Antiqua" w:hAnsi="Book Antiqua"/>
          <w:color w:val="000000" w:themeColor="text1"/>
          <w:u w:val="single"/>
          <w:lang w:val="es-PR"/>
        </w:rPr>
        <w:t xml:space="preserve"> </w:t>
      </w:r>
      <w:r w:rsidR="006754B5" w:rsidRPr="00AB2796">
        <w:rPr>
          <w:rFonts w:ascii="Book Antiqua" w:hAnsi="Book Antiqua"/>
          <w:i/>
          <w:iCs/>
          <w:color w:val="000000" w:themeColor="text1"/>
          <w:u w:val="single"/>
          <w:lang w:val="es-PR"/>
        </w:rPr>
        <w:t>2025-2026</w:t>
      </w:r>
      <w:r w:rsidRPr="009710CA">
        <w:rPr>
          <w:rFonts w:ascii="Book Antiqua" w:hAnsi="Book Antiqua"/>
          <w:color w:val="000000" w:themeColor="text1"/>
          <w:lang w:val="es-PR"/>
        </w:rPr>
        <w:t xml:space="preserve"> y sobre un valor de inventario determinado usando el balance</w:t>
      </w:r>
      <w:r w:rsidR="006754B5">
        <w:rPr>
          <w:rFonts w:ascii="Book Antiqua" w:hAnsi="Book Antiqua"/>
          <w:color w:val="000000" w:themeColor="text1"/>
          <w:lang w:val="es-PR"/>
        </w:rPr>
        <w:t xml:space="preserve"> </w:t>
      </w:r>
      <w:r w:rsidR="006754B5" w:rsidRPr="00AB2796">
        <w:rPr>
          <w:rFonts w:ascii="Book Antiqua" w:hAnsi="Book Antiqua"/>
          <w:i/>
          <w:iCs/>
          <w:color w:val="000000" w:themeColor="text1"/>
          <w:u w:val="single"/>
          <w:lang w:val="es-PR"/>
        </w:rPr>
        <w:t>de valoración</w:t>
      </w:r>
      <w:r w:rsidRPr="009710CA">
        <w:rPr>
          <w:rFonts w:ascii="Book Antiqua" w:hAnsi="Book Antiqua"/>
          <w:color w:val="000000" w:themeColor="text1"/>
          <w:lang w:val="es-PR"/>
        </w:rPr>
        <w:t xml:space="preserve"> sujeto a tributación de los tres (3) años inmediatamente anteriores.  La </w:t>
      </w:r>
      <w:r w:rsidR="00E504F0" w:rsidRPr="009710CA">
        <w:rPr>
          <w:rFonts w:ascii="Book Antiqua" w:hAnsi="Book Antiqua"/>
          <w:color w:val="000000" w:themeColor="text1"/>
          <w:lang w:val="es-PR"/>
        </w:rPr>
        <w:t>Ley</w:t>
      </w:r>
      <w:r w:rsidRPr="009710CA">
        <w:rPr>
          <w:rFonts w:ascii="Book Antiqua" w:hAnsi="Book Antiqua"/>
          <w:color w:val="000000" w:themeColor="text1"/>
          <w:lang w:val="es-PR"/>
        </w:rPr>
        <w:t xml:space="preserve"> incluye, además, reglas especiales para determinar la tributación del inventario de negocios nuevos, aclarándose que el término de negocio nuevo no incluye negocios sucesores de entidades afiliadas operando previamente en Puerto Rico.</w:t>
      </w:r>
    </w:p>
    <w:p w14:paraId="2A871DEB" w14:textId="77777777" w:rsidR="009710CA" w:rsidRPr="009710CA" w:rsidRDefault="009710CA" w:rsidP="009710CA">
      <w:pPr>
        <w:jc w:val="both"/>
        <w:rPr>
          <w:rFonts w:ascii="Book Antiqua" w:hAnsi="Book Antiqua"/>
          <w:color w:val="000000" w:themeColor="text1"/>
          <w:lang w:val="es-PR"/>
        </w:rPr>
      </w:pPr>
    </w:p>
    <w:p w14:paraId="4A22AE15" w14:textId="559375E6" w:rsidR="0036466D" w:rsidRPr="007D51C3" w:rsidRDefault="0036466D" w:rsidP="0087214A">
      <w:pPr>
        <w:jc w:val="both"/>
        <w:rPr>
          <w:rFonts w:ascii="Book Antiqua" w:hAnsi="Book Antiqua"/>
          <w:strike/>
          <w:color w:val="000000" w:themeColor="text1"/>
          <w:lang w:val="es-PR"/>
        </w:rPr>
      </w:pPr>
      <w:r w:rsidRPr="007D51C3">
        <w:rPr>
          <w:rFonts w:ascii="Book Antiqua" w:hAnsi="Book Antiqua"/>
          <w:strike/>
          <w:color w:val="000000" w:themeColor="text1"/>
          <w:lang w:val="es-PR"/>
        </w:rPr>
        <w:t xml:space="preserve">Es la intención específica de </w:t>
      </w:r>
      <w:r w:rsidR="00B11A40" w:rsidRPr="007D51C3">
        <w:rPr>
          <w:rFonts w:ascii="Book Antiqua" w:hAnsi="Book Antiqua"/>
          <w:strike/>
          <w:color w:val="000000" w:themeColor="text1"/>
          <w:lang w:val="es-PR"/>
        </w:rPr>
        <w:t>esta</w:t>
      </w:r>
      <w:r w:rsidRPr="007D51C3">
        <w:rPr>
          <w:rFonts w:ascii="Book Antiqua" w:hAnsi="Book Antiqua"/>
          <w:strike/>
          <w:color w:val="000000" w:themeColor="text1"/>
          <w:lang w:val="es-PR"/>
        </w:rPr>
        <w:t xml:space="preserve"> Asamblea Legislativa atender el problema de los niveles de abasto de los bienes de consumo necesarios</w:t>
      </w:r>
      <w:r w:rsidR="00B11A40" w:rsidRPr="007D51C3">
        <w:rPr>
          <w:rFonts w:ascii="Book Antiqua" w:hAnsi="Book Antiqua"/>
          <w:strike/>
          <w:color w:val="000000" w:themeColor="text1"/>
          <w:lang w:val="es-PR"/>
        </w:rPr>
        <w:t>. Esto</w:t>
      </w:r>
      <w:r w:rsidRPr="007D51C3">
        <w:rPr>
          <w:rFonts w:ascii="Book Antiqua" w:hAnsi="Book Antiqua"/>
          <w:strike/>
          <w:color w:val="000000" w:themeColor="text1"/>
          <w:lang w:val="es-PR"/>
        </w:rPr>
        <w:t xml:space="preserve"> sin penalizar al comerciante por aumentar sus niveles de inventario almacenado, junto a la máxima de no menoscabar los ingresos de los municipios; </w:t>
      </w:r>
      <w:r w:rsidR="00B11A40" w:rsidRPr="007D51C3">
        <w:rPr>
          <w:rFonts w:ascii="Book Antiqua" w:hAnsi="Book Antiqua"/>
          <w:strike/>
          <w:color w:val="000000" w:themeColor="text1"/>
          <w:lang w:val="es-PR"/>
        </w:rPr>
        <w:t>ese</w:t>
      </w:r>
      <w:r w:rsidRPr="007D51C3">
        <w:rPr>
          <w:rFonts w:ascii="Book Antiqua" w:hAnsi="Book Antiqua"/>
          <w:strike/>
          <w:color w:val="000000" w:themeColor="text1"/>
          <w:lang w:val="es-PR"/>
        </w:rPr>
        <w:t xml:space="preserve"> fue el compromiso contraído con nuestro Pueblo. </w:t>
      </w:r>
    </w:p>
    <w:p w14:paraId="2F7D3FE2" w14:textId="77777777" w:rsidR="0036466D" w:rsidRPr="009710CA" w:rsidRDefault="0036466D" w:rsidP="0087214A">
      <w:pPr>
        <w:ind w:firstLine="708"/>
        <w:jc w:val="both"/>
        <w:rPr>
          <w:rFonts w:ascii="Book Antiqua" w:hAnsi="Book Antiqua"/>
          <w:color w:val="000000" w:themeColor="text1"/>
          <w:lang w:val="es-PR"/>
        </w:rPr>
      </w:pPr>
    </w:p>
    <w:p w14:paraId="5C6BB3E5" w14:textId="2C388E45" w:rsidR="007D51C3" w:rsidRDefault="007D51C3" w:rsidP="0087214A">
      <w:pPr>
        <w:jc w:val="both"/>
        <w:rPr>
          <w:rFonts w:ascii="Book Antiqua" w:hAnsi="Book Antiqua"/>
          <w:i/>
          <w:iCs/>
          <w:color w:val="000000" w:themeColor="text1"/>
          <w:u w:val="single"/>
          <w:lang w:val="es-PR"/>
        </w:rPr>
      </w:pPr>
      <w:r w:rsidRPr="0087186C">
        <w:rPr>
          <w:rFonts w:ascii="Book Antiqua" w:hAnsi="Book Antiqua"/>
          <w:i/>
          <w:iCs/>
          <w:color w:val="000000" w:themeColor="text1"/>
          <w:u w:val="single"/>
          <w:lang w:val="es-PR"/>
        </w:rPr>
        <w:t>Conforme a lo anterior, tras ser una situación de interés público, es la intención de esta Asamblea Legislativa, atender las inquietudes de los comerciantes para que incentive a aumentar y abastecer sus inventarios.  De esta forma, se atenderá el reclamo de los comerciantes relacionado con el abastecimiento de los bienes básicos de sobrevivencia humana, pues los comerciantes podrán almacenar en exceso a la valoración del inventario promedio anual reportado en los años contributivos 2022, 2023 y 2024 que representa los últimos tres (3) años inmediatamente anteriores a la fecha de esta medida.</w:t>
      </w:r>
    </w:p>
    <w:p w14:paraId="643E9ED1" w14:textId="77777777" w:rsidR="0087186C" w:rsidRPr="0087186C" w:rsidRDefault="0087186C" w:rsidP="0087214A">
      <w:pPr>
        <w:jc w:val="both"/>
        <w:rPr>
          <w:rFonts w:ascii="Book Antiqua" w:hAnsi="Book Antiqua"/>
          <w:i/>
          <w:iCs/>
          <w:color w:val="000000" w:themeColor="text1"/>
          <w:u w:val="single"/>
          <w:lang w:val="es-PR"/>
        </w:rPr>
      </w:pPr>
    </w:p>
    <w:p w14:paraId="73089C49" w14:textId="1AE84A00" w:rsidR="0036466D" w:rsidRDefault="0036466D" w:rsidP="0087214A">
      <w:pPr>
        <w:jc w:val="both"/>
        <w:rPr>
          <w:rFonts w:ascii="Book Antiqua" w:hAnsi="Book Antiqua"/>
          <w:color w:val="000000" w:themeColor="text1"/>
          <w:lang w:val="es-PR"/>
        </w:rPr>
      </w:pPr>
      <w:r w:rsidRPr="009710CA">
        <w:rPr>
          <w:rFonts w:ascii="Book Antiqua" w:hAnsi="Book Antiqua"/>
          <w:color w:val="000000" w:themeColor="text1"/>
          <w:lang w:val="es-PR"/>
        </w:rPr>
        <w:t>Por lo tanto, esta Ley busca, aliviar la carga contributiva del impuesto sobre inventarios, incentivando a los comerciantes a mantener mayores abastos sin aumentar los costos, y sin afectar los recaudos municipales.</w:t>
      </w:r>
    </w:p>
    <w:p w14:paraId="7EAE232E" w14:textId="77777777" w:rsidR="004E6341" w:rsidRPr="009710CA" w:rsidRDefault="004E6341" w:rsidP="0087214A">
      <w:pPr>
        <w:jc w:val="both"/>
        <w:rPr>
          <w:rFonts w:ascii="Book Antiqua" w:hAnsi="Book Antiqua"/>
          <w:color w:val="000000" w:themeColor="text1"/>
          <w:lang w:val="es-PR"/>
        </w:rPr>
      </w:pPr>
    </w:p>
    <w:p w14:paraId="3C71C18B" w14:textId="77777777" w:rsidR="008D6F92" w:rsidRDefault="008D6F92" w:rsidP="008D6F92">
      <w:pPr>
        <w:jc w:val="both"/>
        <w:rPr>
          <w:rFonts w:ascii="Book Antiqua" w:eastAsia="Book Antiqua" w:hAnsi="Book Antiqua" w:cs="Book Antiqua"/>
          <w:color w:val="000000" w:themeColor="text1"/>
          <w:lang w:val="es-PR"/>
        </w:rPr>
      </w:pPr>
    </w:p>
    <w:p w14:paraId="2F72E3F5" w14:textId="77777777" w:rsidR="0086165E" w:rsidRDefault="0099207B" w:rsidP="0087214A">
      <w:pPr>
        <w:spacing w:line="480" w:lineRule="auto"/>
        <w:jc w:val="both"/>
        <w:rPr>
          <w:rFonts w:ascii="Book Antiqua" w:eastAsia="Book Antiqua" w:hAnsi="Book Antiqua" w:cs="Book Antiqua"/>
          <w:i/>
          <w:color w:val="000000" w:themeColor="text1"/>
          <w:lang w:val="es-PR"/>
        </w:rPr>
        <w:sectPr w:rsidR="0086165E">
          <w:headerReference w:type="even" r:id="rId10"/>
          <w:headerReference w:type="default" r:id="rId11"/>
          <w:footerReference w:type="even" r:id="rId12"/>
          <w:footerReference w:type="default" r:id="rId13"/>
          <w:headerReference w:type="first" r:id="rId14"/>
          <w:footerReference w:type="first" r:id="rId15"/>
          <w:pgSz w:w="12240" w:h="15840"/>
          <w:pgMar w:top="1440" w:right="1440" w:bottom="1440" w:left="1440" w:header="720" w:footer="720" w:gutter="0"/>
          <w:pgNumType w:start="1"/>
          <w:cols w:space="720"/>
          <w:titlePg/>
        </w:sectPr>
      </w:pPr>
      <w:r>
        <w:rPr>
          <w:rFonts w:ascii="Book Antiqua" w:eastAsia="Book Antiqua" w:hAnsi="Book Antiqua" w:cs="Book Antiqua"/>
          <w:i/>
          <w:color w:val="000000" w:themeColor="text1"/>
          <w:lang w:val="es-PR"/>
        </w:rPr>
        <w:lastRenderedPageBreak/>
        <w:t>DECRÉTASE POR LA ASAMBLEA LEGISLATIVA DE PUERTO RICO:</w:t>
      </w:r>
    </w:p>
    <w:p w14:paraId="24623C36" w14:textId="77777777" w:rsidR="0036466D" w:rsidRPr="009710CA" w:rsidRDefault="0036466D" w:rsidP="0087214A">
      <w:pPr>
        <w:spacing w:line="480" w:lineRule="auto"/>
        <w:ind w:firstLine="720"/>
        <w:jc w:val="both"/>
        <w:rPr>
          <w:rFonts w:ascii="Book Antiqua" w:hAnsi="Book Antiqua"/>
          <w:color w:val="000000" w:themeColor="text1"/>
          <w:lang w:val="es-PR"/>
        </w:rPr>
      </w:pPr>
      <w:bookmarkStart w:id="4" w:name="{20F4}"/>
      <w:bookmarkEnd w:id="4"/>
      <w:r w:rsidRPr="009710CA">
        <w:rPr>
          <w:rFonts w:ascii="Book Antiqua" w:hAnsi="Book Antiqua"/>
          <w:color w:val="000000" w:themeColor="text1"/>
          <w:lang w:val="es-PR"/>
        </w:rPr>
        <w:t xml:space="preserve">Sección 1.- Se enmienda el Artículo 7.138 de la Ley 107-2020, según enmendada, para añadir un nuevo inciso (h) el cual se leerá como sigue: </w:t>
      </w:r>
    </w:p>
    <w:p w14:paraId="67AC9930" w14:textId="77777777" w:rsidR="0036466D" w:rsidRPr="009710CA" w:rsidRDefault="0036466D" w:rsidP="0087214A">
      <w:pPr>
        <w:spacing w:line="480" w:lineRule="auto"/>
        <w:ind w:firstLine="720"/>
        <w:jc w:val="both"/>
        <w:rPr>
          <w:rFonts w:ascii="Book Antiqua" w:eastAsia="Quattrocento" w:hAnsi="Book Antiqua"/>
          <w:bCs/>
          <w:color w:val="000000" w:themeColor="text1"/>
          <w:lang w:val="es-ES"/>
        </w:rPr>
      </w:pPr>
      <w:r w:rsidRPr="009710CA">
        <w:rPr>
          <w:rFonts w:ascii="Book Antiqua" w:eastAsia="Quattrocento" w:hAnsi="Book Antiqua"/>
          <w:bCs/>
          <w:color w:val="000000" w:themeColor="text1"/>
          <w:lang w:val="es-ES"/>
        </w:rPr>
        <w:t>“Artículo 7.138- Deficiencias Regulares- Notificación; Recursos</w:t>
      </w:r>
    </w:p>
    <w:p w14:paraId="637DC1C5" w14:textId="77777777" w:rsidR="0036466D" w:rsidRPr="009710CA" w:rsidRDefault="0036466D" w:rsidP="0087214A">
      <w:pPr>
        <w:pStyle w:val="ListParagraph"/>
        <w:spacing w:line="480" w:lineRule="auto"/>
        <w:ind w:left="1421"/>
        <w:jc w:val="both"/>
        <w:rPr>
          <w:rFonts w:ascii="Book Antiqua" w:hAnsi="Book Antiqua"/>
          <w:color w:val="000000" w:themeColor="text1"/>
          <w:lang w:val="es-ES"/>
        </w:rPr>
      </w:pPr>
      <w:r w:rsidRPr="009710CA">
        <w:rPr>
          <w:rFonts w:ascii="Book Antiqua" w:hAnsi="Book Antiqua"/>
          <w:color w:val="000000" w:themeColor="text1"/>
          <w:lang w:val="es-ES"/>
        </w:rPr>
        <w:t>(a). . .</w:t>
      </w:r>
    </w:p>
    <w:p w14:paraId="6A7F7BA7" w14:textId="77777777" w:rsidR="0036466D" w:rsidRPr="009710CA" w:rsidRDefault="0036466D" w:rsidP="0087214A">
      <w:pPr>
        <w:pStyle w:val="ListParagraph"/>
        <w:spacing w:line="480" w:lineRule="auto"/>
        <w:ind w:left="1421"/>
        <w:jc w:val="both"/>
        <w:rPr>
          <w:rFonts w:ascii="Book Antiqua" w:hAnsi="Book Antiqua"/>
          <w:color w:val="000000" w:themeColor="text1"/>
          <w:lang w:val="es-ES"/>
        </w:rPr>
      </w:pPr>
      <w:r w:rsidRPr="009710CA">
        <w:rPr>
          <w:rFonts w:ascii="Book Antiqua" w:hAnsi="Book Antiqua"/>
          <w:color w:val="000000" w:themeColor="text1"/>
          <w:lang w:val="es-ES"/>
        </w:rPr>
        <w:t>(b)…</w:t>
      </w:r>
    </w:p>
    <w:p w14:paraId="37B7B4BF" w14:textId="77777777" w:rsidR="0036466D" w:rsidRPr="009710CA" w:rsidRDefault="0036466D" w:rsidP="0087214A">
      <w:pPr>
        <w:pStyle w:val="ListParagraph"/>
        <w:spacing w:line="480" w:lineRule="auto"/>
        <w:ind w:left="1421"/>
        <w:jc w:val="both"/>
        <w:rPr>
          <w:rFonts w:ascii="Book Antiqua" w:hAnsi="Book Antiqua"/>
          <w:color w:val="000000" w:themeColor="text1"/>
          <w:lang w:val="es-ES"/>
        </w:rPr>
      </w:pPr>
      <w:r w:rsidRPr="009710CA">
        <w:rPr>
          <w:rFonts w:ascii="Book Antiqua" w:hAnsi="Book Antiqua"/>
          <w:color w:val="000000" w:themeColor="text1"/>
          <w:lang w:val="es-ES"/>
        </w:rPr>
        <w:t>…</w:t>
      </w:r>
    </w:p>
    <w:p w14:paraId="1D9DDFA0" w14:textId="689187E0" w:rsidR="0036466D" w:rsidRPr="009710CA" w:rsidRDefault="0036466D" w:rsidP="0087214A">
      <w:pPr>
        <w:pStyle w:val="ListParagraph"/>
        <w:spacing w:line="480" w:lineRule="auto"/>
        <w:ind w:left="1421"/>
        <w:jc w:val="both"/>
        <w:rPr>
          <w:rFonts w:ascii="Book Antiqua" w:hAnsi="Book Antiqua"/>
          <w:color w:val="000000" w:themeColor="text1"/>
          <w:lang w:val="es-ES"/>
        </w:rPr>
      </w:pPr>
      <w:r w:rsidRPr="009710CA">
        <w:rPr>
          <w:rFonts w:ascii="Book Antiqua" w:hAnsi="Book Antiqua"/>
          <w:color w:val="000000" w:themeColor="text1"/>
          <w:lang w:val="es-ES"/>
        </w:rPr>
        <w:t>(h)</w:t>
      </w:r>
      <w:r w:rsidR="00E504F0" w:rsidRPr="009710CA">
        <w:rPr>
          <w:rFonts w:ascii="Book Antiqua" w:hAnsi="Book Antiqua"/>
          <w:color w:val="000000" w:themeColor="text1"/>
          <w:lang w:val="es-ES"/>
        </w:rPr>
        <w:t xml:space="preserve"> </w:t>
      </w:r>
      <w:r w:rsidR="00F61023">
        <w:rPr>
          <w:rFonts w:ascii="Book Antiqua" w:hAnsi="Book Antiqua"/>
          <w:color w:val="000000" w:themeColor="text1"/>
          <w:lang w:val="es-ES"/>
        </w:rPr>
        <w:t xml:space="preserve">En </w:t>
      </w:r>
      <w:r w:rsidRPr="009710CA">
        <w:rPr>
          <w:rFonts w:ascii="Book Antiqua" w:hAnsi="Book Antiqua"/>
          <w:color w:val="000000" w:themeColor="text1"/>
          <w:lang w:val="es-ES"/>
        </w:rPr>
        <w:t xml:space="preserve">caso de que el Centro de Recaudación de Ingresos Municipales determine una deficiencia en cuanto a la contribución impuesta bajo </w:t>
      </w:r>
      <w:r w:rsidRPr="007D51C3">
        <w:rPr>
          <w:rFonts w:ascii="Book Antiqua" w:hAnsi="Book Antiqua"/>
          <w:strike/>
          <w:color w:val="000000" w:themeColor="text1"/>
          <w:lang w:val="es-ES"/>
        </w:rPr>
        <w:t>el año base</w:t>
      </w:r>
      <w:r w:rsidR="007D51C3" w:rsidRPr="007D51C3">
        <w:rPr>
          <w:lang w:val="es-ES"/>
        </w:rPr>
        <w:t xml:space="preserve"> </w:t>
      </w:r>
      <w:r w:rsidR="007D51C3" w:rsidRPr="0087186C">
        <w:rPr>
          <w:rFonts w:ascii="Book Antiqua" w:hAnsi="Book Antiqua"/>
          <w:i/>
          <w:iCs/>
          <w:color w:val="000000" w:themeColor="text1"/>
          <w:u w:val="single"/>
          <w:lang w:val="es-ES"/>
        </w:rPr>
        <w:t>los años contributivos 2022, 2023 y 2024</w:t>
      </w:r>
      <w:r w:rsidRPr="009710CA">
        <w:rPr>
          <w:rFonts w:ascii="Book Antiqua" w:hAnsi="Book Antiqua"/>
          <w:color w:val="000000" w:themeColor="text1"/>
          <w:lang w:val="es-ES"/>
        </w:rPr>
        <w:t xml:space="preserve">, ya fuere por razón de haberse determinado el valor tributable de la propiedad incorrectamente, por haberse omitido propiedad o por cualquier otro motivo, el Centro de Recaudación de Ingresos Municipales notificará al contribuyente dicha deficiencia por los años en que prevalezca la base tributaria fijada, según establecida en el </w:t>
      </w:r>
      <w:r w:rsidR="00F61023">
        <w:rPr>
          <w:rFonts w:ascii="Book Antiqua" w:hAnsi="Book Antiqua"/>
          <w:color w:val="000000" w:themeColor="text1"/>
          <w:lang w:val="es-ES"/>
        </w:rPr>
        <w:t xml:space="preserve">inciso (b) del </w:t>
      </w:r>
      <w:r w:rsidRPr="009710CA">
        <w:rPr>
          <w:rFonts w:ascii="Book Antiqua" w:hAnsi="Book Antiqua"/>
          <w:color w:val="000000" w:themeColor="text1"/>
          <w:lang w:val="es-ES"/>
        </w:rPr>
        <w:t>Artículo 7.148 de este Código.”</w:t>
      </w:r>
    </w:p>
    <w:p w14:paraId="4C98C79A" w14:textId="77777777" w:rsidR="0036466D" w:rsidRPr="009710CA" w:rsidRDefault="0036466D" w:rsidP="0087214A">
      <w:pPr>
        <w:spacing w:line="480" w:lineRule="auto"/>
        <w:ind w:firstLine="720"/>
        <w:jc w:val="both"/>
        <w:rPr>
          <w:rFonts w:ascii="Book Antiqua" w:hAnsi="Book Antiqua"/>
          <w:color w:val="000000" w:themeColor="text1"/>
          <w:lang w:val="es-PR"/>
        </w:rPr>
      </w:pPr>
      <w:r w:rsidRPr="009710CA">
        <w:rPr>
          <w:rFonts w:ascii="Book Antiqua" w:hAnsi="Book Antiqua"/>
          <w:color w:val="000000" w:themeColor="text1"/>
          <w:lang w:val="es-PR"/>
        </w:rPr>
        <w:t>Sección 2.- Se enmienda el Artículo 7.148 de la Ley 107-2020, según enmendada, para reenumerar el primer párrafo como inciso (a) y añadir el inciso (b) para que se lea como sigue:</w:t>
      </w:r>
    </w:p>
    <w:p w14:paraId="1C2E4DEB" w14:textId="77777777" w:rsidR="0036466D" w:rsidRPr="009710CA" w:rsidRDefault="0036466D" w:rsidP="0087214A">
      <w:pPr>
        <w:spacing w:line="480" w:lineRule="auto"/>
        <w:ind w:firstLine="720"/>
        <w:jc w:val="both"/>
        <w:rPr>
          <w:rFonts w:ascii="Book Antiqua" w:hAnsi="Book Antiqua"/>
          <w:color w:val="000000" w:themeColor="text1"/>
          <w:lang w:val="es-PR"/>
        </w:rPr>
      </w:pPr>
      <w:r w:rsidRPr="009710CA">
        <w:rPr>
          <w:rFonts w:ascii="Book Antiqua" w:hAnsi="Book Antiqua"/>
          <w:color w:val="000000" w:themeColor="text1"/>
          <w:lang w:val="es-PR"/>
        </w:rPr>
        <w:t>“Artículo 7.148 – Inventario del Fabricante, Comerciante o Negociante</w:t>
      </w:r>
    </w:p>
    <w:p w14:paraId="376FE439" w14:textId="77777777" w:rsidR="0036466D" w:rsidRPr="009710CA" w:rsidRDefault="0036466D" w:rsidP="0087214A">
      <w:pPr>
        <w:pStyle w:val="ListParagraph"/>
        <w:numPr>
          <w:ilvl w:val="0"/>
          <w:numId w:val="6"/>
        </w:numPr>
        <w:spacing w:line="480" w:lineRule="auto"/>
        <w:jc w:val="both"/>
        <w:rPr>
          <w:rFonts w:ascii="Book Antiqua" w:hAnsi="Book Antiqua"/>
          <w:color w:val="000000" w:themeColor="text1"/>
          <w:lang w:val="es-PR"/>
        </w:rPr>
      </w:pPr>
      <w:r w:rsidRPr="009710CA">
        <w:rPr>
          <w:rFonts w:ascii="Book Antiqua" w:hAnsi="Book Antiqua"/>
          <w:color w:val="000000" w:themeColor="text1"/>
          <w:lang w:val="es-PR"/>
        </w:rPr>
        <w:t>La parte de propiedad de cualquier fabricante, …</w:t>
      </w:r>
    </w:p>
    <w:p w14:paraId="5A932CDB" w14:textId="69E092D7" w:rsidR="0036466D" w:rsidRPr="009710CA" w:rsidRDefault="0036466D" w:rsidP="0087214A">
      <w:pPr>
        <w:pStyle w:val="ListParagraph"/>
        <w:numPr>
          <w:ilvl w:val="0"/>
          <w:numId w:val="6"/>
        </w:numPr>
        <w:spacing w:line="480" w:lineRule="auto"/>
        <w:jc w:val="both"/>
        <w:rPr>
          <w:rFonts w:ascii="Book Antiqua" w:hAnsi="Book Antiqua"/>
          <w:color w:val="000000" w:themeColor="text1"/>
          <w:lang w:val="es-PR"/>
        </w:rPr>
      </w:pPr>
      <w:bookmarkStart w:id="5" w:name="_Hlk22779192"/>
      <w:r w:rsidRPr="009710CA">
        <w:rPr>
          <w:rFonts w:ascii="Book Antiqua" w:hAnsi="Book Antiqua"/>
          <w:color w:val="000000" w:themeColor="text1"/>
          <w:lang w:val="es-PR"/>
        </w:rPr>
        <w:lastRenderedPageBreak/>
        <w:t xml:space="preserve">Congelación del Impuesto sobre el Inventario - Para las Planillas de Contribución sobre la Propiedad Mueble de los años </w:t>
      </w:r>
      <w:r w:rsidRPr="005C1A6B">
        <w:rPr>
          <w:rFonts w:ascii="Book Antiqua" w:hAnsi="Book Antiqua"/>
          <w:strike/>
          <w:color w:val="000000" w:themeColor="text1"/>
          <w:lang w:val="es-PR"/>
        </w:rPr>
        <w:t xml:space="preserve">2024 al </w:t>
      </w:r>
      <w:r w:rsidRPr="0087186C">
        <w:rPr>
          <w:rFonts w:ascii="Book Antiqua" w:hAnsi="Book Antiqua"/>
          <w:i/>
          <w:iCs/>
          <w:strike/>
          <w:color w:val="000000" w:themeColor="text1"/>
          <w:lang w:val="es-PR"/>
        </w:rPr>
        <w:t>2028</w:t>
      </w:r>
      <w:r w:rsidR="005C1A6B" w:rsidRPr="0087186C">
        <w:rPr>
          <w:rFonts w:ascii="Book Antiqua" w:hAnsi="Book Antiqua"/>
          <w:i/>
          <w:iCs/>
          <w:color w:val="000000" w:themeColor="text1"/>
          <w:u w:val="single"/>
          <w:lang w:val="es-PR"/>
        </w:rPr>
        <w:t>contributivos 2025 al 2027</w:t>
      </w:r>
      <w:r w:rsidRPr="009710CA">
        <w:rPr>
          <w:rFonts w:ascii="Book Antiqua" w:hAnsi="Book Antiqua"/>
          <w:color w:val="000000" w:themeColor="text1"/>
          <w:lang w:val="es-PR"/>
        </w:rPr>
        <w:t>, el contribuyente podrá de año en año elegir que la imposición contributiva sobre el valor del inventario sea a base del inciso (a) de este art</w:t>
      </w:r>
      <w:r w:rsidR="00E504F0" w:rsidRPr="009710CA">
        <w:rPr>
          <w:rFonts w:ascii="Book Antiqua" w:hAnsi="Book Antiqua"/>
          <w:color w:val="000000" w:themeColor="text1"/>
          <w:lang w:val="es-PR"/>
        </w:rPr>
        <w:t>í</w:t>
      </w:r>
      <w:r w:rsidRPr="009710CA">
        <w:rPr>
          <w:rFonts w:ascii="Book Antiqua" w:hAnsi="Book Antiqua"/>
          <w:color w:val="000000" w:themeColor="text1"/>
          <w:lang w:val="es-PR"/>
        </w:rPr>
        <w:t xml:space="preserve">culo y la tasa contributiva aplicable a dichos años o, en la alternativa, a base del promedio de valoración de inventarios según determinado en el </w:t>
      </w:r>
      <w:proofErr w:type="spellStart"/>
      <w:r w:rsidRPr="009710CA">
        <w:rPr>
          <w:rFonts w:ascii="Book Antiqua" w:hAnsi="Book Antiqua"/>
          <w:color w:val="000000" w:themeColor="text1"/>
          <w:lang w:val="es-PR"/>
        </w:rPr>
        <w:t>sub-inciso</w:t>
      </w:r>
      <w:proofErr w:type="spellEnd"/>
      <w:r w:rsidRPr="009710CA">
        <w:rPr>
          <w:rFonts w:ascii="Book Antiqua" w:hAnsi="Book Antiqua"/>
          <w:color w:val="000000" w:themeColor="text1"/>
          <w:lang w:val="es-PR"/>
        </w:rPr>
        <w:t xml:space="preserve"> (1) y aplicando la tasa de contribución sobre la propiedad mueble vigente, según publicada por el Centro de Recaudación de Ingresos Municipales, para la Planilla de Contribución </w:t>
      </w:r>
      <w:r w:rsidR="005C1A6B" w:rsidRPr="0087186C">
        <w:rPr>
          <w:rFonts w:ascii="Book Antiqua" w:hAnsi="Book Antiqua"/>
          <w:i/>
          <w:iCs/>
          <w:color w:val="000000" w:themeColor="text1"/>
          <w:u w:val="single"/>
          <w:lang w:val="es-PR"/>
        </w:rPr>
        <w:t>sobre</w:t>
      </w:r>
      <w:r w:rsidR="005C1A6B">
        <w:rPr>
          <w:rFonts w:ascii="Book Antiqua" w:hAnsi="Book Antiqua"/>
          <w:color w:val="000000" w:themeColor="text1"/>
          <w:u w:val="single"/>
          <w:lang w:val="es-PR"/>
        </w:rPr>
        <w:t xml:space="preserve"> </w:t>
      </w:r>
      <w:r w:rsidRPr="005C1A6B">
        <w:rPr>
          <w:rFonts w:ascii="Book Antiqua" w:hAnsi="Book Antiqua"/>
          <w:strike/>
          <w:color w:val="000000" w:themeColor="text1"/>
          <w:lang w:val="es-PR"/>
        </w:rPr>
        <w:t>de</w:t>
      </w:r>
      <w:r w:rsidRPr="009710CA">
        <w:rPr>
          <w:rFonts w:ascii="Book Antiqua" w:hAnsi="Book Antiqua"/>
          <w:color w:val="000000" w:themeColor="text1"/>
          <w:lang w:val="es-PR"/>
        </w:rPr>
        <w:t xml:space="preserve"> la Propiedad Mueble del año </w:t>
      </w:r>
      <w:r w:rsidR="005C1A6B" w:rsidRPr="0087186C">
        <w:rPr>
          <w:rFonts w:ascii="Book Antiqua" w:hAnsi="Book Antiqua"/>
          <w:i/>
          <w:iCs/>
          <w:color w:val="000000" w:themeColor="text1"/>
          <w:u w:val="single"/>
          <w:lang w:val="es-PR"/>
        </w:rPr>
        <w:t xml:space="preserve">contributivo </w:t>
      </w:r>
      <w:r w:rsidRPr="009710CA">
        <w:rPr>
          <w:rFonts w:ascii="Book Antiqua" w:hAnsi="Book Antiqua"/>
          <w:color w:val="000000" w:themeColor="text1"/>
          <w:lang w:val="es-PR"/>
        </w:rPr>
        <w:t xml:space="preserve">2024.  </w:t>
      </w:r>
    </w:p>
    <w:p w14:paraId="5B2CB8B4" w14:textId="77777777" w:rsidR="0036466D" w:rsidRPr="009710CA" w:rsidRDefault="0036466D" w:rsidP="0087214A">
      <w:pPr>
        <w:pStyle w:val="ListParagraph"/>
        <w:numPr>
          <w:ilvl w:val="0"/>
          <w:numId w:val="7"/>
        </w:numPr>
        <w:spacing w:line="480" w:lineRule="auto"/>
        <w:jc w:val="both"/>
        <w:rPr>
          <w:rFonts w:ascii="Book Antiqua" w:hAnsi="Book Antiqua"/>
          <w:color w:val="000000" w:themeColor="text1"/>
          <w:lang w:val="es-PR"/>
        </w:rPr>
      </w:pPr>
      <w:r w:rsidRPr="009710CA">
        <w:rPr>
          <w:rFonts w:ascii="Book Antiqua" w:hAnsi="Book Antiqua"/>
          <w:color w:val="000000" w:themeColor="text1"/>
          <w:lang w:val="es-PR"/>
        </w:rPr>
        <w:t xml:space="preserve">El promedio en la valoración del inventario se hará de la siguiente manera: </w:t>
      </w:r>
      <w:bookmarkEnd w:id="5"/>
    </w:p>
    <w:p w14:paraId="5DB6C7DA" w14:textId="601E850B" w:rsidR="0036466D" w:rsidRPr="002F4FF5" w:rsidRDefault="0036466D" w:rsidP="002F4FF5">
      <w:pPr>
        <w:pStyle w:val="ListParagraph"/>
        <w:numPr>
          <w:ilvl w:val="0"/>
          <w:numId w:val="9"/>
        </w:numPr>
        <w:spacing w:line="480" w:lineRule="auto"/>
        <w:jc w:val="both"/>
        <w:rPr>
          <w:rFonts w:ascii="Book Antiqua" w:hAnsi="Book Antiqua"/>
          <w:color w:val="000000" w:themeColor="text1"/>
          <w:u w:val="single"/>
          <w:lang w:val="es-PR"/>
        </w:rPr>
      </w:pPr>
      <w:r w:rsidRPr="002F4FF5">
        <w:rPr>
          <w:rFonts w:ascii="Book Antiqua" w:hAnsi="Book Antiqua"/>
          <w:color w:val="000000" w:themeColor="text1"/>
          <w:lang w:val="es-PR"/>
        </w:rPr>
        <w:t xml:space="preserve">Fabricante, Comerciante o Negocio Existente- En el caso de fabricantes, comerciantes o negocios que, al 1 de enero de </w:t>
      </w:r>
      <w:r w:rsidRPr="002F4FF5">
        <w:rPr>
          <w:rFonts w:ascii="Book Antiqua" w:hAnsi="Book Antiqua"/>
          <w:strike/>
          <w:color w:val="000000" w:themeColor="text1"/>
          <w:lang w:val="es-PR"/>
        </w:rPr>
        <w:t>2025</w:t>
      </w:r>
      <w:r w:rsidR="00ED5524" w:rsidRPr="002F4FF5">
        <w:rPr>
          <w:rFonts w:ascii="Book Antiqua" w:hAnsi="Book Antiqua"/>
          <w:color w:val="000000" w:themeColor="text1"/>
          <w:u w:val="single"/>
          <w:lang w:val="es-PR"/>
        </w:rPr>
        <w:t>2026</w:t>
      </w:r>
      <w:r w:rsidRPr="002F4FF5">
        <w:rPr>
          <w:rFonts w:ascii="Book Antiqua" w:hAnsi="Book Antiqua"/>
          <w:color w:val="000000" w:themeColor="text1"/>
          <w:lang w:val="es-PR"/>
        </w:rPr>
        <w:t xml:space="preserve">, lleven al menos tres (3) años valorando y pagando contribuciones de propiedad mueble sobre sus inventarios </w:t>
      </w:r>
      <w:r w:rsidR="00ED5524" w:rsidRPr="002F4FF5">
        <w:rPr>
          <w:rFonts w:ascii="Book Antiqua" w:hAnsi="Book Antiqua"/>
          <w:color w:val="000000" w:themeColor="text1"/>
          <w:u w:val="single"/>
          <w:lang w:val="es-PR"/>
        </w:rPr>
        <w:t>,</w:t>
      </w:r>
      <w:r w:rsidR="00ED5524" w:rsidRPr="0087186C">
        <w:rPr>
          <w:rFonts w:ascii="Book Antiqua" w:hAnsi="Book Antiqua"/>
          <w:i/>
          <w:iCs/>
          <w:color w:val="000000" w:themeColor="text1"/>
          <w:u w:val="single"/>
          <w:lang w:val="es-PR"/>
        </w:rPr>
        <w:t>la imposición contributiva sobre el  valor promedio anual se fijará a base de la valoración de inventario reportada en su planilla de contribución sobre la propiedad radicadas para los años contributivos</w:t>
      </w:r>
      <w:r w:rsidR="002F4FF5" w:rsidRPr="0087186C">
        <w:rPr>
          <w:rFonts w:ascii="Book Antiqua" w:hAnsi="Book Antiqua"/>
          <w:i/>
          <w:iCs/>
          <w:color w:val="000000" w:themeColor="text1"/>
          <w:u w:val="single"/>
          <w:lang w:val="es-PR"/>
        </w:rPr>
        <w:t xml:space="preserve"> </w:t>
      </w:r>
      <w:r w:rsidR="00ED5524" w:rsidRPr="0087186C">
        <w:rPr>
          <w:rFonts w:ascii="Book Antiqua" w:hAnsi="Book Antiqua"/>
          <w:i/>
          <w:iCs/>
          <w:color w:val="000000" w:themeColor="text1"/>
          <w:u w:val="single"/>
          <w:lang w:val="es-PR"/>
        </w:rPr>
        <w:t>2022, 2023 y 2024 y de la tasa contributiva vigente para el año fiscal 2025-2026.</w:t>
      </w:r>
      <w:r w:rsidRPr="002F4FF5">
        <w:rPr>
          <w:rFonts w:ascii="Book Antiqua" w:hAnsi="Book Antiqua"/>
          <w:strike/>
          <w:color w:val="000000" w:themeColor="text1"/>
          <w:lang w:val="es-PR"/>
        </w:rPr>
        <w:t xml:space="preserve">podrán elegir, en las Planillas de contribución de Propiedad Mueble de los años 2024 al 2028, </w:t>
      </w:r>
      <w:r w:rsidRPr="002F4FF5">
        <w:rPr>
          <w:rFonts w:ascii="Book Antiqua" w:hAnsi="Book Antiqua"/>
          <w:strike/>
          <w:color w:val="000000" w:themeColor="text1"/>
          <w:lang w:val="es-PR"/>
        </w:rPr>
        <w:lastRenderedPageBreak/>
        <w:t xml:space="preserve">determinar el valor de inventario sujeto a contribución sobre la propiedad mueble a base del promedio del valor promedio del inventario, según reportado en las planillas de contribución sobre la propiedad mueble de los años 2021, 2022 y 2023. El contribuyente podrá, a opción de este, acogerse a la valoración promedio dispuesta en este inciso (b), mediante la radicación de la planilla de bienes muebles. </w:t>
      </w:r>
    </w:p>
    <w:p w14:paraId="481DD6B4" w14:textId="4673322E" w:rsidR="0036466D" w:rsidRPr="0087186C" w:rsidRDefault="0036466D" w:rsidP="002F4FF5">
      <w:pPr>
        <w:pStyle w:val="ListParagraph"/>
        <w:numPr>
          <w:ilvl w:val="0"/>
          <w:numId w:val="9"/>
        </w:numPr>
        <w:spacing w:line="480" w:lineRule="auto"/>
        <w:jc w:val="both"/>
        <w:rPr>
          <w:rFonts w:ascii="Book Antiqua" w:hAnsi="Book Antiqua" w:cs="Arial"/>
          <w:i/>
          <w:iCs/>
          <w:color w:val="000000" w:themeColor="text1"/>
          <w:u w:val="single"/>
          <w:shd w:val="clear" w:color="auto" w:fill="FFFFFF"/>
          <w:lang w:val="es-PR"/>
        </w:rPr>
      </w:pPr>
      <w:r w:rsidRPr="002F4FF5">
        <w:rPr>
          <w:rFonts w:ascii="Book Antiqua" w:hAnsi="Book Antiqua"/>
          <w:strike/>
          <w:color w:val="000000" w:themeColor="text1"/>
          <w:lang w:val="es-PR"/>
        </w:rPr>
        <w:t>Fabricante, Comerciante o Negocio Nuevo- En el caso de fabricantes, comerciantes o negocios que, al 1 de enero de 2025, no hayan reportado inventarios en Puerto Rico, por tratarse de nuevos fabricantes, comerciantes o negocios, o que lleven menos de tres (3) años pagando contribuciones de propiedad mueble sobre sus inventarios, el valor del inventario para las planillas indicadas en este inciso (b) será a base del valor promedio del inventario correspondiente a la primera planilla de contribución sobre propiedad mueble que cubra doce (12) meses de operaciones.</w:t>
      </w:r>
      <w:r w:rsidRPr="002F4FF5">
        <w:rPr>
          <w:rFonts w:ascii="Book Antiqua" w:hAnsi="Book Antiqua"/>
          <w:color w:val="000000" w:themeColor="text1"/>
          <w:lang w:val="es-PR"/>
        </w:rPr>
        <w:t xml:space="preserve"> </w:t>
      </w:r>
      <w:r w:rsidRPr="002F4FF5">
        <w:rPr>
          <w:rFonts w:ascii="Book Antiqua" w:hAnsi="Book Antiqua" w:cs="Arial"/>
          <w:color w:val="000000" w:themeColor="text1"/>
          <w:shd w:val="clear" w:color="auto" w:fill="FFFFFF"/>
          <w:lang w:val="es-PR"/>
        </w:rPr>
        <w:t xml:space="preserve"> </w:t>
      </w:r>
      <w:r w:rsidR="002F4FF5" w:rsidRPr="0087186C">
        <w:rPr>
          <w:rFonts w:ascii="Book Antiqua" w:hAnsi="Book Antiqua" w:cs="Arial"/>
          <w:i/>
          <w:iCs/>
          <w:color w:val="000000" w:themeColor="text1"/>
          <w:u w:val="single"/>
          <w:shd w:val="clear" w:color="auto" w:fill="FFFFFF"/>
          <w:lang w:val="es-PR"/>
        </w:rPr>
        <w:t>Fabricante, Comerciante o Negocio Nuevo- En el caso de fabricantes, comerciantes o negocios nuevos que, al 1 de enero de 2026, no hayan valorado y pagado contribución sobre la propiedad mueble sobre sus inventarios por tratarse de nuevos fabricantes, comerciantes o negocios, o que lleven menos de tres (3) años valorando y pagando contribuciones de</w:t>
      </w:r>
      <w:r w:rsidR="002F4FF5" w:rsidRPr="002F4FF5">
        <w:rPr>
          <w:rFonts w:ascii="Book Antiqua" w:hAnsi="Book Antiqua" w:cs="Arial"/>
          <w:color w:val="000000" w:themeColor="text1"/>
          <w:u w:val="single"/>
          <w:shd w:val="clear" w:color="auto" w:fill="FFFFFF"/>
          <w:lang w:val="es-PR"/>
        </w:rPr>
        <w:t xml:space="preserve"> </w:t>
      </w:r>
      <w:r w:rsidR="002F4FF5" w:rsidRPr="0087186C">
        <w:rPr>
          <w:rFonts w:ascii="Book Antiqua" w:hAnsi="Book Antiqua" w:cs="Arial"/>
          <w:i/>
          <w:iCs/>
          <w:color w:val="000000" w:themeColor="text1"/>
          <w:u w:val="single"/>
          <w:shd w:val="clear" w:color="auto" w:fill="FFFFFF"/>
          <w:lang w:val="es-PR"/>
        </w:rPr>
        <w:lastRenderedPageBreak/>
        <w:t>propiedad mueble sobre sus inventarios, tributaran a base de lo dispuesto en el inciso (a) del artículo 7.148 del Código Municipal, según enmendado.</w:t>
      </w:r>
    </w:p>
    <w:p w14:paraId="10041421" w14:textId="61E4775B" w:rsidR="002F4FF5" w:rsidRPr="0087186C" w:rsidRDefault="002F4FF5" w:rsidP="002F4FF5">
      <w:pPr>
        <w:pStyle w:val="ListParagraph"/>
        <w:numPr>
          <w:ilvl w:val="0"/>
          <w:numId w:val="9"/>
        </w:numPr>
        <w:spacing w:line="480" w:lineRule="auto"/>
        <w:jc w:val="both"/>
        <w:rPr>
          <w:rFonts w:ascii="Book Antiqua" w:hAnsi="Book Antiqua" w:cs="Arial"/>
          <w:i/>
          <w:iCs/>
          <w:color w:val="000000" w:themeColor="text1"/>
          <w:u w:val="single"/>
          <w:shd w:val="clear" w:color="auto" w:fill="FFFFFF"/>
          <w:lang w:val="es-PR"/>
        </w:rPr>
      </w:pPr>
      <w:r w:rsidRPr="0087186C">
        <w:rPr>
          <w:rFonts w:ascii="Book Antiqua" w:hAnsi="Book Antiqua" w:cs="Arial"/>
          <w:i/>
          <w:iCs/>
          <w:color w:val="000000" w:themeColor="text1"/>
          <w:u w:val="single"/>
          <w:shd w:val="clear" w:color="auto" w:fill="FFFFFF"/>
          <w:lang w:val="es-PR"/>
        </w:rPr>
        <w:t>Reducción en Balance de Inventario- Si el contribuyente, luego de haberse  acogido a lo dispuesto en el inciso (b), tuvo</w:t>
      </w:r>
      <w:r w:rsidRPr="002F4FF5">
        <w:rPr>
          <w:rFonts w:ascii="Book Antiqua" w:hAnsi="Book Antiqua" w:cs="Arial"/>
          <w:color w:val="000000" w:themeColor="text1"/>
          <w:u w:val="single"/>
          <w:shd w:val="clear" w:color="auto" w:fill="FFFFFF"/>
          <w:lang w:val="es-PR"/>
        </w:rPr>
        <w:t xml:space="preserve"> </w:t>
      </w:r>
      <w:r w:rsidRPr="0087186C">
        <w:rPr>
          <w:rFonts w:ascii="Book Antiqua" w:hAnsi="Book Antiqua" w:cs="Arial"/>
          <w:i/>
          <w:iCs/>
          <w:color w:val="000000" w:themeColor="text1"/>
          <w:u w:val="single"/>
          <w:shd w:val="clear" w:color="auto" w:fill="FFFFFF"/>
          <w:lang w:val="es-PR"/>
        </w:rPr>
        <w:t>reducción en su nivel de inventario en cualquiera de los años dispuestos en este párrafo, éste podrá elegir a su opción, cuando radique su planilla de contribución de bienes muebles, tributar a base de su valoración de inventario promedio anual según dispuesto en el inciso (a), a la tasa de contribución vigente para el año fiscal correspondiente, según publicada por el Centro de Recaudación de Ingresos Municipales, o lo que sea menor entre lo dispuesto en el inciso (b) y el año en que ocurre la reducción en el balance promedio anual del inventario.</w:t>
      </w:r>
    </w:p>
    <w:p w14:paraId="3BC28F6F" w14:textId="007C5992" w:rsidR="0036466D" w:rsidRPr="00017232" w:rsidRDefault="0036466D" w:rsidP="0087214A">
      <w:pPr>
        <w:pStyle w:val="ListParagraph"/>
        <w:numPr>
          <w:ilvl w:val="0"/>
          <w:numId w:val="7"/>
        </w:numPr>
        <w:spacing w:line="480" w:lineRule="auto"/>
        <w:jc w:val="both"/>
        <w:rPr>
          <w:rFonts w:ascii="Book Antiqua" w:hAnsi="Book Antiqua"/>
          <w:i/>
          <w:iCs/>
          <w:color w:val="000000" w:themeColor="text1"/>
          <w:u w:val="single"/>
          <w:lang w:val="es-PR"/>
        </w:rPr>
      </w:pPr>
      <w:r w:rsidRPr="009710CA">
        <w:rPr>
          <w:rFonts w:ascii="Book Antiqua" w:hAnsi="Book Antiqua"/>
          <w:color w:val="000000" w:themeColor="text1"/>
          <w:lang w:val="es-PR"/>
        </w:rPr>
        <w:t>Regla especial aplicable a contribuyentes sujetos a la cláusula (</w:t>
      </w:r>
      <w:proofErr w:type="spellStart"/>
      <w:r w:rsidRPr="009710CA">
        <w:rPr>
          <w:rFonts w:ascii="Book Antiqua" w:hAnsi="Book Antiqua"/>
          <w:color w:val="000000" w:themeColor="text1"/>
          <w:lang w:val="es-PR"/>
        </w:rPr>
        <w:t>ii</w:t>
      </w:r>
      <w:proofErr w:type="spellEnd"/>
      <w:r w:rsidRPr="009710CA">
        <w:rPr>
          <w:rFonts w:ascii="Book Antiqua" w:hAnsi="Book Antiqua"/>
          <w:color w:val="000000" w:themeColor="text1"/>
          <w:lang w:val="es-PR"/>
        </w:rPr>
        <w:t xml:space="preserve">) del </w:t>
      </w:r>
      <w:proofErr w:type="spellStart"/>
      <w:r w:rsidRPr="009710CA">
        <w:rPr>
          <w:rFonts w:ascii="Book Antiqua" w:hAnsi="Book Antiqua"/>
          <w:color w:val="000000" w:themeColor="text1"/>
          <w:lang w:val="es-PR"/>
        </w:rPr>
        <w:t>sub-inciso</w:t>
      </w:r>
      <w:proofErr w:type="spellEnd"/>
      <w:r w:rsidRPr="009710CA">
        <w:rPr>
          <w:rFonts w:ascii="Book Antiqua" w:hAnsi="Book Antiqua"/>
          <w:color w:val="000000" w:themeColor="text1"/>
          <w:lang w:val="es-PR"/>
        </w:rPr>
        <w:t xml:space="preserve"> (1) de este inciso (b)- </w:t>
      </w:r>
      <w:r w:rsidRPr="00062D5F">
        <w:rPr>
          <w:rFonts w:ascii="Book Antiqua" w:hAnsi="Book Antiqua"/>
          <w:strike/>
          <w:color w:val="000000" w:themeColor="text1"/>
          <w:lang w:val="es-PR"/>
        </w:rPr>
        <w:t>Para el año en que el negocio no operó doce (12) meses en Puerto Rico y para el primer año en que el negocio haya estado en operación por doce (12) meses del año natural, le aplicará la regla del inciso (a) y la tasa dispuesta en este inciso (b) no será de aplicación. No obstante, el contribuyente podrá optar por acogerse a la elección del inciso (b) para años subsiguientes</w:t>
      </w:r>
      <w:r w:rsidRPr="009710CA">
        <w:rPr>
          <w:rFonts w:ascii="Book Antiqua" w:hAnsi="Book Antiqua"/>
          <w:color w:val="000000" w:themeColor="text1"/>
          <w:lang w:val="es-PR"/>
        </w:rPr>
        <w:t>.</w:t>
      </w:r>
      <w:r w:rsidR="00062D5F" w:rsidRPr="00062D5F">
        <w:rPr>
          <w:lang w:val="es-ES"/>
        </w:rPr>
        <w:t xml:space="preserve"> </w:t>
      </w:r>
      <w:r w:rsidR="00062D5F" w:rsidRPr="00017232">
        <w:rPr>
          <w:rFonts w:ascii="Book Antiqua" w:hAnsi="Book Antiqua"/>
          <w:i/>
          <w:iCs/>
          <w:color w:val="000000" w:themeColor="text1"/>
          <w:u w:val="single"/>
          <w:lang w:val="es-PR"/>
        </w:rPr>
        <w:t xml:space="preserve">Una vez los fabricantes, comerciantes o negocios nuevos </w:t>
      </w:r>
      <w:r w:rsidR="00BF680F" w:rsidRPr="00017232">
        <w:rPr>
          <w:rFonts w:ascii="Book Antiqua" w:hAnsi="Book Antiqua"/>
          <w:i/>
          <w:iCs/>
          <w:color w:val="000000" w:themeColor="text1"/>
          <w:u w:val="single"/>
          <w:lang w:val="es-PR"/>
        </w:rPr>
        <w:t>hayan alcanzado</w:t>
      </w:r>
      <w:r w:rsidR="00062D5F" w:rsidRPr="00017232">
        <w:rPr>
          <w:rFonts w:ascii="Book Antiqua" w:hAnsi="Book Antiqua"/>
          <w:i/>
          <w:iCs/>
          <w:color w:val="000000" w:themeColor="text1"/>
          <w:u w:val="single"/>
          <w:lang w:val="es-PR"/>
        </w:rPr>
        <w:t xml:space="preserve"> al menos </w:t>
      </w:r>
      <w:r w:rsidR="00AF33A2">
        <w:rPr>
          <w:rFonts w:ascii="Book Antiqua" w:hAnsi="Book Antiqua"/>
          <w:i/>
          <w:iCs/>
          <w:color w:val="000000" w:themeColor="text1"/>
          <w:u w:val="single"/>
          <w:lang w:val="es-PR"/>
        </w:rPr>
        <w:t>tres (</w:t>
      </w:r>
      <w:r w:rsidR="00062D5F" w:rsidRPr="00017232">
        <w:rPr>
          <w:rFonts w:ascii="Book Antiqua" w:hAnsi="Book Antiqua"/>
          <w:i/>
          <w:iCs/>
          <w:color w:val="000000" w:themeColor="text1"/>
          <w:u w:val="single"/>
          <w:lang w:val="es-PR"/>
        </w:rPr>
        <w:t>3</w:t>
      </w:r>
      <w:r w:rsidR="00AF33A2">
        <w:rPr>
          <w:rFonts w:ascii="Book Antiqua" w:hAnsi="Book Antiqua"/>
          <w:i/>
          <w:iCs/>
          <w:color w:val="000000" w:themeColor="text1"/>
          <w:u w:val="single"/>
          <w:lang w:val="es-PR"/>
        </w:rPr>
        <w:t>)</w:t>
      </w:r>
      <w:r w:rsidR="00062D5F" w:rsidRPr="00017232">
        <w:rPr>
          <w:rFonts w:ascii="Book Antiqua" w:hAnsi="Book Antiqua"/>
          <w:i/>
          <w:iCs/>
          <w:color w:val="000000" w:themeColor="text1"/>
          <w:u w:val="single"/>
          <w:lang w:val="es-PR"/>
        </w:rPr>
        <w:t xml:space="preserve"> años de estar valorando y pagando contribuciones de propiedad mueble sobre sus inventarios, </w:t>
      </w:r>
      <w:r w:rsidR="00062D5F" w:rsidRPr="00017232">
        <w:rPr>
          <w:rFonts w:ascii="Book Antiqua" w:hAnsi="Book Antiqua"/>
          <w:i/>
          <w:iCs/>
          <w:color w:val="000000" w:themeColor="text1"/>
          <w:u w:val="single"/>
          <w:lang w:val="es-PR"/>
        </w:rPr>
        <w:lastRenderedPageBreak/>
        <w:t>éstos valoraran sus inventarios en el cuarto año según lo dispuesto en el inciso (b) de este Código.</w:t>
      </w:r>
    </w:p>
    <w:p w14:paraId="32055936" w14:textId="77777777" w:rsidR="0036466D" w:rsidRPr="009710CA" w:rsidRDefault="0036466D" w:rsidP="0087214A">
      <w:pPr>
        <w:pStyle w:val="ListParagraph"/>
        <w:numPr>
          <w:ilvl w:val="0"/>
          <w:numId w:val="7"/>
        </w:numPr>
        <w:spacing w:line="480" w:lineRule="auto"/>
        <w:jc w:val="both"/>
        <w:rPr>
          <w:rFonts w:ascii="Book Antiqua" w:hAnsi="Book Antiqua"/>
          <w:color w:val="000000" w:themeColor="text1"/>
          <w:lang w:val="es-PR"/>
        </w:rPr>
      </w:pPr>
      <w:r w:rsidRPr="009710CA">
        <w:rPr>
          <w:rFonts w:ascii="Book Antiqua" w:hAnsi="Book Antiqua"/>
          <w:color w:val="000000" w:themeColor="text1"/>
          <w:lang w:val="es-PR"/>
        </w:rPr>
        <w:t>Limitación de aplicabilidad a negocio sucesor en el caso de entidades relacionadas- Las disposiciones de la cláusula (</w:t>
      </w:r>
      <w:proofErr w:type="spellStart"/>
      <w:r w:rsidRPr="009710CA">
        <w:rPr>
          <w:rFonts w:ascii="Book Antiqua" w:hAnsi="Book Antiqua"/>
          <w:color w:val="000000" w:themeColor="text1"/>
          <w:lang w:val="es-PR"/>
        </w:rPr>
        <w:t>ii</w:t>
      </w:r>
      <w:proofErr w:type="spellEnd"/>
      <w:r w:rsidRPr="009710CA">
        <w:rPr>
          <w:rFonts w:ascii="Book Antiqua" w:hAnsi="Book Antiqua"/>
          <w:color w:val="000000" w:themeColor="text1"/>
          <w:lang w:val="es-PR"/>
        </w:rPr>
        <w:t xml:space="preserve">) del </w:t>
      </w:r>
      <w:proofErr w:type="spellStart"/>
      <w:r w:rsidRPr="009710CA">
        <w:rPr>
          <w:rFonts w:ascii="Book Antiqua" w:hAnsi="Book Antiqua"/>
          <w:color w:val="000000" w:themeColor="text1"/>
          <w:lang w:val="es-PR"/>
        </w:rPr>
        <w:t>sub-inciso</w:t>
      </w:r>
      <w:proofErr w:type="spellEnd"/>
      <w:r w:rsidRPr="009710CA">
        <w:rPr>
          <w:rFonts w:ascii="Book Antiqua" w:hAnsi="Book Antiqua"/>
          <w:color w:val="000000" w:themeColor="text1"/>
          <w:lang w:val="es-PR"/>
        </w:rPr>
        <w:t xml:space="preserve"> (1) y del </w:t>
      </w:r>
      <w:proofErr w:type="spellStart"/>
      <w:r w:rsidRPr="009710CA">
        <w:rPr>
          <w:rFonts w:ascii="Book Antiqua" w:hAnsi="Book Antiqua"/>
          <w:color w:val="000000" w:themeColor="text1"/>
          <w:lang w:val="es-PR"/>
        </w:rPr>
        <w:t>sub-inciso</w:t>
      </w:r>
      <w:proofErr w:type="spellEnd"/>
      <w:r w:rsidRPr="009710CA">
        <w:rPr>
          <w:rFonts w:ascii="Book Antiqua" w:hAnsi="Book Antiqua"/>
          <w:color w:val="000000" w:themeColor="text1"/>
          <w:lang w:val="es-PR"/>
        </w:rPr>
        <w:t xml:space="preserve"> (2) de este inciso (b) no serán de aplicabilidad a negocios que inicien operaciones llevadas a cabo previamente por una entidad relacionada.  En estos casos, la entidad deberá determinar el valor del inventario tomando en consideración el promedio de valor de inventario </w:t>
      </w:r>
      <w:r w:rsidRPr="009710CA">
        <w:rPr>
          <w:rFonts w:ascii="Book Antiqua" w:hAnsi="Book Antiqua" w:cs="Arial"/>
          <w:color w:val="000000" w:themeColor="text1"/>
          <w:lang w:val="es-PR"/>
        </w:rPr>
        <w:t>del negocio antecesor para determinar el valor del inventario y la elección bajo este inciso (b). Para propósitos de esta cláusula, el término entidad relacionada será según definido en la Sección 1010.05 de la Ley 1-2011, según enmendada, conocida como “Código de Rentas Internas de Puerto Rico de 2011” o cualquier ley o código que le sustituya y defina este término.</w:t>
      </w:r>
    </w:p>
    <w:p w14:paraId="1A4FF7BC" w14:textId="04BCFAC6" w:rsidR="008710DF" w:rsidRPr="00017232" w:rsidRDefault="0036466D" w:rsidP="008710DF">
      <w:pPr>
        <w:pStyle w:val="ListParagraph"/>
        <w:numPr>
          <w:ilvl w:val="0"/>
          <w:numId w:val="7"/>
        </w:numPr>
        <w:spacing w:line="480" w:lineRule="auto"/>
        <w:jc w:val="both"/>
        <w:rPr>
          <w:rFonts w:ascii="Book Antiqua" w:hAnsi="Book Antiqua"/>
          <w:strike/>
          <w:color w:val="000000" w:themeColor="text1"/>
          <w:lang w:val="es-PR"/>
        </w:rPr>
      </w:pPr>
      <w:r w:rsidRPr="00017232">
        <w:rPr>
          <w:rFonts w:ascii="Book Antiqua" w:hAnsi="Book Antiqua"/>
          <w:strike/>
          <w:color w:val="000000" w:themeColor="text1"/>
          <w:lang w:val="es-PR"/>
        </w:rPr>
        <w:t xml:space="preserve">Informes a la Gobernadora- el Centro de Recaudación de Ingresos Municipales evaluará los mecanismos que resuelva finalmente la sustitución al impuesto al inventario para beneficio de nuestros consumidores.  El Centro de Recaudación de Ingresos Municipales presentará informes semestrales para consideración de la Gobernadora.  La Gobernadora de Puerto Rico presentará una propuesta legislativa sobre este tema en o antes del 1 de junio del año en que culminen las </w:t>
      </w:r>
      <w:r w:rsidRPr="00017232">
        <w:rPr>
          <w:rFonts w:ascii="Book Antiqua" w:hAnsi="Book Antiqua"/>
          <w:strike/>
          <w:color w:val="000000" w:themeColor="text1"/>
          <w:lang w:val="es-PR"/>
        </w:rPr>
        <w:lastRenderedPageBreak/>
        <w:t>disposiciones de este Artículo.”</w:t>
      </w:r>
      <w:r w:rsidR="0019004A" w:rsidRPr="00017232">
        <w:rPr>
          <w:rFonts w:ascii="Book Antiqua" w:hAnsi="Book Antiqua"/>
          <w:strike/>
          <w:color w:val="000000" w:themeColor="text1"/>
          <w:lang w:val="es-PR"/>
        </w:rPr>
        <w:t xml:space="preserve"> </w:t>
      </w:r>
      <w:r w:rsidR="00062D5F" w:rsidRPr="00017232">
        <w:rPr>
          <w:rFonts w:ascii="Book Antiqua" w:hAnsi="Book Antiqua"/>
          <w:i/>
          <w:iCs/>
          <w:color w:val="000000" w:themeColor="text1"/>
          <w:u w:val="single"/>
          <w:lang w:val="es-PR"/>
        </w:rPr>
        <w:t xml:space="preserve">Informe al Ejecutivo y Cuerpos Legislativos- el </w:t>
      </w:r>
      <w:r w:rsidR="0019004A" w:rsidRPr="00017232">
        <w:rPr>
          <w:rFonts w:ascii="Book Antiqua" w:hAnsi="Book Antiqua"/>
          <w:i/>
          <w:iCs/>
          <w:color w:val="000000" w:themeColor="text1"/>
          <w:u w:val="single"/>
          <w:lang w:val="es-PR"/>
        </w:rPr>
        <w:t>CRIM</w:t>
      </w:r>
      <w:r w:rsidR="00062D5F" w:rsidRPr="00017232">
        <w:rPr>
          <w:rFonts w:ascii="Book Antiqua" w:hAnsi="Book Antiqua"/>
          <w:i/>
          <w:iCs/>
          <w:color w:val="000000" w:themeColor="text1"/>
          <w:u w:val="single"/>
          <w:lang w:val="es-PR"/>
        </w:rPr>
        <w:t xml:space="preserve"> evaluará los mecanismos que resuelva</w:t>
      </w:r>
      <w:r w:rsidR="0019004A" w:rsidRPr="00017232">
        <w:rPr>
          <w:rFonts w:ascii="Book Antiqua" w:hAnsi="Book Antiqua"/>
          <w:i/>
          <w:iCs/>
          <w:color w:val="000000" w:themeColor="text1"/>
          <w:u w:val="single"/>
          <w:lang w:val="es-PR"/>
        </w:rPr>
        <w:t>n</w:t>
      </w:r>
      <w:r w:rsidR="00062D5F" w:rsidRPr="00017232">
        <w:rPr>
          <w:rFonts w:ascii="Book Antiqua" w:hAnsi="Book Antiqua"/>
          <w:i/>
          <w:iCs/>
          <w:color w:val="000000" w:themeColor="text1"/>
          <w:u w:val="single"/>
          <w:lang w:val="es-PR"/>
        </w:rPr>
        <w:t xml:space="preserve"> finalmente la sustitución al impuesto al inventario para beneficio de nuestros consumidores</w:t>
      </w:r>
      <w:r w:rsidR="0019004A" w:rsidRPr="00017232">
        <w:rPr>
          <w:rFonts w:ascii="Book Antiqua" w:hAnsi="Book Antiqua"/>
          <w:i/>
          <w:iCs/>
          <w:color w:val="000000" w:themeColor="text1"/>
          <w:u w:val="single"/>
          <w:lang w:val="es-PR"/>
        </w:rPr>
        <w:t xml:space="preserve">; </w:t>
      </w:r>
      <w:r w:rsidR="00062D5F" w:rsidRPr="00017232">
        <w:rPr>
          <w:rFonts w:ascii="Book Antiqua" w:hAnsi="Book Antiqua"/>
          <w:i/>
          <w:iCs/>
          <w:color w:val="000000" w:themeColor="text1"/>
          <w:u w:val="single"/>
          <w:lang w:val="es-PR"/>
        </w:rPr>
        <w:t xml:space="preserve">presentará informes semestrales para </w:t>
      </w:r>
      <w:r w:rsidR="001205C9">
        <w:rPr>
          <w:rFonts w:ascii="Book Antiqua" w:hAnsi="Book Antiqua"/>
          <w:i/>
          <w:iCs/>
          <w:color w:val="000000" w:themeColor="text1"/>
          <w:u w:val="single"/>
          <w:lang w:val="es-PR"/>
        </w:rPr>
        <w:t xml:space="preserve">la </w:t>
      </w:r>
      <w:r w:rsidR="00062D5F" w:rsidRPr="00017232">
        <w:rPr>
          <w:rFonts w:ascii="Book Antiqua" w:hAnsi="Book Antiqua"/>
          <w:i/>
          <w:iCs/>
          <w:color w:val="000000" w:themeColor="text1"/>
          <w:u w:val="single"/>
          <w:lang w:val="es-PR"/>
        </w:rPr>
        <w:t>consideración del Ejecutivo y los Cuerpos Legislativos</w:t>
      </w:r>
      <w:r w:rsidR="0019004A" w:rsidRPr="00017232">
        <w:rPr>
          <w:rFonts w:ascii="Book Antiqua" w:hAnsi="Book Antiqua"/>
          <w:i/>
          <w:iCs/>
          <w:color w:val="000000" w:themeColor="text1"/>
          <w:u w:val="single"/>
          <w:lang w:val="es-PR"/>
        </w:rPr>
        <w:t xml:space="preserve">; y </w:t>
      </w:r>
      <w:r w:rsidR="006B0A70">
        <w:rPr>
          <w:rFonts w:ascii="Book Antiqua" w:hAnsi="Book Antiqua"/>
          <w:i/>
          <w:iCs/>
          <w:color w:val="000000" w:themeColor="text1"/>
          <w:u w:val="single"/>
          <w:lang w:val="es-PR"/>
        </w:rPr>
        <w:t xml:space="preserve">someter </w:t>
      </w:r>
      <w:r w:rsidR="0019004A" w:rsidRPr="00017232">
        <w:rPr>
          <w:rFonts w:ascii="Book Antiqua" w:hAnsi="Book Antiqua"/>
          <w:i/>
          <w:iCs/>
          <w:color w:val="000000" w:themeColor="text1"/>
          <w:u w:val="single"/>
          <w:lang w:val="es-PR"/>
        </w:rPr>
        <w:t>una propuesta legislativa sobre este tema en o antes del 3</w:t>
      </w:r>
      <w:r w:rsidR="00584591" w:rsidRPr="00017232">
        <w:rPr>
          <w:rFonts w:ascii="Book Antiqua" w:hAnsi="Book Antiqua"/>
          <w:i/>
          <w:iCs/>
          <w:color w:val="000000" w:themeColor="text1"/>
          <w:u w:val="single"/>
          <w:lang w:val="es-PR"/>
        </w:rPr>
        <w:t>1</w:t>
      </w:r>
      <w:r w:rsidR="0019004A" w:rsidRPr="00017232">
        <w:rPr>
          <w:rFonts w:ascii="Book Antiqua" w:hAnsi="Book Antiqua"/>
          <w:i/>
          <w:iCs/>
          <w:color w:val="000000" w:themeColor="text1"/>
          <w:u w:val="single"/>
          <w:lang w:val="es-PR"/>
        </w:rPr>
        <w:t xml:space="preserve"> de mayo de 2028.</w:t>
      </w:r>
      <w:r w:rsidR="008710DF" w:rsidRPr="00017232">
        <w:rPr>
          <w:rFonts w:ascii="Book Antiqua" w:hAnsi="Book Antiqua"/>
          <w:color w:val="000000" w:themeColor="text1"/>
          <w:u w:val="single"/>
          <w:lang w:val="es-PR"/>
        </w:rPr>
        <w:t xml:space="preserve"> </w:t>
      </w:r>
    </w:p>
    <w:p w14:paraId="3AF955EE" w14:textId="77777777" w:rsidR="009F06B1" w:rsidRDefault="009F06B1" w:rsidP="008710DF">
      <w:pPr>
        <w:pStyle w:val="ListParagraph"/>
        <w:spacing w:line="480" w:lineRule="auto"/>
        <w:ind w:left="1800"/>
        <w:jc w:val="both"/>
        <w:rPr>
          <w:rFonts w:ascii="Book Antiqua" w:hAnsi="Book Antiqua"/>
          <w:i/>
          <w:iCs/>
          <w:color w:val="000000" w:themeColor="text1"/>
          <w:u w:val="single"/>
          <w:lang w:val="es-PR"/>
        </w:rPr>
      </w:pPr>
    </w:p>
    <w:p w14:paraId="64E2CC43" w14:textId="48A71A9E" w:rsidR="009F06B1" w:rsidRDefault="009F06B1" w:rsidP="008710DF">
      <w:pPr>
        <w:pStyle w:val="ListParagraph"/>
        <w:spacing w:line="480" w:lineRule="auto"/>
        <w:ind w:left="1800"/>
        <w:jc w:val="both"/>
        <w:rPr>
          <w:rFonts w:ascii="Book Antiqua" w:hAnsi="Book Antiqua"/>
          <w:i/>
          <w:iCs/>
          <w:color w:val="000000" w:themeColor="text1"/>
          <w:u w:val="single"/>
          <w:lang w:val="es-PR"/>
        </w:rPr>
      </w:pPr>
      <w:r>
        <w:rPr>
          <w:rFonts w:ascii="Book Antiqua" w:hAnsi="Book Antiqua"/>
          <w:i/>
          <w:iCs/>
          <w:color w:val="000000" w:themeColor="text1"/>
          <w:u w:val="single"/>
          <w:lang w:val="es-PR"/>
        </w:rPr>
        <w:t>Posterior a esa fecha, de no aprobarse legislación al respecto, se deja</w:t>
      </w:r>
      <w:r w:rsidR="001205C9">
        <w:rPr>
          <w:rFonts w:ascii="Book Antiqua" w:hAnsi="Book Antiqua"/>
          <w:i/>
          <w:iCs/>
          <w:color w:val="000000" w:themeColor="text1"/>
          <w:u w:val="single"/>
          <w:lang w:val="es-PR"/>
        </w:rPr>
        <w:t>rá</w:t>
      </w:r>
      <w:r>
        <w:rPr>
          <w:rFonts w:ascii="Book Antiqua" w:hAnsi="Book Antiqua"/>
          <w:i/>
          <w:iCs/>
          <w:color w:val="000000" w:themeColor="text1"/>
          <w:u w:val="single"/>
          <w:lang w:val="es-PR"/>
        </w:rPr>
        <w:t xml:space="preserve"> sin efecto </w:t>
      </w:r>
      <w:r w:rsidR="001205C9">
        <w:rPr>
          <w:rFonts w:ascii="Book Antiqua" w:hAnsi="Book Antiqua"/>
          <w:i/>
          <w:iCs/>
          <w:color w:val="000000" w:themeColor="text1"/>
          <w:u w:val="single"/>
          <w:lang w:val="es-PR"/>
        </w:rPr>
        <w:t>esta medida transitoria</w:t>
      </w:r>
      <w:r w:rsidR="006B0A70">
        <w:rPr>
          <w:rFonts w:ascii="Book Antiqua" w:hAnsi="Book Antiqua"/>
          <w:i/>
          <w:iCs/>
          <w:color w:val="000000" w:themeColor="text1"/>
          <w:u w:val="single"/>
          <w:lang w:val="es-PR"/>
        </w:rPr>
        <w:t xml:space="preserve">.  En tal caso, </w:t>
      </w:r>
      <w:r w:rsidR="008710DF" w:rsidRPr="00017232">
        <w:rPr>
          <w:rFonts w:ascii="Book Antiqua" w:hAnsi="Book Antiqua"/>
          <w:i/>
          <w:iCs/>
          <w:color w:val="000000" w:themeColor="text1"/>
          <w:u w:val="single"/>
          <w:lang w:val="es-PR"/>
        </w:rPr>
        <w:t>el pago de la contribución mueble se llevará a cabo al momento de las ventas</w:t>
      </w:r>
      <w:r w:rsidR="006B0A70">
        <w:rPr>
          <w:rFonts w:ascii="Book Antiqua" w:hAnsi="Book Antiqua"/>
          <w:i/>
          <w:iCs/>
          <w:color w:val="000000" w:themeColor="text1"/>
          <w:u w:val="single"/>
          <w:lang w:val="es-PR"/>
        </w:rPr>
        <w:t xml:space="preserve"> utilizando el tipo contributivo </w:t>
      </w:r>
      <w:r w:rsidR="00274AD3">
        <w:rPr>
          <w:rFonts w:ascii="Book Antiqua" w:hAnsi="Book Antiqua"/>
          <w:i/>
          <w:iCs/>
          <w:color w:val="000000" w:themeColor="text1"/>
          <w:u w:val="single"/>
          <w:lang w:val="es-PR"/>
        </w:rPr>
        <w:t>vigente al año fiscal 2024-2025.</w:t>
      </w:r>
      <w:r w:rsidR="008710DF" w:rsidRPr="00017232">
        <w:rPr>
          <w:rFonts w:ascii="Book Antiqua" w:hAnsi="Book Antiqua"/>
          <w:i/>
          <w:iCs/>
          <w:color w:val="000000" w:themeColor="text1"/>
          <w:u w:val="single"/>
          <w:lang w:val="es-PR"/>
        </w:rPr>
        <w:t xml:space="preserve">  </w:t>
      </w:r>
    </w:p>
    <w:p w14:paraId="38E3DD63" w14:textId="77777777" w:rsidR="009F06B1" w:rsidRDefault="009F06B1" w:rsidP="008710DF">
      <w:pPr>
        <w:pStyle w:val="ListParagraph"/>
        <w:spacing w:line="480" w:lineRule="auto"/>
        <w:ind w:left="1800"/>
        <w:jc w:val="both"/>
        <w:rPr>
          <w:rFonts w:ascii="Book Antiqua" w:hAnsi="Book Antiqua"/>
          <w:i/>
          <w:iCs/>
          <w:color w:val="000000" w:themeColor="text1"/>
          <w:u w:val="single"/>
          <w:lang w:val="es-PR"/>
        </w:rPr>
      </w:pPr>
    </w:p>
    <w:p w14:paraId="123C35D3" w14:textId="13EFFA56" w:rsidR="0036466D" w:rsidRDefault="008710DF" w:rsidP="008710DF">
      <w:pPr>
        <w:pStyle w:val="ListParagraph"/>
        <w:spacing w:line="480" w:lineRule="auto"/>
        <w:ind w:left="1800"/>
        <w:jc w:val="both"/>
        <w:rPr>
          <w:rFonts w:ascii="Book Antiqua" w:hAnsi="Book Antiqua"/>
          <w:i/>
          <w:iCs/>
          <w:color w:val="000000" w:themeColor="text1"/>
          <w:u w:val="single"/>
          <w:lang w:val="es-PR"/>
        </w:rPr>
      </w:pPr>
      <w:r w:rsidRPr="00017232">
        <w:rPr>
          <w:rFonts w:ascii="Book Antiqua" w:hAnsi="Book Antiqua"/>
          <w:i/>
          <w:iCs/>
          <w:color w:val="000000" w:themeColor="text1"/>
          <w:u w:val="single"/>
          <w:lang w:val="es-PR"/>
        </w:rPr>
        <w:t xml:space="preserve">En el caso de que el pago al momento de las ventas resulte en una disminución de los ingresos de algunos municipios, la Asamblea Legislativa </w:t>
      </w:r>
      <w:r w:rsidR="00B015B0">
        <w:rPr>
          <w:rFonts w:ascii="Book Antiqua" w:hAnsi="Book Antiqua"/>
          <w:i/>
          <w:iCs/>
          <w:color w:val="000000" w:themeColor="text1"/>
          <w:u w:val="single"/>
          <w:lang w:val="es-PR"/>
        </w:rPr>
        <w:t>procurar</w:t>
      </w:r>
      <w:r w:rsidRPr="00017232">
        <w:rPr>
          <w:rFonts w:ascii="Book Antiqua" w:hAnsi="Book Antiqua"/>
          <w:i/>
          <w:iCs/>
          <w:color w:val="000000" w:themeColor="text1"/>
          <w:u w:val="single"/>
          <w:lang w:val="es-PR"/>
        </w:rPr>
        <w:t>á los fondos necesarios para cubrir dichos déficits.</w:t>
      </w:r>
      <w:r w:rsidR="0019004A" w:rsidRPr="00017232">
        <w:rPr>
          <w:rFonts w:ascii="Book Antiqua" w:hAnsi="Book Antiqua"/>
          <w:i/>
          <w:iCs/>
          <w:color w:val="000000" w:themeColor="text1"/>
          <w:u w:val="single"/>
          <w:lang w:val="es-PR"/>
        </w:rPr>
        <w:t xml:space="preserve">” </w:t>
      </w:r>
    </w:p>
    <w:p w14:paraId="45892F57" w14:textId="77777777" w:rsidR="00274AD3" w:rsidRPr="00017232" w:rsidRDefault="00274AD3" w:rsidP="008710DF">
      <w:pPr>
        <w:pStyle w:val="ListParagraph"/>
        <w:spacing w:line="480" w:lineRule="auto"/>
        <w:ind w:left="1800"/>
        <w:jc w:val="both"/>
        <w:rPr>
          <w:rFonts w:ascii="Book Antiqua" w:hAnsi="Book Antiqua"/>
          <w:i/>
          <w:iCs/>
          <w:strike/>
          <w:color w:val="000000" w:themeColor="text1"/>
          <w:lang w:val="es-PR"/>
        </w:rPr>
      </w:pPr>
    </w:p>
    <w:p w14:paraId="50F3454E" w14:textId="05B2E22A" w:rsidR="0019004A" w:rsidRPr="00017232" w:rsidRDefault="0019004A" w:rsidP="0019004A">
      <w:pPr>
        <w:pStyle w:val="ListParagraph"/>
        <w:numPr>
          <w:ilvl w:val="0"/>
          <w:numId w:val="7"/>
        </w:numPr>
        <w:spacing w:line="480" w:lineRule="auto"/>
        <w:jc w:val="both"/>
        <w:rPr>
          <w:rFonts w:ascii="Book Antiqua" w:hAnsi="Book Antiqua"/>
          <w:i/>
          <w:iCs/>
          <w:color w:val="000000" w:themeColor="text1"/>
          <w:u w:val="single"/>
          <w:lang w:val="es-PR"/>
        </w:rPr>
      </w:pPr>
      <w:r w:rsidRPr="00017232">
        <w:rPr>
          <w:rFonts w:ascii="Book Antiqua" w:hAnsi="Book Antiqua"/>
          <w:i/>
          <w:iCs/>
          <w:color w:val="000000" w:themeColor="text1"/>
          <w:u w:val="single"/>
          <w:lang w:val="es-PR"/>
        </w:rPr>
        <w:t>El Gobierno Central deberá identificar y reservar fondos para la reprogramación de la Planilla de la Contribución Sobre la Propiedad Mueble electrónica, que permita fijar las disposiciones establecidas en esta medida temporera.</w:t>
      </w:r>
    </w:p>
    <w:p w14:paraId="2AE9A4E3" w14:textId="77777777" w:rsidR="0036466D" w:rsidRPr="009710CA" w:rsidRDefault="0036466D" w:rsidP="0087214A">
      <w:pPr>
        <w:pStyle w:val="BodyText"/>
        <w:spacing w:line="480" w:lineRule="auto"/>
        <w:ind w:firstLine="720"/>
        <w:rPr>
          <w:rFonts w:ascii="Book Antiqua" w:hAnsi="Book Antiqua"/>
          <w:color w:val="000000" w:themeColor="text1"/>
        </w:rPr>
      </w:pPr>
      <w:r w:rsidRPr="009710CA">
        <w:rPr>
          <w:rFonts w:ascii="Book Antiqua" w:hAnsi="Book Antiqua"/>
          <w:color w:val="000000" w:themeColor="text1"/>
        </w:rPr>
        <w:t>Sección 3.- Se enmienda el inciso (g) del Artículo 7.162 de la Ley 107-2020, según enmendada, para que se lea como sigue:</w:t>
      </w:r>
    </w:p>
    <w:p w14:paraId="60676C02" w14:textId="77777777" w:rsidR="0036466D" w:rsidRPr="009710CA" w:rsidRDefault="0036466D" w:rsidP="0087214A">
      <w:pPr>
        <w:pStyle w:val="BodyText"/>
        <w:spacing w:line="480" w:lineRule="auto"/>
        <w:ind w:firstLine="720"/>
        <w:rPr>
          <w:rFonts w:ascii="Book Antiqua" w:hAnsi="Book Antiqua"/>
          <w:color w:val="000000" w:themeColor="text1"/>
        </w:rPr>
      </w:pPr>
      <w:r w:rsidRPr="009710CA">
        <w:rPr>
          <w:rFonts w:ascii="Book Antiqua" w:hAnsi="Book Antiqua"/>
          <w:color w:val="000000" w:themeColor="text1"/>
        </w:rPr>
        <w:lastRenderedPageBreak/>
        <w:t>“Artículo 7.162 - Publicidad de Planillas; Documentos Públicos e Inspección - En General</w:t>
      </w:r>
    </w:p>
    <w:p w14:paraId="7AA776DE" w14:textId="77777777" w:rsidR="0036466D" w:rsidRPr="009710CA" w:rsidRDefault="0036466D" w:rsidP="0087214A">
      <w:pPr>
        <w:pStyle w:val="BodyText"/>
        <w:numPr>
          <w:ilvl w:val="0"/>
          <w:numId w:val="8"/>
        </w:numPr>
        <w:spacing w:line="480" w:lineRule="auto"/>
        <w:rPr>
          <w:rFonts w:ascii="Book Antiqua" w:hAnsi="Book Antiqua"/>
          <w:color w:val="000000" w:themeColor="text1"/>
        </w:rPr>
      </w:pPr>
      <w:r w:rsidRPr="009710CA">
        <w:rPr>
          <w:rFonts w:ascii="Book Antiqua" w:hAnsi="Book Antiqua"/>
          <w:color w:val="000000" w:themeColor="text1"/>
        </w:rPr>
        <w:t>Las planillas…</w:t>
      </w:r>
    </w:p>
    <w:p w14:paraId="0588234E" w14:textId="77777777" w:rsidR="0036466D" w:rsidRPr="009710CA" w:rsidRDefault="0036466D" w:rsidP="0087214A">
      <w:pPr>
        <w:pStyle w:val="BodyText"/>
        <w:numPr>
          <w:ilvl w:val="0"/>
          <w:numId w:val="8"/>
        </w:numPr>
        <w:spacing w:line="480" w:lineRule="auto"/>
        <w:rPr>
          <w:rFonts w:ascii="Book Antiqua" w:hAnsi="Book Antiqua"/>
          <w:color w:val="000000" w:themeColor="text1"/>
        </w:rPr>
      </w:pPr>
      <w:r w:rsidRPr="009710CA">
        <w:rPr>
          <w:rFonts w:ascii="Book Antiqua" w:hAnsi="Book Antiqua"/>
          <w:color w:val="000000" w:themeColor="text1"/>
        </w:rPr>
        <w:t>…</w:t>
      </w:r>
    </w:p>
    <w:p w14:paraId="52BF162A" w14:textId="77777777" w:rsidR="0036466D" w:rsidRPr="009710CA" w:rsidRDefault="0036466D" w:rsidP="0087214A">
      <w:pPr>
        <w:pStyle w:val="BodyText"/>
        <w:spacing w:line="480" w:lineRule="auto"/>
        <w:ind w:left="720"/>
        <w:rPr>
          <w:rFonts w:ascii="Book Antiqua" w:hAnsi="Book Antiqua"/>
          <w:color w:val="000000" w:themeColor="text1"/>
        </w:rPr>
      </w:pPr>
      <w:r w:rsidRPr="009710CA">
        <w:rPr>
          <w:rFonts w:ascii="Book Antiqua" w:hAnsi="Book Antiqua"/>
          <w:color w:val="000000" w:themeColor="text1"/>
        </w:rPr>
        <w:t>…</w:t>
      </w:r>
    </w:p>
    <w:p w14:paraId="07C23742" w14:textId="77777777" w:rsidR="0036466D" w:rsidRPr="009710CA" w:rsidRDefault="0036466D" w:rsidP="0087214A">
      <w:pPr>
        <w:pStyle w:val="BodyText"/>
        <w:spacing w:line="480" w:lineRule="auto"/>
        <w:ind w:left="720"/>
        <w:rPr>
          <w:rFonts w:ascii="Book Antiqua" w:hAnsi="Book Antiqua"/>
          <w:color w:val="000000" w:themeColor="text1"/>
        </w:rPr>
      </w:pPr>
      <w:r w:rsidRPr="009710CA">
        <w:rPr>
          <w:rFonts w:ascii="Book Antiqua" w:hAnsi="Book Antiqua"/>
          <w:color w:val="000000" w:themeColor="text1"/>
        </w:rPr>
        <w:t xml:space="preserve">(g) El </w:t>
      </w:r>
      <w:proofErr w:type="gramStart"/>
      <w:r w:rsidRPr="009710CA">
        <w:rPr>
          <w:rFonts w:ascii="Book Antiqua" w:hAnsi="Book Antiqua"/>
          <w:color w:val="000000" w:themeColor="text1"/>
        </w:rPr>
        <w:t>Secretario</w:t>
      </w:r>
      <w:proofErr w:type="gramEnd"/>
      <w:r w:rsidRPr="009710CA">
        <w:rPr>
          <w:rFonts w:ascii="Book Antiqua" w:hAnsi="Book Antiqua"/>
          <w:color w:val="000000" w:themeColor="text1"/>
        </w:rPr>
        <w:t xml:space="preserve"> de Hacienda y cualesquiera otras agencias o instrumentalidades del Gobierno de Puerto Rico quedan autorizados para facilitar al CRIM, a instancias del CRIM, aquella información de las planillas de la contribución sobre ingresos o de cualquier otra documentación que sea necesaria para determinar las contribuciones sobre la propiedad mueble e inmueble que se autoriza imponer y cobrar este Código. Dicha facultad se otorga con la condición de que el Departamento de Hacienda deberá compartir únicamente aquella información y datos agregados de las planillas de contribución sobre ingresos, sujeto a las disposiciones de confidencialidad y seguridad establecidas en la reglamentación o normativa aplicables, con el propósito de proteger los derechos de privacidad de los contribuyentes. Nada de lo dispuesto en este inciso podrá ser interpretado como una renuncia a las obligaciones del Departamento de Hacienda o del Gobierno de Puerto Rico con el Servicio de Rentas Internas de Estados Unidos.”</w:t>
      </w:r>
    </w:p>
    <w:p w14:paraId="40CE84F7" w14:textId="77777777" w:rsidR="0036466D" w:rsidRPr="009710CA" w:rsidRDefault="0036466D" w:rsidP="0087214A">
      <w:pPr>
        <w:pStyle w:val="BodyText"/>
        <w:spacing w:line="480" w:lineRule="auto"/>
        <w:ind w:firstLine="720"/>
        <w:rPr>
          <w:rFonts w:ascii="Book Antiqua" w:hAnsi="Book Antiqua"/>
          <w:color w:val="000000" w:themeColor="text1"/>
        </w:rPr>
      </w:pPr>
      <w:r w:rsidRPr="009710CA">
        <w:rPr>
          <w:rFonts w:ascii="Book Antiqua" w:hAnsi="Book Antiqua"/>
          <w:color w:val="000000" w:themeColor="text1"/>
        </w:rPr>
        <w:t>Sección 4.- Reglamentación.</w:t>
      </w:r>
    </w:p>
    <w:p w14:paraId="4DCFD517" w14:textId="070836FE" w:rsidR="0036466D" w:rsidRPr="009710CA" w:rsidRDefault="0036466D" w:rsidP="0087214A">
      <w:pPr>
        <w:pStyle w:val="BodyText"/>
        <w:spacing w:line="480" w:lineRule="auto"/>
        <w:ind w:firstLine="720"/>
        <w:rPr>
          <w:rFonts w:ascii="Book Antiqua" w:hAnsi="Book Antiqua"/>
          <w:color w:val="000000" w:themeColor="text1"/>
        </w:rPr>
      </w:pPr>
      <w:r w:rsidRPr="009710CA">
        <w:rPr>
          <w:rFonts w:ascii="Book Antiqua" w:hAnsi="Book Antiqua"/>
          <w:color w:val="000000" w:themeColor="text1"/>
        </w:rPr>
        <w:t xml:space="preserve">El </w:t>
      </w:r>
      <w:r w:rsidR="00BF680F" w:rsidRPr="009710CA">
        <w:rPr>
          <w:rFonts w:ascii="Book Antiqua" w:hAnsi="Book Antiqua"/>
          <w:color w:val="000000" w:themeColor="text1"/>
        </w:rPr>
        <w:t>director ejecutivo</w:t>
      </w:r>
      <w:r w:rsidRPr="009710CA">
        <w:rPr>
          <w:rFonts w:ascii="Book Antiqua" w:hAnsi="Book Antiqua"/>
          <w:color w:val="000000" w:themeColor="text1"/>
        </w:rPr>
        <w:t xml:space="preserve"> del Centro de Recaudaciones de Ingresos Municipales adoptará un reglamento, determinación administrativa, carta circular, boletín </w:t>
      </w:r>
      <w:r w:rsidRPr="009710CA">
        <w:rPr>
          <w:rFonts w:ascii="Book Antiqua" w:hAnsi="Book Antiqua"/>
          <w:color w:val="000000" w:themeColor="text1"/>
        </w:rPr>
        <w:lastRenderedPageBreak/>
        <w:t>informativo o cualquier otro pronunciamiento o documento oficial de carácter general, en un término no mayor de sesenta (60) días a partir de la vigencia de esta Ley, para facilitar la implementación de lo establecido en esta Ley. La ausencia de un reglamento o pronunciamiento administrativo adoptado, según aquí dispuesto, no impedirá que las disposiciones contenidas en esta Ley puedan ser ejercidas y cumplidas por el Centro de Recaudaciones de Impuestos Municipales.</w:t>
      </w:r>
    </w:p>
    <w:p w14:paraId="392EB9A2" w14:textId="77777777" w:rsidR="0036466D" w:rsidRPr="009710CA" w:rsidRDefault="0036466D" w:rsidP="0087214A">
      <w:pPr>
        <w:spacing w:line="480" w:lineRule="auto"/>
        <w:ind w:firstLine="360"/>
        <w:jc w:val="both"/>
        <w:rPr>
          <w:rFonts w:ascii="Book Antiqua" w:hAnsi="Book Antiqua"/>
          <w:color w:val="000000" w:themeColor="text1"/>
          <w:lang w:val="es-PR"/>
        </w:rPr>
      </w:pPr>
      <w:r w:rsidRPr="009710CA">
        <w:rPr>
          <w:rFonts w:ascii="Book Antiqua" w:hAnsi="Book Antiqua"/>
          <w:color w:val="000000" w:themeColor="text1"/>
          <w:lang w:val="es-PR"/>
        </w:rPr>
        <w:t>Sección 5.- Cláusula de Separabilidad.</w:t>
      </w:r>
    </w:p>
    <w:p w14:paraId="5094535E" w14:textId="77777777" w:rsidR="0036466D" w:rsidRPr="009710CA" w:rsidRDefault="0036466D" w:rsidP="0087214A">
      <w:pPr>
        <w:spacing w:line="480" w:lineRule="auto"/>
        <w:ind w:firstLine="360"/>
        <w:jc w:val="both"/>
        <w:rPr>
          <w:rFonts w:ascii="Book Antiqua" w:hAnsi="Book Antiqua"/>
          <w:color w:val="000000" w:themeColor="text1"/>
          <w:lang w:val="es-PR"/>
        </w:rPr>
      </w:pPr>
      <w:r w:rsidRPr="009710CA">
        <w:rPr>
          <w:rFonts w:ascii="Book Antiqua" w:hAnsi="Book Antiqua"/>
          <w:color w:val="000000" w:themeColor="text1"/>
          <w:lang w:val="es-PR"/>
        </w:rPr>
        <w:t>Si cualquier parte de esta Ley fuere declarada inconstitucional por un tribunal competente, la sentencia a tal efecto dictada no afectará, perjudicará ni invalidará el resto de la Ley.  El efecto quedará limitado a la parte específica de la Ley que así hubiere sido declarada inconstitucional.</w:t>
      </w:r>
    </w:p>
    <w:p w14:paraId="654F1CFB" w14:textId="77777777" w:rsidR="0036466D" w:rsidRPr="009710CA" w:rsidRDefault="0036466D" w:rsidP="0087214A">
      <w:pPr>
        <w:pStyle w:val="BodyText"/>
        <w:spacing w:line="480" w:lineRule="auto"/>
        <w:ind w:firstLine="360"/>
        <w:rPr>
          <w:rFonts w:ascii="Book Antiqua" w:hAnsi="Book Antiqua"/>
          <w:color w:val="000000" w:themeColor="text1"/>
        </w:rPr>
      </w:pPr>
      <w:r w:rsidRPr="009710CA">
        <w:rPr>
          <w:rFonts w:ascii="Book Antiqua" w:hAnsi="Book Antiqua"/>
          <w:color w:val="000000" w:themeColor="text1"/>
        </w:rPr>
        <w:t>Sección 6.- Vigencia.</w:t>
      </w:r>
    </w:p>
    <w:p w14:paraId="2F72E411" w14:textId="49719297" w:rsidR="0086165E" w:rsidRPr="009710CA" w:rsidRDefault="0036466D" w:rsidP="0087214A">
      <w:pPr>
        <w:pStyle w:val="BodyText"/>
        <w:spacing w:line="480" w:lineRule="auto"/>
        <w:ind w:firstLine="360"/>
        <w:rPr>
          <w:rFonts w:ascii="Book Antiqua" w:hAnsi="Book Antiqua"/>
          <w:color w:val="000000" w:themeColor="text1"/>
        </w:rPr>
      </w:pPr>
      <w:r w:rsidRPr="009710CA">
        <w:rPr>
          <w:rFonts w:ascii="Book Antiqua" w:hAnsi="Book Antiqua"/>
          <w:color w:val="000000" w:themeColor="text1"/>
        </w:rPr>
        <w:t>Esta Ley comenzará a regir noventa (90) días después de su aprobación.</w:t>
      </w:r>
    </w:p>
    <w:sectPr w:rsidR="0086165E" w:rsidRPr="009710CA" w:rsidSect="0036466D">
      <w:type w:val="continuous"/>
      <w:pgSz w:w="12240" w:h="15840" w:code="1"/>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751702" w14:textId="77777777" w:rsidR="00C83E17" w:rsidRDefault="00C83E17">
      <w:r>
        <w:separator/>
      </w:r>
    </w:p>
  </w:endnote>
  <w:endnote w:type="continuationSeparator" w:id="0">
    <w:p w14:paraId="06813989" w14:textId="77777777" w:rsidR="00C83E17" w:rsidRDefault="00C83E17">
      <w:r>
        <w:continuationSeparator/>
      </w:r>
    </w:p>
  </w:endnote>
  <w:endnote w:type="continuationNotice" w:id="1">
    <w:p w14:paraId="6C1F8D75" w14:textId="77777777" w:rsidR="00C83E17" w:rsidRDefault="00C83E1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altName w:val="Book Antiqua"/>
    <w:panose1 w:val="02040602050305030304"/>
    <w:charset w:val="00"/>
    <w:family w:val="roman"/>
    <w:pitch w:val="variable"/>
    <w:sig w:usb0="00000287" w:usb1="00000000" w:usb2="00000000" w:usb3="00000000" w:csb0="0000009F" w:csb1="00000000"/>
    <w:embedRegular r:id="rId1" w:fontKey="{ECA25C02-EEBB-4672-A540-BBF7FAB0FA55}"/>
    <w:embedBold r:id="rId2" w:fontKey="{4927A6D0-8937-403B-960C-DCED2D74AB0D}"/>
    <w:embedItalic r:id="rId3" w:fontKey="{BA3EC6A3-2AD9-4D53-8816-36FABDAF35A6}"/>
  </w:font>
  <w:font w:name="Segoe UI">
    <w:panose1 w:val="020B0502040204020203"/>
    <w:charset w:val="00"/>
    <w:family w:val="swiss"/>
    <w:pitch w:val="variable"/>
    <w:sig w:usb0="E4002EFF" w:usb1="C000E47F" w:usb2="00000009" w:usb3="00000000" w:csb0="000001FF" w:csb1="00000000"/>
    <w:embedRegular r:id="rId4" w:fontKey="{9BBE992D-892D-4BD2-A6F8-1757015109B3}"/>
  </w:font>
  <w:font w:name="Georgia">
    <w:panose1 w:val="02040502050405020303"/>
    <w:charset w:val="00"/>
    <w:family w:val="roman"/>
    <w:pitch w:val="variable"/>
    <w:sig w:usb0="00000287" w:usb1="00000000" w:usb2="00000000" w:usb3="00000000" w:csb0="0000009F" w:csb1="00000000"/>
    <w:embedRegular r:id="rId5" w:fontKey="{55BE22AE-55A5-4BDD-A063-30C54BA4901D}"/>
    <w:embedItalic r:id="rId6" w:fontKey="{F7E9127F-D6EE-4A17-963C-09016D7EDD98}"/>
  </w:font>
  <w:font w:name="DengXian">
    <w:altName w:val="等线"/>
    <w:panose1 w:val="02010600030101010101"/>
    <w:charset w:val="86"/>
    <w:family w:val="auto"/>
    <w:pitch w:val="variable"/>
    <w:sig w:usb0="A00002BF" w:usb1="38CF7CFA" w:usb2="00000016" w:usb3="00000000" w:csb0="0004000F" w:csb1="00000000"/>
  </w:font>
  <w:font w:name="Aptos">
    <w:charset w:val="00"/>
    <w:family w:val="swiss"/>
    <w:pitch w:val="variable"/>
    <w:sig w:usb0="20000287" w:usb1="00000003" w:usb2="00000000" w:usb3="00000000" w:csb0="0000019F" w:csb1="00000000"/>
    <w:embedRegular r:id="rId7" w:fontKey="{B6F1C3D6-1334-4981-9F70-6C6504BBCBC1}"/>
    <w:embedItalic r:id="rId8" w:fontKey="{B3D11F05-9B6F-4769-A7BF-93F1A992D420}"/>
  </w:font>
  <w:font w:name="Quattrocento">
    <w:charset w:val="00"/>
    <w:family w:val="roman"/>
    <w:pitch w:val="variable"/>
    <w:sig w:usb0="800000BF" w:usb1="4000004B" w:usb2="00000000" w:usb3="00000000" w:csb0="00000001"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embedRegular r:id="rId9" w:fontKey="{BDA0BFC4-2385-4465-8257-3A572021DA25}"/>
  </w:font>
  <w:font w:name="Calibri">
    <w:panose1 w:val="020F0502020204030204"/>
    <w:charset w:val="00"/>
    <w:family w:val="swiss"/>
    <w:pitch w:val="variable"/>
    <w:sig w:usb0="E4002EFF" w:usb1="C200247B" w:usb2="00000009" w:usb3="00000000" w:csb0="000001FF" w:csb1="00000000"/>
    <w:embedRegular r:id="rId10" w:fontKey="{056D879A-92BB-46F9-8057-7A8DEA43F07D}"/>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865036" w14:textId="77777777" w:rsidR="0087398A" w:rsidRDefault="0087398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72E413" w14:textId="77777777" w:rsidR="0086165E" w:rsidRDefault="0086165E">
    <w:pPr>
      <w:widowControl w:val="0"/>
      <w:spacing w:line="276" w:lineRule="auto"/>
      <w:rPr>
        <w:color w:val="000000"/>
      </w:rPr>
    </w:pPr>
  </w:p>
  <w:tbl>
    <w:tblPr>
      <w:tblStyle w:val="Style41"/>
      <w:tblW w:w="9360" w:type="dxa"/>
      <w:tblInd w:w="0" w:type="dxa"/>
      <w:tblLayout w:type="fixed"/>
      <w:tblLook w:val="04A0" w:firstRow="1" w:lastRow="0" w:firstColumn="1" w:lastColumn="0" w:noHBand="0" w:noVBand="1"/>
    </w:tblPr>
    <w:tblGrid>
      <w:gridCol w:w="3120"/>
      <w:gridCol w:w="3120"/>
      <w:gridCol w:w="3120"/>
    </w:tblGrid>
    <w:tr w:rsidR="0086165E" w14:paraId="2F72E417" w14:textId="77777777">
      <w:trPr>
        <w:trHeight w:val="300"/>
      </w:trPr>
      <w:tc>
        <w:tcPr>
          <w:tcW w:w="3120" w:type="dxa"/>
          <w:tcMar>
            <w:top w:w="0" w:type="dxa"/>
            <w:left w:w="108" w:type="dxa"/>
            <w:bottom w:w="0" w:type="dxa"/>
            <w:right w:w="108" w:type="dxa"/>
          </w:tcMar>
        </w:tcPr>
        <w:p w14:paraId="2F72E414" w14:textId="77777777" w:rsidR="0086165E" w:rsidRDefault="0086165E">
          <w:pPr>
            <w:tabs>
              <w:tab w:val="center" w:pos="4320"/>
              <w:tab w:val="right" w:pos="8640"/>
            </w:tabs>
            <w:ind w:left="-115"/>
            <w:rPr>
              <w:color w:val="000000"/>
            </w:rPr>
          </w:pPr>
        </w:p>
      </w:tc>
      <w:tc>
        <w:tcPr>
          <w:tcW w:w="3120" w:type="dxa"/>
          <w:tcMar>
            <w:top w:w="0" w:type="dxa"/>
            <w:left w:w="108" w:type="dxa"/>
            <w:bottom w:w="0" w:type="dxa"/>
            <w:right w:w="108" w:type="dxa"/>
          </w:tcMar>
        </w:tcPr>
        <w:p w14:paraId="2F72E415" w14:textId="77777777" w:rsidR="0086165E" w:rsidRDefault="0086165E">
          <w:pPr>
            <w:tabs>
              <w:tab w:val="center" w:pos="4320"/>
              <w:tab w:val="right" w:pos="8640"/>
            </w:tabs>
            <w:jc w:val="center"/>
            <w:rPr>
              <w:color w:val="000000"/>
            </w:rPr>
          </w:pPr>
        </w:p>
      </w:tc>
      <w:tc>
        <w:tcPr>
          <w:tcW w:w="3120" w:type="dxa"/>
          <w:tcMar>
            <w:top w:w="0" w:type="dxa"/>
            <w:left w:w="108" w:type="dxa"/>
            <w:bottom w:w="0" w:type="dxa"/>
            <w:right w:w="108" w:type="dxa"/>
          </w:tcMar>
        </w:tcPr>
        <w:p w14:paraId="2F72E416" w14:textId="77777777" w:rsidR="0086165E" w:rsidRDefault="0086165E">
          <w:pPr>
            <w:tabs>
              <w:tab w:val="center" w:pos="4320"/>
              <w:tab w:val="right" w:pos="8640"/>
            </w:tabs>
            <w:ind w:right="-115"/>
            <w:jc w:val="right"/>
            <w:rPr>
              <w:color w:val="000000"/>
            </w:rPr>
          </w:pPr>
        </w:p>
      </w:tc>
    </w:tr>
  </w:tbl>
  <w:p w14:paraId="2F72E418" w14:textId="77777777" w:rsidR="0086165E" w:rsidRDefault="0086165E">
    <w:pPr>
      <w:tabs>
        <w:tab w:val="center" w:pos="4320"/>
        <w:tab w:val="right" w:pos="8640"/>
      </w:tabs>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72E41B" w14:textId="77777777" w:rsidR="0086165E" w:rsidRDefault="0086165E">
    <w:pPr>
      <w:widowControl w:val="0"/>
      <w:spacing w:line="276" w:lineRule="auto"/>
      <w:rPr>
        <w:color w:val="000000"/>
      </w:rPr>
    </w:pPr>
  </w:p>
  <w:tbl>
    <w:tblPr>
      <w:tblStyle w:val="Style40"/>
      <w:tblW w:w="9360" w:type="dxa"/>
      <w:tblInd w:w="0" w:type="dxa"/>
      <w:tblLayout w:type="fixed"/>
      <w:tblLook w:val="04A0" w:firstRow="1" w:lastRow="0" w:firstColumn="1" w:lastColumn="0" w:noHBand="0" w:noVBand="1"/>
    </w:tblPr>
    <w:tblGrid>
      <w:gridCol w:w="3120"/>
      <w:gridCol w:w="3120"/>
      <w:gridCol w:w="3120"/>
    </w:tblGrid>
    <w:tr w:rsidR="0086165E" w14:paraId="2F72E41F" w14:textId="77777777">
      <w:trPr>
        <w:trHeight w:val="300"/>
      </w:trPr>
      <w:tc>
        <w:tcPr>
          <w:tcW w:w="3120" w:type="dxa"/>
          <w:tcMar>
            <w:top w:w="0" w:type="dxa"/>
            <w:left w:w="108" w:type="dxa"/>
            <w:bottom w:w="0" w:type="dxa"/>
            <w:right w:w="108" w:type="dxa"/>
          </w:tcMar>
        </w:tcPr>
        <w:p w14:paraId="2F72E41C" w14:textId="77777777" w:rsidR="0086165E" w:rsidRDefault="0086165E">
          <w:pPr>
            <w:tabs>
              <w:tab w:val="center" w:pos="4320"/>
              <w:tab w:val="right" w:pos="8640"/>
            </w:tabs>
            <w:ind w:left="-115"/>
            <w:rPr>
              <w:color w:val="000000"/>
            </w:rPr>
          </w:pPr>
        </w:p>
      </w:tc>
      <w:tc>
        <w:tcPr>
          <w:tcW w:w="3120" w:type="dxa"/>
          <w:tcMar>
            <w:top w:w="0" w:type="dxa"/>
            <w:left w:w="108" w:type="dxa"/>
            <w:bottom w:w="0" w:type="dxa"/>
            <w:right w:w="108" w:type="dxa"/>
          </w:tcMar>
        </w:tcPr>
        <w:p w14:paraId="2F72E41D" w14:textId="77777777" w:rsidR="0086165E" w:rsidRDefault="0086165E">
          <w:pPr>
            <w:tabs>
              <w:tab w:val="center" w:pos="4320"/>
              <w:tab w:val="right" w:pos="8640"/>
            </w:tabs>
            <w:jc w:val="center"/>
            <w:rPr>
              <w:color w:val="000000"/>
            </w:rPr>
          </w:pPr>
        </w:p>
      </w:tc>
      <w:tc>
        <w:tcPr>
          <w:tcW w:w="3120" w:type="dxa"/>
          <w:tcMar>
            <w:top w:w="0" w:type="dxa"/>
            <w:left w:w="108" w:type="dxa"/>
            <w:bottom w:w="0" w:type="dxa"/>
            <w:right w:w="108" w:type="dxa"/>
          </w:tcMar>
        </w:tcPr>
        <w:p w14:paraId="2F72E41E" w14:textId="77777777" w:rsidR="0086165E" w:rsidRDefault="0086165E">
          <w:pPr>
            <w:tabs>
              <w:tab w:val="center" w:pos="4320"/>
              <w:tab w:val="right" w:pos="8640"/>
            </w:tabs>
            <w:ind w:right="-115"/>
            <w:jc w:val="right"/>
            <w:rPr>
              <w:color w:val="000000"/>
            </w:rPr>
          </w:pPr>
        </w:p>
      </w:tc>
    </w:tr>
  </w:tbl>
  <w:p w14:paraId="2F72E420" w14:textId="77777777" w:rsidR="0086165E" w:rsidRDefault="0086165E">
    <w:pPr>
      <w:tabs>
        <w:tab w:val="center" w:pos="4320"/>
        <w:tab w:val="right" w:pos="8640"/>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47F0D6" w14:textId="77777777" w:rsidR="00C83E17" w:rsidRDefault="00C83E17">
      <w:r>
        <w:separator/>
      </w:r>
    </w:p>
  </w:footnote>
  <w:footnote w:type="continuationSeparator" w:id="0">
    <w:p w14:paraId="002A5E81" w14:textId="77777777" w:rsidR="00C83E17" w:rsidRDefault="00C83E17">
      <w:r>
        <w:continuationSeparator/>
      </w:r>
    </w:p>
  </w:footnote>
  <w:footnote w:type="continuationNotice" w:id="1">
    <w:p w14:paraId="41D8AE4E" w14:textId="77777777" w:rsidR="00C83E17" w:rsidRDefault="00C83E1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FBDDA9" w14:textId="77777777" w:rsidR="0087398A" w:rsidRDefault="0087398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72E412" w14:textId="77777777" w:rsidR="0086165E" w:rsidRDefault="0099207B">
    <w:pPr>
      <w:tabs>
        <w:tab w:val="center" w:pos="4320"/>
        <w:tab w:val="right" w:pos="8640"/>
      </w:tabs>
      <w:jc w:val="center"/>
      <w:rPr>
        <w:color w:val="000000"/>
      </w:rPr>
    </w:pPr>
    <w:r>
      <w:rPr>
        <w:color w:val="000000"/>
      </w:rPr>
      <w:fldChar w:fldCharType="begin"/>
    </w:r>
    <w:r>
      <w:rPr>
        <w:color w:val="000000"/>
      </w:rPr>
      <w:instrText>PAGE</w:instrText>
    </w:r>
    <w:r>
      <w:rPr>
        <w:color w:val="000000"/>
      </w:rPr>
      <w:fldChar w:fldCharType="separate"/>
    </w:r>
    <w:r>
      <w:rPr>
        <w:color w:val="000000"/>
      </w:rPr>
      <w:t>2</w:t>
    </w:r>
    <w:r>
      <w:rPr>
        <w:color w:val="000000"/>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72E41A" w14:textId="00E09B8B" w:rsidR="0086165E" w:rsidRDefault="0087398A" w:rsidP="0087398A">
    <w:pPr>
      <w:jc w:val="right"/>
      <w:rPr>
        <w:color w:val="000000"/>
      </w:rPr>
    </w:pPr>
    <w:r>
      <w:rPr>
        <w:color w:val="000000"/>
      </w:rPr>
      <w:t xml:space="preserve">   A-020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0C0891"/>
    <w:multiLevelType w:val="multilevel"/>
    <w:tmpl w:val="0E0C0891"/>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53A0A2B"/>
    <w:multiLevelType w:val="hybridMultilevel"/>
    <w:tmpl w:val="660A006C"/>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213E7249"/>
    <w:multiLevelType w:val="hybridMultilevel"/>
    <w:tmpl w:val="6D9C7A8C"/>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2362155"/>
    <w:multiLevelType w:val="hybridMultilevel"/>
    <w:tmpl w:val="11C2C06A"/>
    <w:lvl w:ilvl="0" w:tplc="2F16BA2C">
      <w:start w:val="1"/>
      <w:numFmt w:val="decimal"/>
      <w:lvlText w:val="(%1)"/>
      <w:lvlJc w:val="left"/>
      <w:pPr>
        <w:ind w:left="1800" w:hanging="360"/>
      </w:pPr>
      <w:rPr>
        <w:rFonts w:hint="default"/>
        <w:i w:val="0"/>
        <w:iCs w:val="0"/>
        <w:strike w:val="0"/>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414F39D4"/>
    <w:multiLevelType w:val="multilevel"/>
    <w:tmpl w:val="414F39D4"/>
    <w:lvl w:ilvl="0">
      <w:start w:val="1"/>
      <w:numFmt w:val="decimal"/>
      <w:lvlText w:val="%1."/>
      <w:lvlJc w:val="left"/>
      <w:pPr>
        <w:ind w:left="720" w:hanging="360"/>
      </w:pPr>
      <w:rPr>
        <w:rFonts w:eastAsia="Times New Roman" w:cs="Times New Roman" w:hint="default"/>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4B5F4170"/>
    <w:multiLevelType w:val="hybridMultilevel"/>
    <w:tmpl w:val="4B00B32E"/>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56B944B1"/>
    <w:multiLevelType w:val="hybridMultilevel"/>
    <w:tmpl w:val="7E786A4C"/>
    <w:lvl w:ilvl="0" w:tplc="4DF62EB0">
      <w:start w:val="1"/>
      <w:numFmt w:val="lowerRoman"/>
      <w:lvlText w:val="(%1)"/>
      <w:lvlJc w:val="left"/>
      <w:pPr>
        <w:ind w:left="2880" w:hanging="720"/>
      </w:pPr>
      <w:rPr>
        <w:rFonts w:hint="default"/>
        <w:u w:val="none"/>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7" w15:restartNumberingAfterBreak="0">
    <w:nsid w:val="631747AC"/>
    <w:multiLevelType w:val="hybridMultilevel"/>
    <w:tmpl w:val="1F9048DE"/>
    <w:lvl w:ilvl="0" w:tplc="FB384038">
      <w:start w:val="1"/>
      <w:numFmt w:val="lowerLetter"/>
      <w:lvlText w:val="(%1)"/>
      <w:lvlJc w:val="left"/>
      <w:pPr>
        <w:ind w:left="1080" w:hanging="360"/>
      </w:pPr>
      <w:rPr>
        <w:rFonts w:hint="default"/>
        <w:i w:val="0"/>
        <w:iCs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7D132795"/>
    <w:multiLevelType w:val="hybridMultilevel"/>
    <w:tmpl w:val="D5D60E76"/>
    <w:lvl w:ilvl="0" w:tplc="FFFFFFFF">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num w:numId="1" w16cid:durableId="1571883335">
    <w:abstractNumId w:val="0"/>
  </w:num>
  <w:num w:numId="2" w16cid:durableId="529952247">
    <w:abstractNumId w:val="4"/>
  </w:num>
  <w:num w:numId="3" w16cid:durableId="681591030">
    <w:abstractNumId w:val="5"/>
  </w:num>
  <w:num w:numId="4" w16cid:durableId="1851988970">
    <w:abstractNumId w:val="1"/>
  </w:num>
  <w:num w:numId="5" w16cid:durableId="1092235988">
    <w:abstractNumId w:val="2"/>
  </w:num>
  <w:num w:numId="6" w16cid:durableId="1799645579">
    <w:abstractNumId w:val="7"/>
  </w:num>
  <w:num w:numId="7" w16cid:durableId="837770007">
    <w:abstractNumId w:val="3"/>
  </w:num>
  <w:num w:numId="8" w16cid:durableId="880214693">
    <w:abstractNumId w:val="8"/>
  </w:num>
  <w:num w:numId="9" w16cid:durableId="144291673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3031"/>
    <w:rsid w:val="000107AB"/>
    <w:rsid w:val="00010D19"/>
    <w:rsid w:val="00015AF4"/>
    <w:rsid w:val="00017232"/>
    <w:rsid w:val="000248C7"/>
    <w:rsid w:val="00027C66"/>
    <w:rsid w:val="00033980"/>
    <w:rsid w:val="00033B80"/>
    <w:rsid w:val="00035CB9"/>
    <w:rsid w:val="000416E3"/>
    <w:rsid w:val="00051AD1"/>
    <w:rsid w:val="000536ED"/>
    <w:rsid w:val="00056D71"/>
    <w:rsid w:val="00062D5F"/>
    <w:rsid w:val="00067E49"/>
    <w:rsid w:val="000700E0"/>
    <w:rsid w:val="000711FC"/>
    <w:rsid w:val="00074B76"/>
    <w:rsid w:val="0008657D"/>
    <w:rsid w:val="000A3DD4"/>
    <w:rsid w:val="000B1BE8"/>
    <w:rsid w:val="000B33EC"/>
    <w:rsid w:val="000B4CF9"/>
    <w:rsid w:val="000C0F6A"/>
    <w:rsid w:val="000C188B"/>
    <w:rsid w:val="000C4A0E"/>
    <w:rsid w:val="000C60AE"/>
    <w:rsid w:val="000C68E5"/>
    <w:rsid w:val="000C79C4"/>
    <w:rsid w:val="000D1B64"/>
    <w:rsid w:val="000D2EB5"/>
    <w:rsid w:val="000D30A4"/>
    <w:rsid w:val="000E0C97"/>
    <w:rsid w:val="000E3403"/>
    <w:rsid w:val="000E428F"/>
    <w:rsid w:val="000E5780"/>
    <w:rsid w:val="000E6E74"/>
    <w:rsid w:val="000E78E8"/>
    <w:rsid w:val="000F7E20"/>
    <w:rsid w:val="001040ED"/>
    <w:rsid w:val="00105B40"/>
    <w:rsid w:val="0011139B"/>
    <w:rsid w:val="00113415"/>
    <w:rsid w:val="00115129"/>
    <w:rsid w:val="0011591A"/>
    <w:rsid w:val="001205C9"/>
    <w:rsid w:val="00122382"/>
    <w:rsid w:val="0012419B"/>
    <w:rsid w:val="001255FB"/>
    <w:rsid w:val="00133178"/>
    <w:rsid w:val="00133D83"/>
    <w:rsid w:val="001363AF"/>
    <w:rsid w:val="00136986"/>
    <w:rsid w:val="00136AC5"/>
    <w:rsid w:val="00142293"/>
    <w:rsid w:val="00145860"/>
    <w:rsid w:val="00150C87"/>
    <w:rsid w:val="0015241F"/>
    <w:rsid w:val="00152B9A"/>
    <w:rsid w:val="00160ABA"/>
    <w:rsid w:val="001613A5"/>
    <w:rsid w:val="00164AC1"/>
    <w:rsid w:val="00164E97"/>
    <w:rsid w:val="001677A8"/>
    <w:rsid w:val="00167F5C"/>
    <w:rsid w:val="0019004A"/>
    <w:rsid w:val="00192D73"/>
    <w:rsid w:val="00194A5E"/>
    <w:rsid w:val="001969E8"/>
    <w:rsid w:val="001A0C9E"/>
    <w:rsid w:val="001A18F4"/>
    <w:rsid w:val="001A25B8"/>
    <w:rsid w:val="001A2F65"/>
    <w:rsid w:val="001A35E2"/>
    <w:rsid w:val="001A3D6A"/>
    <w:rsid w:val="001A57DF"/>
    <w:rsid w:val="001B1AAC"/>
    <w:rsid w:val="001B6B7A"/>
    <w:rsid w:val="001C50A0"/>
    <w:rsid w:val="001C7468"/>
    <w:rsid w:val="001D07B3"/>
    <w:rsid w:val="001D0FDF"/>
    <w:rsid w:val="001D54A8"/>
    <w:rsid w:val="001D75A8"/>
    <w:rsid w:val="001E1A20"/>
    <w:rsid w:val="001E33DB"/>
    <w:rsid w:val="001E6305"/>
    <w:rsid w:val="001E6E99"/>
    <w:rsid w:val="001F0EB9"/>
    <w:rsid w:val="0020530B"/>
    <w:rsid w:val="0020610D"/>
    <w:rsid w:val="0021328C"/>
    <w:rsid w:val="002138BE"/>
    <w:rsid w:val="002171AD"/>
    <w:rsid w:val="0022330F"/>
    <w:rsid w:val="002268D0"/>
    <w:rsid w:val="002271A5"/>
    <w:rsid w:val="002318F0"/>
    <w:rsid w:val="0023393F"/>
    <w:rsid w:val="002431B7"/>
    <w:rsid w:val="0024618D"/>
    <w:rsid w:val="00253D9F"/>
    <w:rsid w:val="00254DCC"/>
    <w:rsid w:val="0025524E"/>
    <w:rsid w:val="002646F8"/>
    <w:rsid w:val="00266688"/>
    <w:rsid w:val="00266D4C"/>
    <w:rsid w:val="00270743"/>
    <w:rsid w:val="00273031"/>
    <w:rsid w:val="00274AD3"/>
    <w:rsid w:val="0028441B"/>
    <w:rsid w:val="00285A15"/>
    <w:rsid w:val="00286B47"/>
    <w:rsid w:val="0029088F"/>
    <w:rsid w:val="002A1D65"/>
    <w:rsid w:val="002A23EE"/>
    <w:rsid w:val="002A27D4"/>
    <w:rsid w:val="002A2FDA"/>
    <w:rsid w:val="002A4E84"/>
    <w:rsid w:val="002A4F4F"/>
    <w:rsid w:val="002A7C37"/>
    <w:rsid w:val="002B02C2"/>
    <w:rsid w:val="002B11F1"/>
    <w:rsid w:val="002B39A7"/>
    <w:rsid w:val="002B4C93"/>
    <w:rsid w:val="002B5618"/>
    <w:rsid w:val="002B68B4"/>
    <w:rsid w:val="002B6CC7"/>
    <w:rsid w:val="002B7906"/>
    <w:rsid w:val="002C11AB"/>
    <w:rsid w:val="002C2C31"/>
    <w:rsid w:val="002C2DB0"/>
    <w:rsid w:val="002C6423"/>
    <w:rsid w:val="002D1A9D"/>
    <w:rsid w:val="002D6159"/>
    <w:rsid w:val="002E1467"/>
    <w:rsid w:val="002E34D5"/>
    <w:rsid w:val="002E4898"/>
    <w:rsid w:val="002F21CF"/>
    <w:rsid w:val="002F3045"/>
    <w:rsid w:val="002F48BA"/>
    <w:rsid w:val="002F4FF5"/>
    <w:rsid w:val="002F5B16"/>
    <w:rsid w:val="0030308D"/>
    <w:rsid w:val="00303699"/>
    <w:rsid w:val="00314D79"/>
    <w:rsid w:val="00314E6B"/>
    <w:rsid w:val="00321AB7"/>
    <w:rsid w:val="00327314"/>
    <w:rsid w:val="00327833"/>
    <w:rsid w:val="00330C99"/>
    <w:rsid w:val="00343CBC"/>
    <w:rsid w:val="003524D5"/>
    <w:rsid w:val="0035313D"/>
    <w:rsid w:val="00354ADB"/>
    <w:rsid w:val="00362698"/>
    <w:rsid w:val="0036466D"/>
    <w:rsid w:val="0036500C"/>
    <w:rsid w:val="00365BB2"/>
    <w:rsid w:val="00372695"/>
    <w:rsid w:val="0037540B"/>
    <w:rsid w:val="00380D7C"/>
    <w:rsid w:val="0038126F"/>
    <w:rsid w:val="00385901"/>
    <w:rsid w:val="0039554A"/>
    <w:rsid w:val="003963BE"/>
    <w:rsid w:val="00397238"/>
    <w:rsid w:val="003A2100"/>
    <w:rsid w:val="003C085D"/>
    <w:rsid w:val="003C79D6"/>
    <w:rsid w:val="003D33D5"/>
    <w:rsid w:val="003D3EA2"/>
    <w:rsid w:val="003D42BF"/>
    <w:rsid w:val="003D4499"/>
    <w:rsid w:val="003E30F3"/>
    <w:rsid w:val="003E4859"/>
    <w:rsid w:val="003F18AA"/>
    <w:rsid w:val="003F352A"/>
    <w:rsid w:val="003F4992"/>
    <w:rsid w:val="004143E0"/>
    <w:rsid w:val="00415E5D"/>
    <w:rsid w:val="00416F13"/>
    <w:rsid w:val="0042014B"/>
    <w:rsid w:val="00420BF8"/>
    <w:rsid w:val="0042619D"/>
    <w:rsid w:val="00431D54"/>
    <w:rsid w:val="00432F8E"/>
    <w:rsid w:val="00437DC4"/>
    <w:rsid w:val="00444257"/>
    <w:rsid w:val="00452649"/>
    <w:rsid w:val="00461FBD"/>
    <w:rsid w:val="00464BCF"/>
    <w:rsid w:val="004675CC"/>
    <w:rsid w:val="00477224"/>
    <w:rsid w:val="00480C72"/>
    <w:rsid w:val="00493F9B"/>
    <w:rsid w:val="004943B1"/>
    <w:rsid w:val="004A4994"/>
    <w:rsid w:val="004A5974"/>
    <w:rsid w:val="004B769A"/>
    <w:rsid w:val="004B7EA0"/>
    <w:rsid w:val="004C3A23"/>
    <w:rsid w:val="004C411D"/>
    <w:rsid w:val="004C41AE"/>
    <w:rsid w:val="004C6236"/>
    <w:rsid w:val="004D49FA"/>
    <w:rsid w:val="004D4F2E"/>
    <w:rsid w:val="004D7071"/>
    <w:rsid w:val="004E19F7"/>
    <w:rsid w:val="004E5BE6"/>
    <w:rsid w:val="004E6136"/>
    <w:rsid w:val="004E6341"/>
    <w:rsid w:val="004F0279"/>
    <w:rsid w:val="004F2644"/>
    <w:rsid w:val="004F3841"/>
    <w:rsid w:val="004F6B8B"/>
    <w:rsid w:val="00502ECA"/>
    <w:rsid w:val="00503836"/>
    <w:rsid w:val="0050443D"/>
    <w:rsid w:val="00506CA0"/>
    <w:rsid w:val="00511693"/>
    <w:rsid w:val="005209C9"/>
    <w:rsid w:val="00524FBA"/>
    <w:rsid w:val="005258EB"/>
    <w:rsid w:val="005268D5"/>
    <w:rsid w:val="00526AC9"/>
    <w:rsid w:val="00527B13"/>
    <w:rsid w:val="00535D65"/>
    <w:rsid w:val="00535E82"/>
    <w:rsid w:val="00545A56"/>
    <w:rsid w:val="00555BB8"/>
    <w:rsid w:val="00570062"/>
    <w:rsid w:val="00573345"/>
    <w:rsid w:val="00573C36"/>
    <w:rsid w:val="0057614A"/>
    <w:rsid w:val="00584591"/>
    <w:rsid w:val="00585351"/>
    <w:rsid w:val="0058659A"/>
    <w:rsid w:val="00590C6C"/>
    <w:rsid w:val="00592F40"/>
    <w:rsid w:val="00596DDC"/>
    <w:rsid w:val="005A30B4"/>
    <w:rsid w:val="005A3527"/>
    <w:rsid w:val="005A532D"/>
    <w:rsid w:val="005B1646"/>
    <w:rsid w:val="005B668B"/>
    <w:rsid w:val="005C0837"/>
    <w:rsid w:val="005C1A6B"/>
    <w:rsid w:val="005C2330"/>
    <w:rsid w:val="005C24E6"/>
    <w:rsid w:val="005C7524"/>
    <w:rsid w:val="005D4BD9"/>
    <w:rsid w:val="005E2F88"/>
    <w:rsid w:val="005E3680"/>
    <w:rsid w:val="005E7EC5"/>
    <w:rsid w:val="005F2872"/>
    <w:rsid w:val="005F7D1B"/>
    <w:rsid w:val="00603B59"/>
    <w:rsid w:val="00604CE6"/>
    <w:rsid w:val="00610344"/>
    <w:rsid w:val="00614CFF"/>
    <w:rsid w:val="0061628B"/>
    <w:rsid w:val="006204CF"/>
    <w:rsid w:val="006220C7"/>
    <w:rsid w:val="00624B86"/>
    <w:rsid w:val="00627DE1"/>
    <w:rsid w:val="00632F92"/>
    <w:rsid w:val="0063665B"/>
    <w:rsid w:val="00636E65"/>
    <w:rsid w:val="006414C7"/>
    <w:rsid w:val="00642C79"/>
    <w:rsid w:val="006430D0"/>
    <w:rsid w:val="0064494E"/>
    <w:rsid w:val="0065452C"/>
    <w:rsid w:val="00654571"/>
    <w:rsid w:val="00655C8E"/>
    <w:rsid w:val="00656D19"/>
    <w:rsid w:val="00662A0E"/>
    <w:rsid w:val="00666A3B"/>
    <w:rsid w:val="00672984"/>
    <w:rsid w:val="00675385"/>
    <w:rsid w:val="006754B5"/>
    <w:rsid w:val="00694E17"/>
    <w:rsid w:val="00697796"/>
    <w:rsid w:val="006A141E"/>
    <w:rsid w:val="006A292F"/>
    <w:rsid w:val="006A7E28"/>
    <w:rsid w:val="006B0A70"/>
    <w:rsid w:val="006B78AD"/>
    <w:rsid w:val="006C04BE"/>
    <w:rsid w:val="006C0D59"/>
    <w:rsid w:val="006C217A"/>
    <w:rsid w:val="006C4529"/>
    <w:rsid w:val="006C4E23"/>
    <w:rsid w:val="006D1974"/>
    <w:rsid w:val="006D6693"/>
    <w:rsid w:val="006D7BFF"/>
    <w:rsid w:val="006E7A33"/>
    <w:rsid w:val="006F0B06"/>
    <w:rsid w:val="006F500B"/>
    <w:rsid w:val="006F7CF2"/>
    <w:rsid w:val="0070183E"/>
    <w:rsid w:val="00712EC8"/>
    <w:rsid w:val="007164D0"/>
    <w:rsid w:val="00724C73"/>
    <w:rsid w:val="00725BCD"/>
    <w:rsid w:val="00736EAA"/>
    <w:rsid w:val="00740BAC"/>
    <w:rsid w:val="0074642B"/>
    <w:rsid w:val="007553C1"/>
    <w:rsid w:val="00755AEC"/>
    <w:rsid w:val="00755DDC"/>
    <w:rsid w:val="00760792"/>
    <w:rsid w:val="00761E6D"/>
    <w:rsid w:val="00763A35"/>
    <w:rsid w:val="00772AEB"/>
    <w:rsid w:val="00776FCF"/>
    <w:rsid w:val="00781480"/>
    <w:rsid w:val="00781A97"/>
    <w:rsid w:val="00785F84"/>
    <w:rsid w:val="00790454"/>
    <w:rsid w:val="00791054"/>
    <w:rsid w:val="00791FA9"/>
    <w:rsid w:val="007A5591"/>
    <w:rsid w:val="007A5875"/>
    <w:rsid w:val="007B17BB"/>
    <w:rsid w:val="007B181D"/>
    <w:rsid w:val="007B7EC3"/>
    <w:rsid w:val="007C31AF"/>
    <w:rsid w:val="007D0C01"/>
    <w:rsid w:val="007D4ED6"/>
    <w:rsid w:val="007D51C3"/>
    <w:rsid w:val="007D556E"/>
    <w:rsid w:val="007D76E0"/>
    <w:rsid w:val="007E3AC3"/>
    <w:rsid w:val="00806DB0"/>
    <w:rsid w:val="008104B2"/>
    <w:rsid w:val="00812840"/>
    <w:rsid w:val="00820B74"/>
    <w:rsid w:val="00820EC0"/>
    <w:rsid w:val="00826B88"/>
    <w:rsid w:val="00831773"/>
    <w:rsid w:val="0083435F"/>
    <w:rsid w:val="00834801"/>
    <w:rsid w:val="00837B0B"/>
    <w:rsid w:val="00843BF2"/>
    <w:rsid w:val="00850770"/>
    <w:rsid w:val="0086165E"/>
    <w:rsid w:val="008629CB"/>
    <w:rsid w:val="00867761"/>
    <w:rsid w:val="008710DF"/>
    <w:rsid w:val="0087186C"/>
    <w:rsid w:val="0087214A"/>
    <w:rsid w:val="0087373E"/>
    <w:rsid w:val="0087398A"/>
    <w:rsid w:val="00874CE2"/>
    <w:rsid w:val="00876EDE"/>
    <w:rsid w:val="00877E4D"/>
    <w:rsid w:val="00882948"/>
    <w:rsid w:val="00883151"/>
    <w:rsid w:val="0089008A"/>
    <w:rsid w:val="00891773"/>
    <w:rsid w:val="00892585"/>
    <w:rsid w:val="008925BB"/>
    <w:rsid w:val="008A0EFB"/>
    <w:rsid w:val="008B3680"/>
    <w:rsid w:val="008B5434"/>
    <w:rsid w:val="008B58FB"/>
    <w:rsid w:val="008C0934"/>
    <w:rsid w:val="008D162B"/>
    <w:rsid w:val="008D5A27"/>
    <w:rsid w:val="008D5B00"/>
    <w:rsid w:val="008D6A3E"/>
    <w:rsid w:val="008D6F92"/>
    <w:rsid w:val="008D7D6B"/>
    <w:rsid w:val="008E23CC"/>
    <w:rsid w:val="008E57CB"/>
    <w:rsid w:val="008E5DA2"/>
    <w:rsid w:val="008F3CF7"/>
    <w:rsid w:val="008F6437"/>
    <w:rsid w:val="00902996"/>
    <w:rsid w:val="009061B2"/>
    <w:rsid w:val="009063F6"/>
    <w:rsid w:val="00910CF1"/>
    <w:rsid w:val="00915219"/>
    <w:rsid w:val="00916051"/>
    <w:rsid w:val="00916EB6"/>
    <w:rsid w:val="00916EF2"/>
    <w:rsid w:val="0091725F"/>
    <w:rsid w:val="009214EC"/>
    <w:rsid w:val="00921934"/>
    <w:rsid w:val="00922818"/>
    <w:rsid w:val="0093386D"/>
    <w:rsid w:val="009338EA"/>
    <w:rsid w:val="00941E0D"/>
    <w:rsid w:val="00942E06"/>
    <w:rsid w:val="00945D8D"/>
    <w:rsid w:val="00950A46"/>
    <w:rsid w:val="0095298F"/>
    <w:rsid w:val="00954675"/>
    <w:rsid w:val="0095702C"/>
    <w:rsid w:val="00962C3E"/>
    <w:rsid w:val="00967EF6"/>
    <w:rsid w:val="00970540"/>
    <w:rsid w:val="00970976"/>
    <w:rsid w:val="00970FC9"/>
    <w:rsid w:val="009710CA"/>
    <w:rsid w:val="00985565"/>
    <w:rsid w:val="00986C42"/>
    <w:rsid w:val="00990281"/>
    <w:rsid w:val="0099145A"/>
    <w:rsid w:val="0099207B"/>
    <w:rsid w:val="009A0ED5"/>
    <w:rsid w:val="009A515A"/>
    <w:rsid w:val="009B0F01"/>
    <w:rsid w:val="009B47BF"/>
    <w:rsid w:val="009B50E4"/>
    <w:rsid w:val="009B51AD"/>
    <w:rsid w:val="009B5EC4"/>
    <w:rsid w:val="009C4F4A"/>
    <w:rsid w:val="009C6961"/>
    <w:rsid w:val="009D1665"/>
    <w:rsid w:val="009D5726"/>
    <w:rsid w:val="009D78D1"/>
    <w:rsid w:val="009D79EC"/>
    <w:rsid w:val="009E3B64"/>
    <w:rsid w:val="009F06B1"/>
    <w:rsid w:val="009F153B"/>
    <w:rsid w:val="009F15AE"/>
    <w:rsid w:val="009F309A"/>
    <w:rsid w:val="009F5DD3"/>
    <w:rsid w:val="009F6668"/>
    <w:rsid w:val="00A01687"/>
    <w:rsid w:val="00A024AC"/>
    <w:rsid w:val="00A06370"/>
    <w:rsid w:val="00A072FE"/>
    <w:rsid w:val="00A10500"/>
    <w:rsid w:val="00A11169"/>
    <w:rsid w:val="00A177F0"/>
    <w:rsid w:val="00A22039"/>
    <w:rsid w:val="00A22D3B"/>
    <w:rsid w:val="00A36361"/>
    <w:rsid w:val="00A37F53"/>
    <w:rsid w:val="00A41F69"/>
    <w:rsid w:val="00A47378"/>
    <w:rsid w:val="00A47BDC"/>
    <w:rsid w:val="00A47ED4"/>
    <w:rsid w:val="00A51B24"/>
    <w:rsid w:val="00A52322"/>
    <w:rsid w:val="00A52F9B"/>
    <w:rsid w:val="00A55370"/>
    <w:rsid w:val="00A62528"/>
    <w:rsid w:val="00A67A3A"/>
    <w:rsid w:val="00A67FDB"/>
    <w:rsid w:val="00A8093F"/>
    <w:rsid w:val="00A860DC"/>
    <w:rsid w:val="00A90C84"/>
    <w:rsid w:val="00A94A37"/>
    <w:rsid w:val="00A97187"/>
    <w:rsid w:val="00AA1591"/>
    <w:rsid w:val="00AA2A43"/>
    <w:rsid w:val="00AB2796"/>
    <w:rsid w:val="00AB3109"/>
    <w:rsid w:val="00AB6B2F"/>
    <w:rsid w:val="00AC3125"/>
    <w:rsid w:val="00AD1CE3"/>
    <w:rsid w:val="00AD4C7D"/>
    <w:rsid w:val="00AE1FE1"/>
    <w:rsid w:val="00AE7DF9"/>
    <w:rsid w:val="00AF19DC"/>
    <w:rsid w:val="00AF26DE"/>
    <w:rsid w:val="00AF33A2"/>
    <w:rsid w:val="00B015B0"/>
    <w:rsid w:val="00B03F2F"/>
    <w:rsid w:val="00B06BD6"/>
    <w:rsid w:val="00B11A40"/>
    <w:rsid w:val="00B12738"/>
    <w:rsid w:val="00B139D2"/>
    <w:rsid w:val="00B13D1B"/>
    <w:rsid w:val="00B155EE"/>
    <w:rsid w:val="00B20626"/>
    <w:rsid w:val="00B215DD"/>
    <w:rsid w:val="00B34B9F"/>
    <w:rsid w:val="00B463D4"/>
    <w:rsid w:val="00B51DBD"/>
    <w:rsid w:val="00B545D5"/>
    <w:rsid w:val="00B57F92"/>
    <w:rsid w:val="00B61CAB"/>
    <w:rsid w:val="00B65CC4"/>
    <w:rsid w:val="00B72A6A"/>
    <w:rsid w:val="00B742EB"/>
    <w:rsid w:val="00B77443"/>
    <w:rsid w:val="00B81149"/>
    <w:rsid w:val="00B87A1C"/>
    <w:rsid w:val="00B87D3C"/>
    <w:rsid w:val="00B900A4"/>
    <w:rsid w:val="00B92CAB"/>
    <w:rsid w:val="00B95CFA"/>
    <w:rsid w:val="00BA173C"/>
    <w:rsid w:val="00BA31C2"/>
    <w:rsid w:val="00BA3DAB"/>
    <w:rsid w:val="00BB3314"/>
    <w:rsid w:val="00BB3C4F"/>
    <w:rsid w:val="00BB4F4D"/>
    <w:rsid w:val="00BC04F2"/>
    <w:rsid w:val="00BC3029"/>
    <w:rsid w:val="00BD4F99"/>
    <w:rsid w:val="00BD6FA4"/>
    <w:rsid w:val="00BE244E"/>
    <w:rsid w:val="00BE26CC"/>
    <w:rsid w:val="00BE3EA3"/>
    <w:rsid w:val="00BE55AC"/>
    <w:rsid w:val="00BE7D02"/>
    <w:rsid w:val="00BF5A14"/>
    <w:rsid w:val="00BF680F"/>
    <w:rsid w:val="00C004A4"/>
    <w:rsid w:val="00C05335"/>
    <w:rsid w:val="00C058A0"/>
    <w:rsid w:val="00C05C13"/>
    <w:rsid w:val="00C05E9D"/>
    <w:rsid w:val="00C07B7D"/>
    <w:rsid w:val="00C10ACE"/>
    <w:rsid w:val="00C10B01"/>
    <w:rsid w:val="00C12AE0"/>
    <w:rsid w:val="00C13DC9"/>
    <w:rsid w:val="00C154EC"/>
    <w:rsid w:val="00C157B8"/>
    <w:rsid w:val="00C16C7E"/>
    <w:rsid w:val="00C26E73"/>
    <w:rsid w:val="00C27E5A"/>
    <w:rsid w:val="00C32AB8"/>
    <w:rsid w:val="00C33CEB"/>
    <w:rsid w:val="00C361CD"/>
    <w:rsid w:val="00C376FA"/>
    <w:rsid w:val="00C416C8"/>
    <w:rsid w:val="00C42680"/>
    <w:rsid w:val="00C51AB4"/>
    <w:rsid w:val="00C57448"/>
    <w:rsid w:val="00C60A5B"/>
    <w:rsid w:val="00C610C3"/>
    <w:rsid w:val="00C7286D"/>
    <w:rsid w:val="00C77D3F"/>
    <w:rsid w:val="00C83183"/>
    <w:rsid w:val="00C83E17"/>
    <w:rsid w:val="00C87975"/>
    <w:rsid w:val="00C95EA9"/>
    <w:rsid w:val="00C96046"/>
    <w:rsid w:val="00CA38D8"/>
    <w:rsid w:val="00CA3F74"/>
    <w:rsid w:val="00CA5BDF"/>
    <w:rsid w:val="00CB2AE9"/>
    <w:rsid w:val="00CB4561"/>
    <w:rsid w:val="00CC2285"/>
    <w:rsid w:val="00CC2987"/>
    <w:rsid w:val="00CC4EDC"/>
    <w:rsid w:val="00CC5E39"/>
    <w:rsid w:val="00CD315C"/>
    <w:rsid w:val="00CD3272"/>
    <w:rsid w:val="00CD38FC"/>
    <w:rsid w:val="00CE36C8"/>
    <w:rsid w:val="00CE3B52"/>
    <w:rsid w:val="00CF3010"/>
    <w:rsid w:val="00CF4242"/>
    <w:rsid w:val="00CF4490"/>
    <w:rsid w:val="00CF565F"/>
    <w:rsid w:val="00CF5E12"/>
    <w:rsid w:val="00CF70FE"/>
    <w:rsid w:val="00D0512A"/>
    <w:rsid w:val="00D06719"/>
    <w:rsid w:val="00D1168D"/>
    <w:rsid w:val="00D2636B"/>
    <w:rsid w:val="00D30088"/>
    <w:rsid w:val="00D312C4"/>
    <w:rsid w:val="00D3431B"/>
    <w:rsid w:val="00D42696"/>
    <w:rsid w:val="00D43E19"/>
    <w:rsid w:val="00D45808"/>
    <w:rsid w:val="00D50765"/>
    <w:rsid w:val="00D50CD3"/>
    <w:rsid w:val="00D51703"/>
    <w:rsid w:val="00D52A67"/>
    <w:rsid w:val="00D620EC"/>
    <w:rsid w:val="00D710A7"/>
    <w:rsid w:val="00D763D9"/>
    <w:rsid w:val="00D816EC"/>
    <w:rsid w:val="00D82564"/>
    <w:rsid w:val="00D84992"/>
    <w:rsid w:val="00D90A48"/>
    <w:rsid w:val="00D9105F"/>
    <w:rsid w:val="00D95F03"/>
    <w:rsid w:val="00D960EB"/>
    <w:rsid w:val="00DA5EB9"/>
    <w:rsid w:val="00DB1E04"/>
    <w:rsid w:val="00DB51A8"/>
    <w:rsid w:val="00DC127C"/>
    <w:rsid w:val="00DC6118"/>
    <w:rsid w:val="00DC6120"/>
    <w:rsid w:val="00DC7A92"/>
    <w:rsid w:val="00DD225A"/>
    <w:rsid w:val="00DD6B89"/>
    <w:rsid w:val="00DD771A"/>
    <w:rsid w:val="00DE048B"/>
    <w:rsid w:val="00DE4C0D"/>
    <w:rsid w:val="00DF3539"/>
    <w:rsid w:val="00DF4DB8"/>
    <w:rsid w:val="00DF5E51"/>
    <w:rsid w:val="00E024E8"/>
    <w:rsid w:val="00E05064"/>
    <w:rsid w:val="00E05066"/>
    <w:rsid w:val="00E10A8B"/>
    <w:rsid w:val="00E138E0"/>
    <w:rsid w:val="00E143DF"/>
    <w:rsid w:val="00E15426"/>
    <w:rsid w:val="00E22AE3"/>
    <w:rsid w:val="00E251B9"/>
    <w:rsid w:val="00E30811"/>
    <w:rsid w:val="00E313BD"/>
    <w:rsid w:val="00E504F0"/>
    <w:rsid w:val="00E508F4"/>
    <w:rsid w:val="00E50E82"/>
    <w:rsid w:val="00E51ED0"/>
    <w:rsid w:val="00E51F85"/>
    <w:rsid w:val="00E64AED"/>
    <w:rsid w:val="00E65583"/>
    <w:rsid w:val="00E65A18"/>
    <w:rsid w:val="00E66F0B"/>
    <w:rsid w:val="00E67017"/>
    <w:rsid w:val="00E67BE6"/>
    <w:rsid w:val="00E75D0B"/>
    <w:rsid w:val="00E85654"/>
    <w:rsid w:val="00E87E5A"/>
    <w:rsid w:val="00E937F8"/>
    <w:rsid w:val="00E93811"/>
    <w:rsid w:val="00E97260"/>
    <w:rsid w:val="00EA5801"/>
    <w:rsid w:val="00EA7005"/>
    <w:rsid w:val="00EB7783"/>
    <w:rsid w:val="00EC129D"/>
    <w:rsid w:val="00EC2425"/>
    <w:rsid w:val="00ED4565"/>
    <w:rsid w:val="00ED5524"/>
    <w:rsid w:val="00EE0A44"/>
    <w:rsid w:val="00EE3F71"/>
    <w:rsid w:val="00EE5CC5"/>
    <w:rsid w:val="00EF4025"/>
    <w:rsid w:val="00EF75D8"/>
    <w:rsid w:val="00F01CED"/>
    <w:rsid w:val="00F15032"/>
    <w:rsid w:val="00F16456"/>
    <w:rsid w:val="00F16B71"/>
    <w:rsid w:val="00F26059"/>
    <w:rsid w:val="00F27415"/>
    <w:rsid w:val="00F309FE"/>
    <w:rsid w:val="00F3506A"/>
    <w:rsid w:val="00F36138"/>
    <w:rsid w:val="00F40C87"/>
    <w:rsid w:val="00F47C67"/>
    <w:rsid w:val="00F47F92"/>
    <w:rsid w:val="00F5133C"/>
    <w:rsid w:val="00F519A3"/>
    <w:rsid w:val="00F55BC6"/>
    <w:rsid w:val="00F5763A"/>
    <w:rsid w:val="00F5780A"/>
    <w:rsid w:val="00F57AA0"/>
    <w:rsid w:val="00F61023"/>
    <w:rsid w:val="00F65464"/>
    <w:rsid w:val="00F70D38"/>
    <w:rsid w:val="00F858BD"/>
    <w:rsid w:val="00F92946"/>
    <w:rsid w:val="00F962B7"/>
    <w:rsid w:val="00F975B6"/>
    <w:rsid w:val="00FA119A"/>
    <w:rsid w:val="00FA24D6"/>
    <w:rsid w:val="00FA407A"/>
    <w:rsid w:val="00FA65AC"/>
    <w:rsid w:val="00FB32B6"/>
    <w:rsid w:val="00FC57D8"/>
    <w:rsid w:val="00FC61B5"/>
    <w:rsid w:val="00FD065B"/>
    <w:rsid w:val="00FD3AEE"/>
    <w:rsid w:val="00FE0465"/>
    <w:rsid w:val="00FE2D53"/>
    <w:rsid w:val="00FF2214"/>
    <w:rsid w:val="0D124E4E"/>
    <w:rsid w:val="32B25BB9"/>
    <w:rsid w:val="542407D0"/>
    <w:rsid w:val="56E75300"/>
  </w:rsids>
  <m:mathPr>
    <m:mathFont m:val="Cambria Math"/>
    <m:brkBin m:val="before"/>
    <m:brkBinSub m:val="--"/>
    <m:smallFrac m:val="0"/>
    <m:dispDef/>
    <m:lMargin m:val="0"/>
    <m:rMargin m:val="0"/>
    <m:defJc m:val="centerGroup"/>
    <m:wrapIndent m:val="1440"/>
    <m:intLim m:val="subSup"/>
    <m:naryLim m:val="undOvr"/>
  </m:mathPr>
  <w:themeFontLang w:val="es-P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72E3DE"/>
  <w15:docId w15:val="{F4556635-B41E-4956-B487-03D593A730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uiPriority="0" w:qFormat="1"/>
    <w:lsdException w:name="annotation text" w:qFormat="1"/>
    <w:lsdException w:name="header" w:qFormat="1"/>
    <w:lsdException w:name="footer" w:uiPriority="0"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uiPriority="0" w:qFormat="1"/>
    <w:lsdException w:name="annotation reference" w:qFormat="1"/>
    <w:lsdException w:name="line number" w:uiPriority="0" w:qFormat="1"/>
    <w:lsdException w:name="page number"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qFormat="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6E73"/>
    <w:rPr>
      <w:sz w:val="24"/>
      <w:szCs w:val="24"/>
    </w:rPr>
  </w:style>
  <w:style w:type="paragraph" w:styleId="Heading1">
    <w:name w:val="heading 1"/>
    <w:basedOn w:val="Normal"/>
    <w:next w:val="Normal"/>
    <w:uiPriority w:val="9"/>
    <w:qFormat/>
    <w:pPr>
      <w:spacing w:line="480" w:lineRule="auto"/>
      <w:ind w:firstLine="720"/>
      <w:jc w:val="both"/>
      <w:outlineLvl w:val="0"/>
    </w:pPr>
    <w:rPr>
      <w:rFonts w:ascii="Book Antiqua" w:hAnsi="Book Antiqua"/>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qFormat/>
    <w:rPr>
      <w:rFonts w:ascii="Segoe UI" w:hAnsi="Segoe UI" w:cs="Segoe UI"/>
      <w:sz w:val="18"/>
      <w:szCs w:val="18"/>
    </w:rPr>
  </w:style>
  <w:style w:type="paragraph" w:styleId="BodyText">
    <w:name w:val="Body Text"/>
    <w:basedOn w:val="Normal"/>
    <w:link w:val="BodyTextChar"/>
    <w:qFormat/>
    <w:pPr>
      <w:jc w:val="both"/>
    </w:pPr>
    <w:rPr>
      <w:lang w:val="es-PR"/>
    </w:rPr>
  </w:style>
  <w:style w:type="character" w:styleId="CommentReference">
    <w:name w:val="annotation reference"/>
    <w:uiPriority w:val="99"/>
    <w:qFormat/>
    <w:rPr>
      <w:sz w:val="16"/>
      <w:szCs w:val="16"/>
    </w:rPr>
  </w:style>
  <w:style w:type="paragraph" w:styleId="CommentText">
    <w:name w:val="annotation text"/>
    <w:basedOn w:val="Normal"/>
    <w:link w:val="CommentTextChar"/>
    <w:uiPriority w:val="99"/>
    <w:qFormat/>
    <w:rPr>
      <w:sz w:val="20"/>
    </w:rPr>
  </w:style>
  <w:style w:type="paragraph" w:styleId="CommentSubject">
    <w:name w:val="annotation subject"/>
    <w:basedOn w:val="CommentText"/>
    <w:next w:val="CommentText"/>
    <w:link w:val="CommentSubjectChar"/>
    <w:semiHidden/>
    <w:unhideWhenUsed/>
    <w:qFormat/>
    <w:rPr>
      <w:b/>
      <w:bCs/>
    </w:rPr>
  </w:style>
  <w:style w:type="paragraph" w:styleId="Footer">
    <w:name w:val="footer"/>
    <w:basedOn w:val="Normal"/>
    <w:qFormat/>
    <w:pPr>
      <w:tabs>
        <w:tab w:val="center" w:pos="4320"/>
        <w:tab w:val="right" w:pos="8640"/>
      </w:tabs>
    </w:pPr>
  </w:style>
  <w:style w:type="character" w:styleId="FootnoteReference">
    <w:name w:val="footnote reference"/>
    <w:qFormat/>
    <w:rPr>
      <w:vertAlign w:val="superscript"/>
    </w:rPr>
  </w:style>
  <w:style w:type="paragraph" w:styleId="FootnoteText">
    <w:name w:val="footnote text"/>
    <w:basedOn w:val="Normal"/>
    <w:link w:val="FootnoteTextChar"/>
    <w:qFormat/>
    <w:rPr>
      <w:sz w:val="20"/>
    </w:rPr>
  </w:style>
  <w:style w:type="paragraph" w:styleId="Header">
    <w:name w:val="header"/>
    <w:basedOn w:val="Normal"/>
    <w:link w:val="HeaderChar"/>
    <w:uiPriority w:val="99"/>
    <w:qFormat/>
    <w:pPr>
      <w:tabs>
        <w:tab w:val="center" w:pos="4320"/>
        <w:tab w:val="right" w:pos="8640"/>
      </w:tabs>
    </w:pPr>
  </w:style>
  <w:style w:type="character" w:styleId="Hyperlink">
    <w:name w:val="Hyperlink"/>
    <w:basedOn w:val="DefaultParagraphFont"/>
    <w:qFormat/>
    <w:rPr>
      <w:color w:val="0563C1" w:themeColor="hyperlink"/>
      <w:u w:val="single"/>
    </w:rPr>
  </w:style>
  <w:style w:type="character" w:styleId="LineNumber">
    <w:name w:val="line number"/>
    <w:basedOn w:val="DefaultParagraphFont"/>
    <w:qFormat/>
  </w:style>
  <w:style w:type="character" w:styleId="PageNumber">
    <w:name w:val="page number"/>
    <w:basedOn w:val="DefaultParagraphFont"/>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styleId="TableGrid">
    <w:name w:val="Table Grid"/>
    <w:basedOn w:val="TableNormal"/>
    <w:uiPriority w:val="5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itle">
    <w:name w:val="Title"/>
    <w:basedOn w:val="Normal"/>
    <w:next w:val="Normal"/>
    <w:uiPriority w:val="10"/>
    <w:qFormat/>
    <w:pPr>
      <w:keepNext/>
      <w:keepLines/>
      <w:spacing w:before="480" w:after="120"/>
    </w:pPr>
    <w:rPr>
      <w:b/>
      <w:sz w:val="72"/>
      <w:szCs w:val="72"/>
    </w:rPr>
  </w:style>
  <w:style w:type="table" w:customStyle="1" w:styleId="TableNormal1">
    <w:name w:val="Table Normal1"/>
    <w:qFormat/>
    <w:tblPr>
      <w:tblCellMar>
        <w:top w:w="0" w:type="dxa"/>
        <w:left w:w="0" w:type="dxa"/>
        <w:bottom w:w="0" w:type="dxa"/>
        <w:right w:w="0" w:type="dxa"/>
      </w:tblCellMar>
    </w:tblPr>
  </w:style>
  <w:style w:type="paragraph" w:customStyle="1" w:styleId="Title2">
    <w:name w:val="Title2"/>
    <w:basedOn w:val="Normal"/>
    <w:next w:val="Normal"/>
    <w:qFormat/>
    <w:pPr>
      <w:tabs>
        <w:tab w:val="left" w:pos="648"/>
        <w:tab w:val="right" w:pos="7776"/>
        <w:tab w:val="left" w:pos="7848"/>
      </w:tabs>
    </w:pPr>
  </w:style>
  <w:style w:type="paragraph" w:customStyle="1" w:styleId="Firmas">
    <w:name w:val="Firmas"/>
    <w:basedOn w:val="Normal"/>
    <w:qFormat/>
    <w:pPr>
      <w:tabs>
        <w:tab w:val="center" w:pos="1440"/>
        <w:tab w:val="center" w:pos="7200"/>
      </w:tabs>
    </w:pPr>
  </w:style>
  <w:style w:type="character" w:customStyle="1" w:styleId="FootnoteTextChar">
    <w:name w:val="Footnote Text Char"/>
    <w:basedOn w:val="DefaultParagraphFont"/>
    <w:link w:val="FootnoteText"/>
    <w:qFormat/>
  </w:style>
  <w:style w:type="character" w:customStyle="1" w:styleId="BalloonTextChar">
    <w:name w:val="Balloon Text Char"/>
    <w:link w:val="BalloonText"/>
    <w:qFormat/>
    <w:rPr>
      <w:rFonts w:ascii="Segoe UI" w:hAnsi="Segoe UI" w:cs="Segoe UI"/>
      <w:sz w:val="18"/>
      <w:szCs w:val="18"/>
    </w:rPr>
  </w:style>
  <w:style w:type="character" w:customStyle="1" w:styleId="CommentTextChar">
    <w:name w:val="Comment Text Char"/>
    <w:link w:val="CommentText"/>
    <w:uiPriority w:val="99"/>
    <w:qFormat/>
    <w:rPr>
      <w:lang w:val="en-US" w:eastAsia="en-US"/>
    </w:rPr>
  </w:style>
  <w:style w:type="character" w:customStyle="1" w:styleId="CommentSubjectChar">
    <w:name w:val="Comment Subject Char"/>
    <w:link w:val="CommentSubject"/>
    <w:semiHidden/>
    <w:qFormat/>
    <w:rPr>
      <w:b/>
      <w:bCs/>
      <w:lang w:val="en-US" w:eastAsia="en-US"/>
    </w:rPr>
  </w:style>
  <w:style w:type="paragraph" w:styleId="ListParagraph">
    <w:name w:val="List Paragraph"/>
    <w:basedOn w:val="Normal"/>
    <w:uiPriority w:val="34"/>
    <w:qFormat/>
    <w:pPr>
      <w:ind w:left="720"/>
      <w:contextualSpacing/>
    </w:pPr>
  </w:style>
  <w:style w:type="paragraph" w:customStyle="1" w:styleId="Revision1">
    <w:name w:val="Revision1"/>
    <w:hidden/>
    <w:uiPriority w:val="99"/>
    <w:semiHidden/>
    <w:qFormat/>
    <w:rsid w:val="00C26E73"/>
    <w:rPr>
      <w:sz w:val="24"/>
      <w:szCs w:val="24"/>
    </w:rPr>
  </w:style>
  <w:style w:type="character" w:customStyle="1" w:styleId="UnresolvedMention1">
    <w:name w:val="Unresolved Mention1"/>
    <w:basedOn w:val="DefaultParagraphFont"/>
    <w:uiPriority w:val="99"/>
    <w:semiHidden/>
    <w:unhideWhenUsed/>
    <w:qFormat/>
    <w:rPr>
      <w:color w:val="605E5C"/>
      <w:shd w:val="clear" w:color="auto" w:fill="E1DFDD"/>
    </w:rPr>
  </w:style>
  <w:style w:type="paragraph" w:customStyle="1" w:styleId="paragraph">
    <w:name w:val="paragraph"/>
    <w:basedOn w:val="Normal"/>
    <w:qFormat/>
    <w:pPr>
      <w:spacing w:before="100" w:beforeAutospacing="1" w:after="100" w:afterAutospacing="1"/>
    </w:pPr>
    <w:rPr>
      <w:rFonts w:eastAsiaTheme="minorEastAsia"/>
    </w:rPr>
  </w:style>
  <w:style w:type="character" w:customStyle="1" w:styleId="normaltextrun">
    <w:name w:val="normaltextrun"/>
    <w:basedOn w:val="DefaultParagraphFont"/>
    <w:qFormat/>
  </w:style>
  <w:style w:type="character" w:customStyle="1" w:styleId="eop">
    <w:name w:val="eop"/>
    <w:basedOn w:val="DefaultParagraphFont"/>
    <w:qFormat/>
  </w:style>
  <w:style w:type="character" w:customStyle="1" w:styleId="contextualspellingandgrammarerror">
    <w:name w:val="contextualspellingandgrammarerror"/>
    <w:basedOn w:val="DefaultParagraphFont"/>
    <w:qFormat/>
  </w:style>
  <w:style w:type="character" w:customStyle="1" w:styleId="spellingerror">
    <w:name w:val="spellingerror"/>
    <w:basedOn w:val="DefaultParagraphFont"/>
  </w:style>
  <w:style w:type="character" w:customStyle="1" w:styleId="HeaderChar">
    <w:name w:val="Header Char"/>
    <w:link w:val="Header"/>
    <w:uiPriority w:val="99"/>
    <w:qFormat/>
    <w:rPr>
      <w:sz w:val="24"/>
      <w:lang w:val="en-US" w:eastAsia="en-US"/>
    </w:rPr>
  </w:style>
  <w:style w:type="character" w:customStyle="1" w:styleId="markedcontent">
    <w:name w:val="markedcontent"/>
    <w:basedOn w:val="DefaultParagraphFont"/>
    <w:qFormat/>
  </w:style>
  <w:style w:type="table" w:customStyle="1" w:styleId="Style40">
    <w:name w:val="_Style 40"/>
    <w:basedOn w:val="TableNormal1"/>
    <w:qFormat/>
    <w:tblPr>
      <w:tblCellMar>
        <w:left w:w="108" w:type="dxa"/>
        <w:right w:w="108" w:type="dxa"/>
      </w:tblCellMar>
    </w:tblPr>
  </w:style>
  <w:style w:type="table" w:customStyle="1" w:styleId="Style41">
    <w:name w:val="_Style 41"/>
    <w:basedOn w:val="TableNormal1"/>
    <w:qFormat/>
    <w:tblPr>
      <w:tblCellMar>
        <w:left w:w="108" w:type="dxa"/>
        <w:right w:w="108" w:type="dxa"/>
      </w:tblCellMar>
    </w:tblPr>
  </w:style>
  <w:style w:type="table" w:customStyle="1" w:styleId="Style42">
    <w:name w:val="_Style 42"/>
    <w:basedOn w:val="TableNormal1"/>
    <w:tblPr>
      <w:tblCellMar>
        <w:left w:w="108" w:type="dxa"/>
        <w:right w:w="108" w:type="dxa"/>
      </w:tblCellMar>
    </w:tblPr>
  </w:style>
  <w:style w:type="table" w:customStyle="1" w:styleId="Style43">
    <w:name w:val="_Style 43"/>
    <w:basedOn w:val="TableNormal1"/>
    <w:qFormat/>
    <w:tblPr>
      <w:tblCellMar>
        <w:left w:w="108" w:type="dxa"/>
        <w:right w:w="108" w:type="dxa"/>
      </w:tblCellMar>
    </w:tblPr>
  </w:style>
  <w:style w:type="paragraph" w:customStyle="1" w:styleId="Revision2">
    <w:name w:val="Revision2"/>
    <w:hidden/>
    <w:uiPriority w:val="99"/>
    <w:semiHidden/>
    <w:rsid w:val="00C26E73"/>
    <w:rPr>
      <w:sz w:val="24"/>
      <w:szCs w:val="24"/>
    </w:rPr>
  </w:style>
  <w:style w:type="character" w:customStyle="1" w:styleId="BodyTextChar">
    <w:name w:val="Body Text Char"/>
    <w:basedOn w:val="DefaultParagraphFont"/>
    <w:link w:val="BodyText"/>
    <w:rPr>
      <w:sz w:val="24"/>
      <w:szCs w:val="24"/>
      <w:lang w:val="es-PR"/>
    </w:rPr>
  </w:style>
  <w:style w:type="paragraph" w:styleId="Revision">
    <w:name w:val="Revision"/>
    <w:hidden/>
    <w:uiPriority w:val="99"/>
    <w:unhideWhenUsed/>
    <w:rsid w:val="00C26E73"/>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openxmlformats.org/officeDocument/2006/relationships/customXml" Target="../customXml/item4.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_dlc_DocId xmlns="c890fddd-4e87-4e08-8b51-545f2a3f7b06">4SQX5P7U7WPY-958212181-816190</_dlc_DocId>
    <_dlc_DocIdUrl xmlns="c890fddd-4e87-4e08-8b51-545f2a3f7b06">
      <Url>https://senpr.sharepoint.com/sites/obralegislativa/_layouts/15/DocIdRedir.aspx?ID=4SQX5P7U7WPY-958212181-816190</Url>
      <Description>4SQX5P7U7WPY-958212181-816190</Description>
    </_dlc_DocIdUrl>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D6E4B0F9-8064-4B2C-9A13-46F7BBA46071}"/>
</file>

<file path=customXml/itemProps2.xml><?xml version="1.0" encoding="utf-8"?>
<ds:datastoreItem xmlns:ds="http://schemas.openxmlformats.org/officeDocument/2006/customXml" ds:itemID="{E7BFE863-1959-48F0-97B9-3AE9E09AA609}">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C848367A-3186-4345-9672-C9FE5ED7EF1B}">
  <ds:schemaRefs>
    <ds:schemaRef ds:uri="http://schemas.microsoft.com/sharepoint/v3/contenttype/forms"/>
  </ds:schemaRefs>
</ds:datastoreItem>
</file>

<file path=customXml/itemProps4.xml><?xml version="1.0" encoding="utf-8"?>
<ds:datastoreItem xmlns:ds="http://schemas.openxmlformats.org/officeDocument/2006/customXml" ds:itemID="{08F596C2-66EF-49E2-80B2-F583AB867AB2}"/>
</file>

<file path=docProps/app.xml><?xml version="1.0" encoding="utf-8"?>
<Properties xmlns="http://schemas.openxmlformats.org/officeDocument/2006/extended-properties" xmlns:vt="http://schemas.openxmlformats.org/officeDocument/2006/docPropsVTypes">
  <Template>Normal</Template>
  <TotalTime>1</TotalTime>
  <Pages>11</Pages>
  <Words>2751</Words>
  <Characters>15682</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Luis Augusto Martínez</dc:creator>
  <cp:lastModifiedBy>Monica Maldonado Gonzalez (Secretaria)</cp:lastModifiedBy>
  <cp:revision>2</cp:revision>
  <cp:lastPrinted>2025-06-24T21:07:00Z</cp:lastPrinted>
  <dcterms:created xsi:type="dcterms:W3CDTF">2025-06-24T21:37:00Z</dcterms:created>
  <dcterms:modified xsi:type="dcterms:W3CDTF">2025-06-24T21:37:00Z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1033-12.2.0.19805</vt:lpwstr>
  </property>
  <property fmtid="{D5CDD505-2E9C-101B-9397-08002B2CF9AE}" pid="3" name="ICV">
    <vt:lpwstr>A8F03D7D787C434A8E1670FE6532CEF5_13</vt:lpwstr>
  </property>
  <property fmtid="{D5CDD505-2E9C-101B-9397-08002B2CF9AE}" pid="4" name="ContentTypeId">
    <vt:lpwstr>0x0101008C58FC75B682744FB4A53C756BEDC3A3</vt:lpwstr>
  </property>
  <property fmtid="{D5CDD505-2E9C-101B-9397-08002B2CF9AE}" pid="5" name="_dlc_DocIdItemGuid">
    <vt:lpwstr>f0ab555f-1e1a-4dab-9c5f-32b137dbb14f</vt:lpwstr>
  </property>
  <property fmtid="{D5CDD505-2E9C-101B-9397-08002B2CF9AE}" pid="6" name="MediaServiceImageTags">
    <vt:lpwstr/>
  </property>
</Properties>
</file>