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83483F" w14:textId="77777777" w:rsidR="00426A07" w:rsidRPr="00E616CD" w:rsidRDefault="00426A07" w:rsidP="00044471">
      <w:pPr>
        <w:spacing w:line="240" w:lineRule="auto"/>
        <w:jc w:val="center"/>
        <w:rPr>
          <w:rFonts w:ascii="Book Antiqua" w:eastAsia="Book Antiqua" w:hAnsi="Book Antiqua" w:cs="Book Antiqua"/>
          <w:bCs/>
          <w:sz w:val="36"/>
          <w:szCs w:val="36"/>
          <w:lang w:val="es-ES"/>
        </w:rPr>
      </w:pPr>
      <w:r w:rsidRPr="00E616CD">
        <w:rPr>
          <w:rFonts w:ascii="Book Antiqua" w:eastAsia="Book Antiqua" w:hAnsi="Book Antiqua" w:cs="Book Antiqua"/>
          <w:bCs/>
          <w:sz w:val="36"/>
          <w:szCs w:val="36"/>
          <w:lang w:val="es-ES"/>
        </w:rPr>
        <w:t>GOBIERNO DE PUERTO RICO</w:t>
      </w:r>
    </w:p>
    <w:p w14:paraId="4F775E7F" w14:textId="77777777" w:rsidR="00426A07" w:rsidRPr="00E616CD" w:rsidRDefault="00426A07" w:rsidP="00044471">
      <w:pPr>
        <w:spacing w:line="240" w:lineRule="auto"/>
        <w:jc w:val="center"/>
        <w:rPr>
          <w:rFonts w:ascii="Book Antiqua" w:eastAsia="Book Antiqua" w:hAnsi="Book Antiqua" w:cs="Book Antiqua"/>
          <w:lang w:val="es-ES"/>
        </w:rPr>
      </w:pPr>
    </w:p>
    <w:p w14:paraId="3170FE29" w14:textId="77777777" w:rsidR="00426A07" w:rsidRPr="00E616CD" w:rsidRDefault="00426A07" w:rsidP="00044471">
      <w:pPr>
        <w:tabs>
          <w:tab w:val="left" w:pos="648"/>
          <w:tab w:val="right" w:pos="7776"/>
          <w:tab w:val="left" w:pos="7848"/>
        </w:tabs>
        <w:spacing w:after="0" w:line="240" w:lineRule="auto"/>
        <w:rPr>
          <w:rFonts w:ascii="Book Antiqua" w:eastAsia="Book Antiqua" w:hAnsi="Book Antiqua" w:cs="Book Antiqua"/>
          <w:color w:val="000000"/>
          <w:lang w:val="es-ES"/>
        </w:rPr>
      </w:pPr>
      <w:r w:rsidRPr="00E616CD">
        <w:rPr>
          <w:rFonts w:ascii="Book Antiqua" w:eastAsia="Book Antiqua" w:hAnsi="Book Antiqua" w:cs="Book Antiqua"/>
          <w:color w:val="000000"/>
          <w:lang w:val="es-ES"/>
        </w:rPr>
        <w:t xml:space="preserve">20 </w:t>
      </w:r>
      <w:r w:rsidRPr="00E616CD">
        <w:rPr>
          <w:rFonts w:ascii="Book Antiqua" w:eastAsia="Book Antiqua" w:hAnsi="Book Antiqua" w:cs="Book Antiqua"/>
          <w:color w:val="000000"/>
          <w:vertAlign w:val="superscript"/>
          <w:lang w:val="es-ES"/>
        </w:rPr>
        <w:t>ma.</w:t>
      </w:r>
      <w:r w:rsidRPr="00E616CD">
        <w:rPr>
          <w:rFonts w:ascii="Book Antiqua" w:eastAsia="Book Antiqua" w:hAnsi="Book Antiqua" w:cs="Book Antiqua"/>
          <w:color w:val="000000"/>
          <w:lang w:val="es-ES"/>
        </w:rPr>
        <w:tab/>
        <w:t>Asamblea</w:t>
      </w:r>
      <w:r w:rsidRPr="00E616CD">
        <w:rPr>
          <w:rFonts w:ascii="Book Antiqua" w:eastAsia="Book Antiqua" w:hAnsi="Book Antiqua" w:cs="Book Antiqua"/>
          <w:color w:val="000000"/>
          <w:lang w:val="es-ES"/>
        </w:rPr>
        <w:tab/>
        <w:t>1</w:t>
      </w:r>
      <w:r w:rsidRPr="00E616CD">
        <w:rPr>
          <w:rFonts w:ascii="Book Antiqua" w:eastAsia="Book Antiqua" w:hAnsi="Book Antiqua" w:cs="Book Antiqua"/>
          <w:color w:val="000000"/>
          <w:vertAlign w:val="superscript"/>
          <w:lang w:val="es-ES"/>
        </w:rPr>
        <w:t>ra.</w:t>
      </w:r>
      <w:r w:rsidRPr="00E616CD">
        <w:rPr>
          <w:rFonts w:ascii="Book Antiqua" w:eastAsia="Book Antiqua" w:hAnsi="Book Antiqua" w:cs="Book Antiqua"/>
          <w:color w:val="000000"/>
          <w:vertAlign w:val="superscript"/>
          <w:lang w:val="es-ES"/>
        </w:rPr>
        <w:tab/>
      </w:r>
      <w:r w:rsidRPr="00E616CD">
        <w:rPr>
          <w:rFonts w:ascii="Book Antiqua" w:eastAsia="Book Antiqua" w:hAnsi="Book Antiqua" w:cs="Book Antiqua"/>
          <w:color w:val="000000"/>
          <w:lang w:val="es-ES"/>
        </w:rPr>
        <w:t>Sesión</w:t>
      </w:r>
    </w:p>
    <w:p w14:paraId="56D3446F" w14:textId="32D0D525" w:rsidR="00426A07" w:rsidRPr="00E616CD" w:rsidRDefault="00426A07" w:rsidP="00044471">
      <w:pPr>
        <w:tabs>
          <w:tab w:val="left" w:pos="648"/>
          <w:tab w:val="right" w:pos="7776"/>
          <w:tab w:val="left" w:pos="7848"/>
        </w:tabs>
        <w:spacing w:after="0" w:line="240" w:lineRule="auto"/>
        <w:rPr>
          <w:rFonts w:ascii="Book Antiqua" w:eastAsia="Book Antiqua" w:hAnsi="Book Antiqua" w:cs="Book Antiqua"/>
          <w:color w:val="000000"/>
          <w:lang w:val="es-ES"/>
        </w:rPr>
      </w:pPr>
      <w:r w:rsidRPr="00E616CD">
        <w:rPr>
          <w:rFonts w:ascii="Book Antiqua" w:eastAsia="Book Antiqua" w:hAnsi="Book Antiqua" w:cs="Book Antiqua"/>
          <w:color w:val="000000"/>
          <w:lang w:val="es-ES"/>
        </w:rPr>
        <w:tab/>
        <w:t xml:space="preserve">Legislativa                                                                                                          </w:t>
      </w:r>
      <w:r w:rsidR="00A7513C" w:rsidRPr="00E616CD">
        <w:rPr>
          <w:rFonts w:ascii="Book Antiqua" w:eastAsia="Book Antiqua" w:hAnsi="Book Antiqua" w:cs="Book Antiqua"/>
          <w:color w:val="000000"/>
          <w:lang w:val="es-ES"/>
        </w:rPr>
        <w:tab/>
      </w:r>
      <w:r w:rsidRPr="00E616CD">
        <w:rPr>
          <w:rFonts w:ascii="Book Antiqua" w:eastAsia="Book Antiqua" w:hAnsi="Book Antiqua" w:cs="Book Antiqua"/>
          <w:color w:val="000000"/>
          <w:lang w:val="es-ES"/>
        </w:rPr>
        <w:tab/>
        <w:t>Ordinaria</w:t>
      </w:r>
    </w:p>
    <w:p w14:paraId="01F5327D" w14:textId="77777777" w:rsidR="00426A07" w:rsidRPr="00E616CD" w:rsidRDefault="00426A07" w:rsidP="00044471">
      <w:pPr>
        <w:spacing w:after="0" w:line="240" w:lineRule="auto"/>
        <w:rPr>
          <w:rFonts w:ascii="Book Antiqua" w:eastAsia="Book Antiqua" w:hAnsi="Book Antiqua" w:cs="Book Antiqua"/>
          <w:lang w:val="es-ES"/>
        </w:rPr>
      </w:pPr>
    </w:p>
    <w:p w14:paraId="369EA8EC" w14:textId="77777777" w:rsidR="00426A07" w:rsidRPr="00044471" w:rsidRDefault="00426A07" w:rsidP="00044471">
      <w:pPr>
        <w:spacing w:line="240" w:lineRule="auto"/>
        <w:jc w:val="center"/>
        <w:rPr>
          <w:rFonts w:ascii="Book Antiqua" w:eastAsia="Book Antiqua" w:hAnsi="Book Antiqua" w:cs="Book Antiqua"/>
          <w:bCs/>
          <w:sz w:val="36"/>
          <w:szCs w:val="36"/>
          <w:lang w:val="es-ES"/>
        </w:rPr>
      </w:pPr>
      <w:r w:rsidRPr="00044471">
        <w:rPr>
          <w:rFonts w:ascii="Book Antiqua" w:eastAsia="Book Antiqua" w:hAnsi="Book Antiqua" w:cs="Book Antiqua"/>
          <w:bCs/>
          <w:sz w:val="36"/>
          <w:szCs w:val="36"/>
          <w:lang w:val="es-ES"/>
        </w:rPr>
        <w:t>SENADO DE PUERTO RICO</w:t>
      </w:r>
    </w:p>
    <w:p w14:paraId="4A500309" w14:textId="3832BA72" w:rsidR="00426A07" w:rsidRPr="00044471" w:rsidRDefault="00426A07" w:rsidP="00044471">
      <w:pPr>
        <w:spacing w:after="0" w:line="240" w:lineRule="auto"/>
        <w:jc w:val="center"/>
        <w:rPr>
          <w:rFonts w:ascii="Book Antiqua" w:eastAsia="Book Antiqua" w:hAnsi="Book Antiqua" w:cs="Book Antiqua"/>
          <w:b/>
          <w:sz w:val="52"/>
          <w:szCs w:val="52"/>
          <w:lang w:val="es-ES"/>
        </w:rPr>
      </w:pPr>
      <w:r w:rsidRPr="00044471">
        <w:rPr>
          <w:rFonts w:ascii="Book Antiqua" w:eastAsia="Book Antiqua" w:hAnsi="Book Antiqua" w:cs="Book Antiqua"/>
          <w:b/>
          <w:sz w:val="52"/>
          <w:szCs w:val="52"/>
          <w:lang w:val="es-ES"/>
        </w:rPr>
        <w:t>P. d</w:t>
      </w:r>
      <w:r w:rsidR="008A0D47">
        <w:rPr>
          <w:rFonts w:ascii="Book Antiqua" w:eastAsia="Book Antiqua" w:hAnsi="Book Antiqua" w:cs="Book Antiqua"/>
          <w:b/>
          <w:sz w:val="52"/>
          <w:szCs w:val="52"/>
          <w:lang w:val="es-ES"/>
        </w:rPr>
        <w:t>el</w:t>
      </w:r>
      <w:r w:rsidRPr="00044471">
        <w:rPr>
          <w:rFonts w:ascii="Book Antiqua" w:eastAsia="Book Antiqua" w:hAnsi="Book Antiqua" w:cs="Book Antiqua"/>
          <w:b/>
          <w:sz w:val="52"/>
          <w:szCs w:val="52"/>
          <w:lang w:val="es-ES"/>
        </w:rPr>
        <w:t xml:space="preserve">. </w:t>
      </w:r>
      <w:r w:rsidR="008A0D47">
        <w:rPr>
          <w:rFonts w:ascii="Book Antiqua" w:eastAsia="Book Antiqua" w:hAnsi="Book Antiqua" w:cs="Book Antiqua"/>
          <w:b/>
          <w:sz w:val="52"/>
          <w:szCs w:val="52"/>
          <w:lang w:val="es-ES"/>
        </w:rPr>
        <w:t xml:space="preserve">S. </w:t>
      </w:r>
      <w:r w:rsidR="003C2347">
        <w:rPr>
          <w:rFonts w:ascii="Book Antiqua" w:eastAsia="Book Antiqua" w:hAnsi="Book Antiqua" w:cs="Book Antiqua"/>
          <w:b/>
          <w:sz w:val="52"/>
          <w:szCs w:val="52"/>
          <w:lang w:val="es-ES"/>
        </w:rPr>
        <w:t>4</w:t>
      </w:r>
      <w:r w:rsidR="00440B79">
        <w:rPr>
          <w:rFonts w:ascii="Book Antiqua" w:eastAsia="Book Antiqua" w:hAnsi="Book Antiqua" w:cs="Book Antiqua"/>
          <w:b/>
          <w:sz w:val="52"/>
          <w:szCs w:val="52"/>
          <w:lang w:val="es-ES"/>
        </w:rPr>
        <w:t>23</w:t>
      </w:r>
    </w:p>
    <w:p w14:paraId="5C6A50FB" w14:textId="77777777" w:rsidR="002129CF" w:rsidRPr="00044471" w:rsidRDefault="002129CF" w:rsidP="00044471">
      <w:pPr>
        <w:spacing w:after="0" w:line="240" w:lineRule="auto"/>
        <w:jc w:val="center"/>
        <w:rPr>
          <w:rFonts w:ascii="Book Antiqua" w:eastAsia="Times New Roman" w:hAnsi="Book Antiqua" w:cs="Times New Roman"/>
          <w:b/>
          <w:sz w:val="28"/>
          <w:szCs w:val="28"/>
          <w:lang w:val="es-ES"/>
        </w:rPr>
      </w:pPr>
    </w:p>
    <w:p w14:paraId="1C487A1A" w14:textId="3BE3E429" w:rsidR="00426A07" w:rsidRPr="00044471" w:rsidRDefault="00426A07" w:rsidP="00044471">
      <w:pPr>
        <w:spacing w:after="0" w:line="240" w:lineRule="auto"/>
        <w:jc w:val="center"/>
        <w:rPr>
          <w:rFonts w:ascii="Book Antiqua" w:eastAsia="Times New Roman" w:hAnsi="Book Antiqua" w:cs="Times New Roman"/>
          <w:b/>
          <w:sz w:val="52"/>
          <w:szCs w:val="52"/>
          <w:lang w:val="es-ES"/>
        </w:rPr>
      </w:pPr>
      <w:r w:rsidRPr="008C729B">
        <w:rPr>
          <w:rFonts w:ascii="Book Antiqua" w:eastAsia="Times New Roman" w:hAnsi="Book Antiqua" w:cs="Times New Roman"/>
          <w:bCs/>
          <w:sz w:val="28"/>
          <w:szCs w:val="28"/>
          <w:lang w:val="es-ES"/>
        </w:rPr>
        <w:t xml:space="preserve">INFORME </w:t>
      </w:r>
      <w:r w:rsidR="008A0D47" w:rsidRPr="008C729B">
        <w:rPr>
          <w:rFonts w:ascii="Book Antiqua" w:eastAsia="Times New Roman" w:hAnsi="Book Antiqua" w:cs="Times New Roman"/>
          <w:bCs/>
          <w:sz w:val="28"/>
          <w:szCs w:val="28"/>
          <w:lang w:val="es-ES"/>
        </w:rPr>
        <w:t>NEGATIVO</w:t>
      </w:r>
      <w:r w:rsidRPr="008C729B">
        <w:rPr>
          <w:rFonts w:ascii="Book Antiqua" w:eastAsia="Times New Roman" w:hAnsi="Book Antiqua" w:cs="Times New Roman"/>
          <w:bCs/>
          <w:sz w:val="32"/>
          <w:szCs w:val="32"/>
          <w:lang w:val="es-ES"/>
        </w:rPr>
        <w:br/>
      </w:r>
      <w:r w:rsidRPr="008C729B">
        <w:rPr>
          <w:rFonts w:ascii="Book Antiqua" w:eastAsia="Times New Roman" w:hAnsi="Book Antiqua" w:cs="Times New Roman"/>
          <w:sz w:val="24"/>
          <w:szCs w:val="24"/>
          <w:lang w:val="es-ES"/>
        </w:rPr>
        <w:br/>
      </w:r>
      <w:r w:rsidR="00E952E7">
        <w:rPr>
          <w:rFonts w:ascii="Book Antiqua" w:eastAsia="Times New Roman" w:hAnsi="Book Antiqua" w:cs="Times New Roman"/>
          <w:sz w:val="24"/>
          <w:szCs w:val="24"/>
          <w:lang w:val="es-ES"/>
        </w:rPr>
        <w:t>16</w:t>
      </w:r>
      <w:r w:rsidR="00BF27E3">
        <w:rPr>
          <w:rFonts w:ascii="Book Antiqua" w:eastAsia="Times New Roman" w:hAnsi="Book Antiqua" w:cs="Times New Roman"/>
          <w:sz w:val="24"/>
          <w:szCs w:val="24"/>
          <w:lang w:val="es-ES"/>
        </w:rPr>
        <w:t xml:space="preserve"> de </w:t>
      </w:r>
      <w:r w:rsidR="00FE470B">
        <w:rPr>
          <w:rFonts w:ascii="Book Antiqua" w:eastAsia="Times New Roman" w:hAnsi="Book Antiqua" w:cs="Times New Roman"/>
          <w:sz w:val="24"/>
          <w:szCs w:val="24"/>
          <w:lang w:val="es-ES"/>
        </w:rPr>
        <w:t>junio</w:t>
      </w:r>
      <w:r w:rsidR="0030144D" w:rsidRPr="00044471">
        <w:rPr>
          <w:rFonts w:ascii="Book Antiqua" w:eastAsia="Times New Roman" w:hAnsi="Book Antiqua" w:cs="Times New Roman"/>
          <w:sz w:val="24"/>
          <w:szCs w:val="24"/>
          <w:lang w:val="es-ES"/>
        </w:rPr>
        <w:t xml:space="preserve"> de 2025</w:t>
      </w:r>
    </w:p>
    <w:p w14:paraId="238109F2" w14:textId="77777777" w:rsidR="00426A07" w:rsidRPr="00044471" w:rsidRDefault="00426A07" w:rsidP="00044471">
      <w:pPr>
        <w:spacing w:after="0" w:line="276" w:lineRule="auto"/>
        <w:jc w:val="center"/>
        <w:rPr>
          <w:rFonts w:ascii="Book Antiqua" w:eastAsia="Times New Roman" w:hAnsi="Book Antiqua" w:cs="Times New Roman"/>
          <w:sz w:val="24"/>
          <w:szCs w:val="20"/>
          <w:lang w:val="es-ES"/>
        </w:rPr>
      </w:pPr>
    </w:p>
    <w:p w14:paraId="28673BDE" w14:textId="77777777" w:rsidR="00426A07" w:rsidRPr="00044471" w:rsidRDefault="00426A07" w:rsidP="000230D3">
      <w:pPr>
        <w:spacing w:after="0" w:line="276" w:lineRule="auto"/>
        <w:jc w:val="both"/>
        <w:rPr>
          <w:rFonts w:ascii="Book Antiqua" w:eastAsia="Times New Roman" w:hAnsi="Book Antiqua" w:cs="Times New Roman"/>
          <w:sz w:val="24"/>
          <w:szCs w:val="20"/>
          <w:lang w:val="es-ES"/>
        </w:rPr>
      </w:pPr>
      <w:r w:rsidRPr="00044471">
        <w:rPr>
          <w:rFonts w:ascii="Book Antiqua" w:eastAsia="Times New Roman" w:hAnsi="Book Antiqua" w:cs="Times New Roman"/>
          <w:b/>
          <w:sz w:val="24"/>
          <w:szCs w:val="20"/>
          <w:lang w:val="es-ES"/>
        </w:rPr>
        <w:t>AL SENADO DE PUERTO RICO</w:t>
      </w:r>
    </w:p>
    <w:p w14:paraId="1B707AE8" w14:textId="77777777" w:rsidR="00426A07" w:rsidRPr="00044471" w:rsidRDefault="00426A07" w:rsidP="00EE3A8A">
      <w:pPr>
        <w:pStyle w:val="NoSpacing"/>
        <w:rPr>
          <w:lang w:val="es-ES"/>
        </w:rPr>
      </w:pPr>
    </w:p>
    <w:p w14:paraId="26B55823" w14:textId="41652439" w:rsidR="00426A07" w:rsidRPr="00044471" w:rsidRDefault="00426A07" w:rsidP="008C729B">
      <w:pPr>
        <w:spacing w:after="0" w:line="276" w:lineRule="auto"/>
        <w:jc w:val="both"/>
        <w:rPr>
          <w:rFonts w:ascii="Book Antiqua" w:eastAsia="Times New Roman" w:hAnsi="Book Antiqua" w:cs="Times New Roman"/>
          <w:b/>
          <w:bCs/>
          <w:sz w:val="24"/>
          <w:szCs w:val="24"/>
          <w:lang w:val="es-ES"/>
        </w:rPr>
      </w:pPr>
      <w:r w:rsidRPr="00044471">
        <w:rPr>
          <w:rFonts w:ascii="Book Antiqua" w:eastAsia="Times New Roman" w:hAnsi="Book Antiqua" w:cs="Times New Roman"/>
          <w:sz w:val="24"/>
          <w:szCs w:val="24"/>
          <w:lang w:val="es-ES"/>
        </w:rPr>
        <w:t>La Comisi</w:t>
      </w:r>
      <w:r w:rsidR="0030144D" w:rsidRPr="00044471">
        <w:rPr>
          <w:rFonts w:ascii="Book Antiqua" w:eastAsia="Times New Roman" w:hAnsi="Book Antiqua" w:cs="Times New Roman"/>
          <w:sz w:val="24"/>
          <w:szCs w:val="24"/>
          <w:lang w:val="es-ES"/>
        </w:rPr>
        <w:t>ón</w:t>
      </w:r>
      <w:r w:rsidRPr="00044471">
        <w:rPr>
          <w:rFonts w:ascii="Book Antiqua" w:eastAsia="Times New Roman" w:hAnsi="Book Antiqua" w:cs="Times New Roman"/>
          <w:sz w:val="24"/>
          <w:szCs w:val="24"/>
          <w:lang w:val="es-ES"/>
        </w:rPr>
        <w:t xml:space="preserve"> de </w:t>
      </w:r>
      <w:r w:rsidR="00042970">
        <w:rPr>
          <w:rFonts w:ascii="Book Antiqua" w:eastAsia="Times New Roman" w:hAnsi="Book Antiqua" w:cs="Times New Roman"/>
          <w:sz w:val="24"/>
          <w:szCs w:val="24"/>
          <w:lang w:val="es-ES"/>
        </w:rPr>
        <w:t>Salud del Senado de Puerto Rico</w:t>
      </w:r>
      <w:r w:rsidRPr="00044471">
        <w:rPr>
          <w:rFonts w:ascii="Book Antiqua" w:eastAsia="Times New Roman" w:hAnsi="Book Antiqua" w:cs="Times New Roman"/>
          <w:sz w:val="24"/>
          <w:szCs w:val="24"/>
          <w:lang w:val="es-ES"/>
        </w:rPr>
        <w:t>, previ</w:t>
      </w:r>
      <w:r w:rsidR="00E616CD" w:rsidRPr="00044471">
        <w:rPr>
          <w:rFonts w:ascii="Book Antiqua" w:eastAsia="Times New Roman" w:hAnsi="Book Antiqua" w:cs="Times New Roman"/>
          <w:sz w:val="24"/>
          <w:szCs w:val="24"/>
          <w:lang w:val="es-ES"/>
        </w:rPr>
        <w:t>o</w:t>
      </w:r>
      <w:r w:rsidRPr="00044471">
        <w:rPr>
          <w:rFonts w:ascii="Book Antiqua" w:eastAsia="Times New Roman" w:hAnsi="Book Antiqua" w:cs="Times New Roman"/>
          <w:sz w:val="24"/>
          <w:szCs w:val="24"/>
          <w:lang w:val="es-ES"/>
        </w:rPr>
        <w:t xml:space="preserve"> </w:t>
      </w:r>
      <w:r w:rsidR="00E616CD" w:rsidRPr="00044471">
        <w:rPr>
          <w:rFonts w:ascii="Book Antiqua" w:eastAsia="Times New Roman" w:hAnsi="Book Antiqua" w:cs="Times New Roman"/>
          <w:sz w:val="24"/>
          <w:szCs w:val="24"/>
          <w:lang w:val="es-ES"/>
        </w:rPr>
        <w:t xml:space="preserve">estudio y </w:t>
      </w:r>
      <w:r w:rsidRPr="00044471">
        <w:rPr>
          <w:rFonts w:ascii="Book Antiqua" w:eastAsia="Times New Roman" w:hAnsi="Book Antiqua" w:cs="Times New Roman"/>
          <w:sz w:val="24"/>
          <w:szCs w:val="24"/>
          <w:lang w:val="es-ES"/>
        </w:rPr>
        <w:t>consideración</w:t>
      </w:r>
      <w:r w:rsidR="00E616CD" w:rsidRPr="00044471">
        <w:rPr>
          <w:rFonts w:ascii="Book Antiqua" w:eastAsia="Times New Roman" w:hAnsi="Book Antiqua" w:cs="Times New Roman"/>
          <w:sz w:val="24"/>
          <w:szCs w:val="24"/>
          <w:lang w:val="es-ES"/>
        </w:rPr>
        <w:t xml:space="preserve"> del </w:t>
      </w:r>
      <w:r w:rsidR="00E616CD" w:rsidRPr="00044471">
        <w:rPr>
          <w:rFonts w:ascii="Book Antiqua" w:eastAsia="Times New Roman" w:hAnsi="Book Antiqua" w:cs="Times New Roman"/>
          <w:b/>
          <w:sz w:val="24"/>
          <w:szCs w:val="24"/>
          <w:lang w:val="es-ES"/>
        </w:rPr>
        <w:t>Proyecto</w:t>
      </w:r>
      <w:r w:rsidR="004C2432" w:rsidRPr="00044471">
        <w:rPr>
          <w:rFonts w:ascii="Book Antiqua" w:eastAsia="Times New Roman" w:hAnsi="Book Antiqua" w:cs="Times New Roman"/>
          <w:b/>
          <w:sz w:val="24"/>
          <w:szCs w:val="24"/>
          <w:lang w:val="es-ES"/>
        </w:rPr>
        <w:t xml:space="preserve"> </w:t>
      </w:r>
      <w:r w:rsidR="008A0D47">
        <w:rPr>
          <w:rFonts w:ascii="Book Antiqua" w:eastAsia="Times New Roman" w:hAnsi="Book Antiqua" w:cs="Times New Roman"/>
          <w:b/>
          <w:sz w:val="24"/>
          <w:szCs w:val="24"/>
          <w:lang w:val="es-ES"/>
        </w:rPr>
        <w:t>del Senado 4</w:t>
      </w:r>
      <w:r w:rsidR="00E952E7">
        <w:rPr>
          <w:rFonts w:ascii="Book Antiqua" w:eastAsia="Times New Roman" w:hAnsi="Book Antiqua" w:cs="Times New Roman"/>
          <w:b/>
          <w:sz w:val="24"/>
          <w:szCs w:val="24"/>
          <w:lang w:val="es-ES"/>
        </w:rPr>
        <w:t>23</w:t>
      </w:r>
      <w:r w:rsidRPr="00044471">
        <w:rPr>
          <w:rFonts w:ascii="Book Antiqua" w:eastAsia="Times New Roman" w:hAnsi="Book Antiqua" w:cs="Times New Roman"/>
          <w:sz w:val="24"/>
          <w:szCs w:val="24"/>
          <w:lang w:val="es-ES"/>
        </w:rPr>
        <w:t xml:space="preserve">, </w:t>
      </w:r>
      <w:r w:rsidR="008A0D47">
        <w:rPr>
          <w:rFonts w:ascii="Book Antiqua" w:eastAsia="Times New Roman" w:hAnsi="Book Antiqua" w:cs="Times New Roman"/>
          <w:sz w:val="24"/>
          <w:szCs w:val="24"/>
          <w:lang w:val="es-ES"/>
        </w:rPr>
        <w:t xml:space="preserve">no </w:t>
      </w:r>
      <w:r w:rsidRPr="00044471">
        <w:rPr>
          <w:rFonts w:ascii="Book Antiqua" w:eastAsia="Times New Roman" w:hAnsi="Book Antiqua" w:cs="Times New Roman"/>
          <w:bCs/>
          <w:sz w:val="24"/>
          <w:szCs w:val="24"/>
          <w:lang w:val="es-ES"/>
        </w:rPr>
        <w:t>recomienda</w:t>
      </w:r>
      <w:r w:rsidRPr="00044471">
        <w:rPr>
          <w:rFonts w:ascii="Book Antiqua" w:eastAsia="Times New Roman" w:hAnsi="Book Antiqua" w:cs="Times New Roman"/>
          <w:sz w:val="24"/>
          <w:szCs w:val="24"/>
          <w:lang w:val="es-ES"/>
        </w:rPr>
        <w:t xml:space="preserve"> </w:t>
      </w:r>
      <w:r w:rsidR="00E616CD" w:rsidRPr="00044471">
        <w:rPr>
          <w:rFonts w:ascii="Book Antiqua" w:eastAsia="Times New Roman" w:hAnsi="Book Antiqua" w:cs="Times New Roman"/>
          <w:sz w:val="24"/>
          <w:szCs w:val="24"/>
          <w:lang w:val="es-ES"/>
        </w:rPr>
        <w:t xml:space="preserve">a este Alto Cuerpo </w:t>
      </w:r>
      <w:r w:rsidR="00E616CD" w:rsidRPr="00361147">
        <w:rPr>
          <w:rFonts w:ascii="Book Antiqua" w:eastAsia="Times New Roman" w:hAnsi="Book Antiqua" w:cs="Times New Roman"/>
          <w:sz w:val="24"/>
          <w:szCs w:val="24"/>
          <w:lang w:val="es-ES"/>
        </w:rPr>
        <w:t>su</w:t>
      </w:r>
      <w:r w:rsidRPr="00361147">
        <w:rPr>
          <w:rFonts w:ascii="Book Antiqua" w:eastAsia="Times New Roman" w:hAnsi="Book Antiqua" w:cs="Times New Roman"/>
          <w:sz w:val="24"/>
          <w:szCs w:val="24"/>
          <w:lang w:val="es-ES"/>
        </w:rPr>
        <w:t xml:space="preserve"> aprobación</w:t>
      </w:r>
      <w:r w:rsidR="008A0D47">
        <w:rPr>
          <w:rFonts w:ascii="Book Antiqua" w:eastAsia="Times New Roman" w:hAnsi="Book Antiqua" w:cs="Times New Roman"/>
          <w:sz w:val="24"/>
          <w:szCs w:val="24"/>
          <w:lang w:val="es-ES"/>
        </w:rPr>
        <w:t>.</w:t>
      </w:r>
    </w:p>
    <w:p w14:paraId="417ECB02" w14:textId="77777777" w:rsidR="004C2432" w:rsidRPr="00044471" w:rsidRDefault="004C2432" w:rsidP="008C729B">
      <w:pPr>
        <w:spacing w:after="0" w:line="276" w:lineRule="auto"/>
        <w:jc w:val="both"/>
        <w:rPr>
          <w:rFonts w:ascii="Book Antiqua" w:eastAsia="Times New Roman" w:hAnsi="Book Antiqua" w:cs="Times New Roman"/>
          <w:sz w:val="24"/>
          <w:szCs w:val="24"/>
          <w:lang w:val="es-ES"/>
        </w:rPr>
      </w:pPr>
    </w:p>
    <w:p w14:paraId="1602F4C2" w14:textId="77777777" w:rsidR="00426A07" w:rsidRPr="00044471" w:rsidRDefault="00426A07" w:rsidP="00EB6A48">
      <w:pPr>
        <w:spacing w:after="0" w:line="360" w:lineRule="auto"/>
        <w:jc w:val="center"/>
        <w:rPr>
          <w:rFonts w:ascii="Book Antiqua" w:eastAsia="Times New Roman" w:hAnsi="Book Antiqua" w:cs="Times New Roman"/>
          <w:b/>
          <w:sz w:val="24"/>
          <w:szCs w:val="24"/>
          <w:lang w:val="es-ES"/>
        </w:rPr>
      </w:pPr>
      <w:r w:rsidRPr="00044471">
        <w:rPr>
          <w:rFonts w:ascii="Book Antiqua" w:eastAsia="Times New Roman" w:hAnsi="Book Antiqua" w:cs="Times New Roman"/>
          <w:b/>
          <w:sz w:val="24"/>
          <w:szCs w:val="24"/>
          <w:lang w:val="es-ES"/>
        </w:rPr>
        <w:t>ALCANCE DE LA MEDIDA</w:t>
      </w:r>
    </w:p>
    <w:p w14:paraId="2061121F" w14:textId="77777777" w:rsidR="00E616CD" w:rsidRPr="006143EF" w:rsidRDefault="00E616CD" w:rsidP="00EE3A8A">
      <w:pPr>
        <w:pStyle w:val="NoSpacing"/>
        <w:rPr>
          <w:lang w:val="es-ES"/>
        </w:rPr>
      </w:pPr>
    </w:p>
    <w:p w14:paraId="6C9149AC" w14:textId="635C2CC5" w:rsidR="009039EF" w:rsidRPr="008E2202" w:rsidRDefault="00EA7611" w:rsidP="0075210E">
      <w:pPr>
        <w:spacing w:line="276" w:lineRule="auto"/>
        <w:ind w:left="360" w:hanging="360"/>
        <w:jc w:val="both"/>
        <w:rPr>
          <w:rFonts w:ascii="Book Antiqua" w:hAnsi="Book Antiqua"/>
          <w:sz w:val="24"/>
          <w:szCs w:val="24"/>
          <w:lang w:val="es-PR"/>
        </w:rPr>
      </w:pPr>
      <w:r w:rsidRPr="00015445">
        <w:rPr>
          <w:rFonts w:ascii="Book Antiqua" w:eastAsia="Times New Roman" w:hAnsi="Book Antiqua"/>
          <w:sz w:val="24"/>
          <w:szCs w:val="24"/>
          <w:lang w:val="es-PR"/>
        </w:rPr>
        <w:t xml:space="preserve">El </w:t>
      </w:r>
      <w:r w:rsidRPr="00015445">
        <w:rPr>
          <w:rFonts w:ascii="Book Antiqua" w:eastAsia="Times New Roman" w:hAnsi="Book Antiqua"/>
          <w:b/>
          <w:sz w:val="24"/>
          <w:szCs w:val="24"/>
          <w:lang w:val="es-PR"/>
        </w:rPr>
        <w:t xml:space="preserve">Proyecto </w:t>
      </w:r>
      <w:r w:rsidR="008A0D47" w:rsidRPr="00015445">
        <w:rPr>
          <w:rFonts w:ascii="Book Antiqua" w:eastAsia="Times New Roman" w:hAnsi="Book Antiqua"/>
          <w:b/>
          <w:sz w:val="24"/>
          <w:szCs w:val="24"/>
          <w:lang w:val="es-PR"/>
        </w:rPr>
        <w:t>del Senado 4</w:t>
      </w:r>
      <w:r w:rsidR="00E952E7" w:rsidRPr="00015445">
        <w:rPr>
          <w:rFonts w:ascii="Book Antiqua" w:eastAsia="Times New Roman" w:hAnsi="Book Antiqua"/>
          <w:b/>
          <w:sz w:val="24"/>
          <w:szCs w:val="24"/>
          <w:lang w:val="es-PR"/>
        </w:rPr>
        <w:t xml:space="preserve">23 </w:t>
      </w:r>
      <w:r w:rsidRPr="00015445">
        <w:rPr>
          <w:rFonts w:ascii="Book Antiqua" w:eastAsia="Times New Roman" w:hAnsi="Book Antiqua"/>
          <w:sz w:val="24"/>
          <w:szCs w:val="24"/>
          <w:lang w:val="es-PR"/>
        </w:rPr>
        <w:t>propone</w:t>
      </w:r>
      <w:r w:rsidR="009039EF" w:rsidRPr="00015445">
        <w:rPr>
          <w:rFonts w:ascii="Book Antiqua" w:hAnsi="Book Antiqua"/>
          <w:sz w:val="24"/>
          <w:szCs w:val="24"/>
          <w:lang w:val="es-PR"/>
        </w:rPr>
        <w:t xml:space="preserve"> </w:t>
      </w:r>
      <w:r w:rsidR="009039EF" w:rsidRPr="00015445">
        <w:rPr>
          <w:rFonts w:ascii="Book Antiqua" w:hAnsi="Book Antiqua"/>
          <w:sz w:val="24"/>
          <w:szCs w:val="24"/>
          <w:lang w:val="es-ES_tradnl"/>
        </w:rPr>
        <w:t>enmendar</w:t>
      </w:r>
      <w:r w:rsidR="009039EF" w:rsidRPr="00015445">
        <w:rPr>
          <w:rFonts w:ascii="Book Antiqua" w:hAnsi="Book Antiqua"/>
          <w:bCs/>
          <w:sz w:val="24"/>
          <w:szCs w:val="24"/>
          <w:lang w:val="es-ES"/>
        </w:rPr>
        <w:t xml:space="preserve"> los Artículos 6, 10 y 12, y añadir un nuevo Artículo 11, a la Ley Núm. 81 de 14 de marzo de 1912, según enmendada, conocida como “Ley Orgánica del Departamento de Salud”; </w:t>
      </w:r>
      <w:r w:rsidR="009039EF" w:rsidRPr="00015445">
        <w:rPr>
          <w:rFonts w:ascii="Book Antiqua" w:hAnsi="Book Antiqua"/>
          <w:sz w:val="24"/>
          <w:szCs w:val="24"/>
          <w:lang w:val="es-PR"/>
        </w:rPr>
        <w:t>añadir un nuevo inciso (y) y reenumerar los actuales incisos (y) al (</w:t>
      </w:r>
      <w:proofErr w:type="spellStart"/>
      <w:r w:rsidR="009039EF" w:rsidRPr="00015445">
        <w:rPr>
          <w:rFonts w:ascii="Book Antiqua" w:hAnsi="Book Antiqua"/>
          <w:sz w:val="24"/>
          <w:szCs w:val="24"/>
          <w:lang w:val="es-PR"/>
        </w:rPr>
        <w:t>hh</w:t>
      </w:r>
      <w:proofErr w:type="spellEnd"/>
      <w:r w:rsidR="009039EF" w:rsidRPr="00015445">
        <w:rPr>
          <w:rFonts w:ascii="Book Antiqua" w:hAnsi="Book Antiqua"/>
          <w:sz w:val="24"/>
          <w:szCs w:val="24"/>
          <w:lang w:val="es-PR"/>
        </w:rPr>
        <w:t>) de la Sección 1 del Artículo III como incisos (z) al (</w:t>
      </w:r>
      <w:proofErr w:type="spellStart"/>
      <w:r w:rsidR="009039EF" w:rsidRPr="00015445">
        <w:rPr>
          <w:rFonts w:ascii="Book Antiqua" w:hAnsi="Book Antiqua"/>
          <w:sz w:val="24"/>
          <w:szCs w:val="24"/>
          <w:lang w:val="es-PR"/>
        </w:rPr>
        <w:t>ii</w:t>
      </w:r>
      <w:proofErr w:type="spellEnd"/>
      <w:r w:rsidR="009039EF" w:rsidRPr="00015445">
        <w:rPr>
          <w:rFonts w:ascii="Book Antiqua" w:hAnsi="Book Antiqua"/>
          <w:sz w:val="24"/>
          <w:szCs w:val="24"/>
          <w:lang w:val="es-PR"/>
        </w:rPr>
        <w:t xml:space="preserve">), respectivamente, enmendar la Sección 2 del Artículo IV y las Secciones 4, 6, 15 y 18 del Artículo VI de la Ley 72-1993, según enmendada, denominada </w:t>
      </w:r>
      <w:r w:rsidR="009039EF" w:rsidRPr="00015445">
        <w:rPr>
          <w:rFonts w:ascii="Book Antiqua" w:hAnsi="Book Antiqua"/>
          <w:sz w:val="24"/>
          <w:szCs w:val="24"/>
          <w:lang w:val="es-419"/>
        </w:rPr>
        <w:t>“Ley de la Administración de Seguros de Salud de Puerto Rico”</w:t>
      </w:r>
      <w:r w:rsidR="009039EF" w:rsidRPr="00015445">
        <w:rPr>
          <w:rFonts w:ascii="Book Antiqua" w:hAnsi="Book Antiqua"/>
          <w:sz w:val="24"/>
          <w:szCs w:val="24"/>
          <w:lang w:val="es-PR"/>
        </w:rPr>
        <w:t xml:space="preserve">; añadir un nuevo inciso (l) al Artículo 2 y reenumerar los actuales incisos (l) al (v) como incisos (m) al (w), respectivamente, añadir un nuevo inciso (e) al Artículo 5, enmendar el inciso (b) del Artículo 8, enmendar el inciso (e) del Artículo 9, enmendar el Artículo 10 y añadir un nuevo inciso (i) al Artículo 12 de la Ley 194-2000, según enmendada, denominada </w:t>
      </w:r>
      <w:r w:rsidR="009039EF" w:rsidRPr="00015445">
        <w:rPr>
          <w:rFonts w:ascii="Book Antiqua" w:hAnsi="Book Antiqua"/>
          <w:sz w:val="24"/>
          <w:szCs w:val="24"/>
          <w:lang w:val="es-419"/>
        </w:rPr>
        <w:t xml:space="preserve">“Carta de Derechos y Responsabilidades del Paciente”; </w:t>
      </w:r>
      <w:r w:rsidR="009039EF" w:rsidRPr="00015445">
        <w:rPr>
          <w:rFonts w:ascii="Book Antiqua" w:hAnsi="Book Antiqua"/>
          <w:sz w:val="24"/>
          <w:szCs w:val="24"/>
          <w:lang w:val="es-PR"/>
        </w:rPr>
        <w:t xml:space="preserve">enmendar el Artículo 2 y añadir un nuevo inciso (j) al Artículo 4 de la </w:t>
      </w:r>
      <w:r w:rsidR="009039EF" w:rsidRPr="00015445">
        <w:rPr>
          <w:rFonts w:ascii="Book Antiqua" w:hAnsi="Book Antiqua"/>
          <w:sz w:val="24"/>
          <w:szCs w:val="24"/>
          <w:lang w:val="es-419"/>
        </w:rPr>
        <w:t xml:space="preserve">Ley Núm. 101 de 26 de junio de 1965, según enmendada, </w:t>
      </w:r>
      <w:r w:rsidR="009039EF" w:rsidRPr="00015445">
        <w:rPr>
          <w:rFonts w:ascii="Book Antiqua" w:hAnsi="Book Antiqua"/>
          <w:sz w:val="24"/>
          <w:szCs w:val="24"/>
          <w:lang w:val="es-PR"/>
        </w:rPr>
        <w:t xml:space="preserve">denominada </w:t>
      </w:r>
      <w:r w:rsidR="009039EF" w:rsidRPr="00015445">
        <w:rPr>
          <w:rFonts w:ascii="Book Antiqua" w:hAnsi="Book Antiqua"/>
          <w:sz w:val="24"/>
          <w:szCs w:val="24"/>
          <w:lang w:val="es-419"/>
        </w:rPr>
        <w:t xml:space="preserve">“Ley de Facilidades de Salud”, con el fin de reformar elementos esenciales del sistema de salud de Puerto Rico para extender protecciones y derechos adicionales a las personas con diversidad funcional en su interacción con las proveedoras de </w:t>
      </w:r>
      <w:r w:rsidR="009039EF" w:rsidRPr="008E2202">
        <w:rPr>
          <w:rFonts w:ascii="Book Antiqua" w:hAnsi="Book Antiqua"/>
          <w:sz w:val="24"/>
          <w:szCs w:val="24"/>
          <w:lang w:val="es-419"/>
        </w:rPr>
        <w:t>servicios de salud, las organizaciones de seguros de salud, y las</w:t>
      </w:r>
      <w:r w:rsidR="008E2202" w:rsidRPr="008E2202">
        <w:rPr>
          <w:rFonts w:ascii="Book Antiqua" w:hAnsi="Book Antiqua"/>
          <w:sz w:val="24"/>
          <w:szCs w:val="24"/>
          <w:lang w:val="es-419"/>
        </w:rPr>
        <w:t xml:space="preserve"> </w:t>
      </w:r>
      <w:r w:rsidR="009039EF" w:rsidRPr="008E2202">
        <w:rPr>
          <w:rFonts w:ascii="Book Antiqua" w:hAnsi="Book Antiqua"/>
          <w:sz w:val="24"/>
          <w:szCs w:val="24"/>
          <w:lang w:val="es-419"/>
        </w:rPr>
        <w:lastRenderedPageBreak/>
        <w:t>agencias gubernamentales que reglamentan o canalizan dichos servicios</w:t>
      </w:r>
      <w:r w:rsidR="009039EF" w:rsidRPr="008E2202">
        <w:rPr>
          <w:rFonts w:ascii="Book Antiqua" w:hAnsi="Book Antiqua"/>
          <w:bCs/>
          <w:sz w:val="24"/>
          <w:szCs w:val="24"/>
          <w:lang w:val="es-ES"/>
        </w:rPr>
        <w:t>; y para establecer otras disposiciones complementarias.</w:t>
      </w:r>
    </w:p>
    <w:p w14:paraId="1CD141A2" w14:textId="071C7CCC" w:rsidR="00FE470B" w:rsidRPr="008E2202" w:rsidRDefault="00FE470B" w:rsidP="00EE3A8A">
      <w:pPr>
        <w:pStyle w:val="NoSpacing"/>
        <w:rPr>
          <w:rFonts w:ascii="Book Antiqua" w:hAnsi="Book Antiqua"/>
          <w:szCs w:val="24"/>
          <w:lang w:val="es-ES_tradnl"/>
        </w:rPr>
      </w:pPr>
    </w:p>
    <w:p w14:paraId="7BAA753D" w14:textId="3C3351D5" w:rsidR="007E656E" w:rsidRPr="008E2202" w:rsidRDefault="00607F19" w:rsidP="00EB6A48">
      <w:pPr>
        <w:spacing w:line="360" w:lineRule="auto"/>
        <w:jc w:val="center"/>
        <w:rPr>
          <w:rFonts w:ascii="Book Antiqua" w:eastAsia="Times New Roman" w:hAnsi="Book Antiqua" w:cs="Times New Roman"/>
          <w:b/>
          <w:sz w:val="24"/>
          <w:szCs w:val="24"/>
          <w:lang w:val="es-ES"/>
        </w:rPr>
      </w:pPr>
      <w:r w:rsidRPr="008E2202">
        <w:rPr>
          <w:rFonts w:ascii="Book Antiqua" w:eastAsia="Times New Roman" w:hAnsi="Book Antiqua" w:cs="Times New Roman"/>
          <w:b/>
          <w:sz w:val="24"/>
          <w:szCs w:val="24"/>
          <w:lang w:val="es-ES"/>
        </w:rPr>
        <w:t>ANÁLISIS DE LA MEDIDA</w:t>
      </w:r>
    </w:p>
    <w:p w14:paraId="78E86BEB" w14:textId="02E348FF" w:rsidR="00E952E7" w:rsidRPr="008E2202" w:rsidRDefault="0089666B" w:rsidP="00817805">
      <w:pPr>
        <w:pStyle w:val="NormalWeb"/>
        <w:spacing w:line="276" w:lineRule="auto"/>
        <w:jc w:val="both"/>
        <w:rPr>
          <w:rFonts w:ascii="Book Antiqua" w:hAnsi="Book Antiqua"/>
        </w:rPr>
      </w:pPr>
      <w:r w:rsidRPr="008E2202">
        <w:rPr>
          <w:rFonts w:ascii="Book Antiqua" w:hAnsi="Book Antiqua"/>
          <w:bCs/>
          <w:lang w:val="es-ES"/>
        </w:rPr>
        <w:t>Según se desprende de la Exposición de Motivos</w:t>
      </w:r>
      <w:r w:rsidR="00E952E7" w:rsidRPr="008E2202">
        <w:rPr>
          <w:rFonts w:ascii="Book Antiqua" w:hAnsi="Book Antiqua"/>
          <w:bCs/>
          <w:lang w:val="es-ES"/>
        </w:rPr>
        <w:t>,</w:t>
      </w:r>
      <w:r w:rsidR="00E952E7" w:rsidRPr="008E2202">
        <w:rPr>
          <w:rFonts w:ascii="Book Antiqua" w:hAnsi="Book Antiqua"/>
        </w:rPr>
        <w:t xml:space="preserve"> el Informe Mundial sobre Discapacidad de la Organización Mundial de la Salud (2022), aproximadamente el 15% de la población mundial vive con algún tipo de diversidad funcional importante, siendo el 4% de estos casos de carácter severo. Esta cifra representa un aumento significativo en comparación con estimaciones previas, lo que pone en evidencia una necesidad creciente de atender adecuadamente a esta población. En efecto, las personas con diversidad funcional enfrentan mayores desafíos en el acceso a la educación, servicios de salud y oportunidades económicas, lo que, a su vez, incide en su calidad de vida y esperanza de vida.</w:t>
      </w:r>
    </w:p>
    <w:p w14:paraId="07811681" w14:textId="650AA647" w:rsidR="00E952E7" w:rsidRPr="008E2202" w:rsidRDefault="00E952E7" w:rsidP="00817805">
      <w:pPr>
        <w:pStyle w:val="NormalWeb"/>
        <w:spacing w:line="276" w:lineRule="auto"/>
        <w:jc w:val="both"/>
        <w:rPr>
          <w:rFonts w:ascii="Book Antiqua" w:hAnsi="Book Antiqua"/>
        </w:rPr>
      </w:pPr>
      <w:r w:rsidRPr="008E2202">
        <w:rPr>
          <w:rFonts w:ascii="Book Antiqua" w:hAnsi="Book Antiqua"/>
        </w:rPr>
        <w:t xml:space="preserve">En el contexto puertorriqueño, se observa una notable insuficiencia en la infraestructura sanitaria para responder con dignidad, oportunidad y continuidad a las necesidades particulares de esta población. Las condiciones físicas y operacionales de salas de espera, clínicas y laboratorios, entre otros entornos clínicos, resultan muchas veces incompatibles con las características propias de los diagnósticos que afectan a las personas funcionalmente diversas. En consecuencia, situaciones comunes para el resto de la </w:t>
      </w:r>
      <w:r w:rsidR="00E33001" w:rsidRPr="008E2202">
        <w:rPr>
          <w:rFonts w:ascii="Book Antiqua" w:hAnsi="Book Antiqua"/>
        </w:rPr>
        <w:t>población, como</w:t>
      </w:r>
      <w:r w:rsidRPr="008E2202">
        <w:rPr>
          <w:rFonts w:ascii="Book Antiqua" w:hAnsi="Book Antiqua"/>
        </w:rPr>
        <w:t xml:space="preserve"> esperar largos períodos sin estímulos o enfrentar ruidos excesivos</w:t>
      </w:r>
      <w:r w:rsidR="00141BA2" w:rsidRPr="008E2202">
        <w:rPr>
          <w:rFonts w:ascii="Book Antiqua" w:hAnsi="Book Antiqua"/>
        </w:rPr>
        <w:t>,</w:t>
      </w:r>
      <w:r w:rsidRPr="008E2202">
        <w:rPr>
          <w:rFonts w:ascii="Book Antiqua" w:hAnsi="Book Antiqua"/>
        </w:rPr>
        <w:t xml:space="preserve"> se convierten en barreras significativas para este sector, lo cual agrava su exclusión del sistema de salud.</w:t>
      </w:r>
    </w:p>
    <w:p w14:paraId="7E48F75A" w14:textId="77777777" w:rsidR="00E952E7" w:rsidRPr="008E2202" w:rsidRDefault="00E952E7" w:rsidP="00817805">
      <w:pPr>
        <w:pStyle w:val="NormalWeb"/>
        <w:spacing w:line="276" w:lineRule="auto"/>
        <w:jc w:val="both"/>
        <w:rPr>
          <w:rFonts w:ascii="Book Antiqua" w:hAnsi="Book Antiqua"/>
        </w:rPr>
      </w:pPr>
      <w:r w:rsidRPr="008E2202">
        <w:rPr>
          <w:rFonts w:ascii="Book Antiqua" w:hAnsi="Book Antiqua"/>
        </w:rPr>
        <w:t>Asimismo, aunque existe voluntad institucional, la falta de formación específica, protocolos adaptados y comprensión sobre la diversidad funcional continúa limitando la accesibilidad. Esta falta de preparación también genera un patrón preocupante de negación de servicios por parte de profesionales de la salud, lo que profundiza la marginación de estas familias. Es importante destacar que muchas madres abandonan sus carreras para atender a sus hijos, enfrentándose luego al envejecimiento sin una red de apoyo institucional que asegure la continuidad del cuidado.</w:t>
      </w:r>
    </w:p>
    <w:p w14:paraId="50462324" w14:textId="0599B33F" w:rsidR="00E952E7" w:rsidRPr="008E2202" w:rsidRDefault="00E952E7" w:rsidP="00817805">
      <w:pPr>
        <w:pStyle w:val="NormalWeb"/>
        <w:spacing w:line="276" w:lineRule="auto"/>
        <w:jc w:val="both"/>
        <w:rPr>
          <w:rFonts w:ascii="Book Antiqua" w:hAnsi="Book Antiqua"/>
        </w:rPr>
      </w:pPr>
      <w:r w:rsidRPr="008E2202">
        <w:rPr>
          <w:rFonts w:ascii="Book Antiqua" w:hAnsi="Book Antiqua"/>
        </w:rPr>
        <w:t xml:space="preserve">Particular atención merece el caso del autismo, cuya prevalencia se ha incrementado drásticamente en los últimos 50 años. Actualmente, se estima que el 2.2% de la población adulta en los Estados Unidos y sus territorios se encuentra en el espectro del autismo. Este fenómeno ha generado un aumento en la demanda de servicios médicos </w:t>
      </w:r>
      <w:r w:rsidRPr="008E2202">
        <w:rPr>
          <w:rFonts w:ascii="Book Antiqua" w:hAnsi="Book Antiqua"/>
        </w:rPr>
        <w:lastRenderedPageBreak/>
        <w:t>especializados, los cuales resultan de cuatro a seis veces más costosos que los de pacientes neurotípicos. De igual manera, existen condiciones como el albinismo, con una incidencia particularmente elevada en Puerto Rico, que requieren consideraciones</w:t>
      </w:r>
      <w:r w:rsidR="00BC65FB" w:rsidRPr="008E2202">
        <w:rPr>
          <w:rFonts w:ascii="Book Antiqua" w:hAnsi="Book Antiqua"/>
        </w:rPr>
        <w:t xml:space="preserve"> </w:t>
      </w:r>
      <w:r w:rsidRPr="008E2202">
        <w:rPr>
          <w:rFonts w:ascii="Book Antiqua" w:hAnsi="Book Antiqua"/>
        </w:rPr>
        <w:t>clínicas específicas para evitar riesgos innecesarios.</w:t>
      </w:r>
    </w:p>
    <w:p w14:paraId="2DBF0833" w14:textId="77777777" w:rsidR="00E952E7" w:rsidRPr="008E2202" w:rsidRDefault="00E952E7" w:rsidP="00817805">
      <w:pPr>
        <w:pStyle w:val="NormalWeb"/>
        <w:spacing w:line="276" w:lineRule="auto"/>
        <w:jc w:val="both"/>
        <w:rPr>
          <w:rFonts w:ascii="Book Antiqua" w:hAnsi="Book Antiqua"/>
        </w:rPr>
      </w:pPr>
      <w:r w:rsidRPr="008E2202">
        <w:rPr>
          <w:rFonts w:ascii="Book Antiqua" w:hAnsi="Book Antiqua"/>
        </w:rPr>
        <w:t xml:space="preserve">En respuesta a este panorama, la Comisión sobre los Derechos de las Personas con Diversidad Funcional del Colegio de </w:t>
      </w:r>
      <w:proofErr w:type="gramStart"/>
      <w:r w:rsidRPr="008E2202">
        <w:rPr>
          <w:rFonts w:ascii="Book Antiqua" w:hAnsi="Book Antiqua"/>
        </w:rPr>
        <w:t>Abogados y Abogadas</w:t>
      </w:r>
      <w:proofErr w:type="gramEnd"/>
      <w:r w:rsidRPr="008E2202">
        <w:rPr>
          <w:rFonts w:ascii="Book Antiqua" w:hAnsi="Book Antiqua"/>
        </w:rPr>
        <w:t xml:space="preserve"> de Puerto Rico ha subrayado la urgente necesidad de revisar la legislación vigente relacionada con el acceso a servicios médicos. Entre las barreras identificadas se destacan la burocracia en las aseguradoras, la falta de intérpretes y materiales en formatos accesibles como braille, la escasa preparación médica en diversidad funcional y la inexistencia de protocolos claros para garantizar acomodos razonables, turnos prioritarios, servicios a domicilio o anestesia general en casos necesarios.</w:t>
      </w:r>
    </w:p>
    <w:p w14:paraId="14AA6A7E" w14:textId="7800094C" w:rsidR="00E952E7" w:rsidRPr="008E2202" w:rsidRDefault="00881C42" w:rsidP="00817805">
      <w:pPr>
        <w:pStyle w:val="NormalWeb"/>
        <w:spacing w:line="276" w:lineRule="auto"/>
        <w:jc w:val="both"/>
        <w:rPr>
          <w:rFonts w:ascii="Book Antiqua" w:hAnsi="Book Antiqua"/>
        </w:rPr>
      </w:pPr>
      <w:r w:rsidRPr="008E2202">
        <w:rPr>
          <w:rFonts w:ascii="Book Antiqua" w:hAnsi="Book Antiqua"/>
        </w:rPr>
        <w:t>De igual forma</w:t>
      </w:r>
      <w:r w:rsidR="00E952E7" w:rsidRPr="008E2202">
        <w:rPr>
          <w:rFonts w:ascii="Book Antiqua" w:hAnsi="Book Antiqua"/>
        </w:rPr>
        <w:t xml:space="preserve">, la Escuela de Medicina Dental y la Escuela de Medicina de la Universidad de Puerto Rico han advertido sobre la inexistencia de un registro médico centralizado que documente la población con diversidad funcional y sus necesidades específicas. Esta omisión impide el desarrollo de políticas públicas informadas. Por ello, el proyecto propone la creación de un </w:t>
      </w:r>
      <w:r w:rsidR="00E952E7" w:rsidRPr="008E2202">
        <w:rPr>
          <w:rStyle w:val="Strong"/>
          <w:rFonts w:ascii="Book Antiqua" w:eastAsiaTheme="majorEastAsia" w:hAnsi="Book Antiqua"/>
          <w:b w:val="0"/>
          <w:bCs w:val="0"/>
        </w:rPr>
        <w:t>Registro Centralizado de Pacientes con Diversidad Funcional</w:t>
      </w:r>
      <w:r w:rsidR="00E952E7" w:rsidRPr="008E2202">
        <w:rPr>
          <w:rFonts w:ascii="Book Antiqua" w:hAnsi="Book Antiqua"/>
        </w:rPr>
        <w:t>, con el fin de recopilar dicha información y establecer los acomodos requeridos.</w:t>
      </w:r>
    </w:p>
    <w:p w14:paraId="68C40EB5" w14:textId="77777777" w:rsidR="00E952E7" w:rsidRPr="008E2202" w:rsidRDefault="00E952E7" w:rsidP="00817805">
      <w:pPr>
        <w:pStyle w:val="NormalWeb"/>
        <w:spacing w:line="276" w:lineRule="auto"/>
        <w:jc w:val="both"/>
        <w:rPr>
          <w:rFonts w:ascii="Book Antiqua" w:hAnsi="Book Antiqua"/>
        </w:rPr>
      </w:pPr>
      <w:r w:rsidRPr="008E2202">
        <w:rPr>
          <w:rFonts w:ascii="Book Antiqua" w:hAnsi="Book Antiqua"/>
        </w:rPr>
        <w:t xml:space="preserve">De igual modo, se propone la creación de una </w:t>
      </w:r>
      <w:r w:rsidRPr="008E2202">
        <w:rPr>
          <w:rStyle w:val="Strong"/>
          <w:rFonts w:ascii="Book Antiqua" w:eastAsiaTheme="majorEastAsia" w:hAnsi="Book Antiqua"/>
          <w:b w:val="0"/>
          <w:bCs w:val="0"/>
        </w:rPr>
        <w:t>Cubierta Especial para Personas con Diversidad Funcional Crónica</w:t>
      </w:r>
      <w:r w:rsidRPr="008E2202">
        <w:rPr>
          <w:rFonts w:ascii="Book Antiqua" w:hAnsi="Book Antiqua"/>
        </w:rPr>
        <w:t xml:space="preserve"> en la Ley de la Administración de Seguros de Salud (Ley 72-1993), con el fin de garantizar la continuidad del cuidado una vez los pacientes alcanzan la adultez, particularmente en ausencia de clínicas multidisciplinarias que atiendan adultos con condiciones originadas en la niñez.</w:t>
      </w:r>
    </w:p>
    <w:p w14:paraId="447512AA" w14:textId="77777777" w:rsidR="00E952E7" w:rsidRPr="008E2202" w:rsidRDefault="00E952E7" w:rsidP="00817805">
      <w:pPr>
        <w:pStyle w:val="NormalWeb"/>
        <w:spacing w:line="276" w:lineRule="auto"/>
        <w:jc w:val="both"/>
        <w:rPr>
          <w:rFonts w:ascii="Book Antiqua" w:hAnsi="Book Antiqua"/>
        </w:rPr>
      </w:pPr>
      <w:r w:rsidRPr="008E2202">
        <w:rPr>
          <w:rFonts w:ascii="Book Antiqua" w:hAnsi="Book Antiqua"/>
        </w:rPr>
        <w:t xml:space="preserve">Desde una perspectiva semántica y de derechos humanos, se resalta además la necesidad de sustituir términos peyorativos o desfasados como “discapacitado” por el concepto de “diversidad funcional”, el cual, según exponen </w:t>
      </w:r>
      <w:proofErr w:type="spellStart"/>
      <w:r w:rsidRPr="008E2202">
        <w:rPr>
          <w:rFonts w:ascii="Book Antiqua" w:hAnsi="Book Antiqua"/>
        </w:rPr>
        <w:t>Romañach</w:t>
      </w:r>
      <w:proofErr w:type="spellEnd"/>
      <w:r w:rsidRPr="008E2202">
        <w:rPr>
          <w:rFonts w:ascii="Book Antiqua" w:hAnsi="Book Antiqua"/>
        </w:rPr>
        <w:t xml:space="preserve"> y Lobato, reconoce la diferencia funcional sin asociarla a connotaciones negativas. Esta transición terminológica también implica un cambio de paradigma en el tratamiento legislativo y social de esta población.</w:t>
      </w:r>
    </w:p>
    <w:p w14:paraId="5A59E696" w14:textId="77777777" w:rsidR="00E952E7" w:rsidRPr="008E2202" w:rsidRDefault="00E952E7" w:rsidP="00817805">
      <w:pPr>
        <w:pStyle w:val="NormalWeb"/>
        <w:spacing w:line="276" w:lineRule="auto"/>
        <w:jc w:val="both"/>
        <w:rPr>
          <w:rFonts w:ascii="Book Antiqua" w:hAnsi="Book Antiqua"/>
        </w:rPr>
      </w:pPr>
      <w:r w:rsidRPr="008E2202">
        <w:rPr>
          <w:rFonts w:ascii="Book Antiqua" w:hAnsi="Book Antiqua"/>
        </w:rPr>
        <w:t xml:space="preserve">Finalmente, el estatuto propuesto incorpora enmiendas a diversas leyes –incluyendo la Ley de Facilidades de Salud (Ley Núm. 101-1965), la Ley 72-1993, y la Carta de Derechos y Responsabilidades del Paciente (Ley 194-2000)– para integrar la noción de diversidad funcional conforme a marcos legales locales y federales. Se enfatiza la urgencia de educar </w:t>
      </w:r>
      <w:r w:rsidRPr="008E2202">
        <w:rPr>
          <w:rFonts w:ascii="Book Antiqua" w:hAnsi="Book Antiqua"/>
        </w:rPr>
        <w:lastRenderedPageBreak/>
        <w:t>a los profesionales de la salud, desarrollar nuevos protocolos y garantizar derechos sustantivos, especialmente en contextos donde el consentimiento informado es crucial.</w:t>
      </w:r>
    </w:p>
    <w:p w14:paraId="7B1B3902" w14:textId="5E670839" w:rsidR="008E2202" w:rsidRPr="001C5297" w:rsidRDefault="00E952E7" w:rsidP="008E2202">
      <w:pPr>
        <w:pStyle w:val="NoSpacing"/>
        <w:rPr>
          <w:rFonts w:ascii="Book Antiqua" w:hAnsi="Book Antiqua"/>
          <w:szCs w:val="24"/>
          <w:lang w:val="es-PR"/>
        </w:rPr>
      </w:pPr>
      <w:r w:rsidRPr="001C5297">
        <w:rPr>
          <w:rFonts w:ascii="Book Antiqua" w:hAnsi="Book Antiqua"/>
          <w:szCs w:val="24"/>
          <w:lang w:val="es-PR"/>
        </w:rPr>
        <w:t>En suma, la medida legislativa responde a una necesidad apremiante de transformar el sistema de salud puertorriqueño en uno más inclusivo, equitativo y respetuoso de la dignidad humana, conforme con los principios constitucionales y las mejores prácticas internacionales en derechos humanos.</w:t>
      </w:r>
    </w:p>
    <w:p w14:paraId="7A83FD39" w14:textId="4234B547" w:rsidR="00F20323" w:rsidRPr="008E2202" w:rsidRDefault="00C41B7E" w:rsidP="008E2202">
      <w:pPr>
        <w:pStyle w:val="NormalWeb"/>
        <w:spacing w:line="276" w:lineRule="auto"/>
        <w:jc w:val="center"/>
        <w:rPr>
          <w:rFonts w:ascii="Book Antiqua" w:hAnsi="Book Antiqua"/>
        </w:rPr>
      </w:pPr>
      <w:r w:rsidRPr="00401A03">
        <w:rPr>
          <w:rFonts w:ascii="Book Antiqua" w:hAnsi="Book Antiqua"/>
          <w:b/>
          <w:lang w:val="es-ES"/>
        </w:rPr>
        <w:t>ALCANCE DEL INFORME</w:t>
      </w:r>
    </w:p>
    <w:p w14:paraId="71B8D928" w14:textId="22F3905A" w:rsidR="00EC57C5" w:rsidRDefault="00EC57C5" w:rsidP="00817805">
      <w:pPr>
        <w:spacing w:after="0" w:line="276" w:lineRule="auto"/>
        <w:jc w:val="both"/>
        <w:rPr>
          <w:rFonts w:ascii="Book Antiqua" w:hAnsi="Book Antiqua"/>
          <w:sz w:val="24"/>
          <w:szCs w:val="24"/>
          <w:lang w:val="es-ES"/>
        </w:rPr>
      </w:pPr>
      <w:r w:rsidRPr="00855AEE">
        <w:rPr>
          <w:rFonts w:ascii="Book Antiqua" w:hAnsi="Book Antiqua"/>
          <w:sz w:val="24"/>
          <w:szCs w:val="24"/>
          <w:lang w:val="es-ES"/>
        </w:rPr>
        <w:t xml:space="preserve">Como parte del proceso de análisis y evaluación del </w:t>
      </w:r>
      <w:r w:rsidRPr="00855AEE">
        <w:rPr>
          <w:rFonts w:ascii="Book Antiqua" w:hAnsi="Book Antiqua"/>
          <w:b/>
          <w:bCs/>
          <w:sz w:val="24"/>
          <w:szCs w:val="24"/>
          <w:lang w:val="es-ES"/>
        </w:rPr>
        <w:t>P. del S. 4</w:t>
      </w:r>
      <w:r w:rsidR="00082C3E">
        <w:rPr>
          <w:rFonts w:ascii="Book Antiqua" w:hAnsi="Book Antiqua"/>
          <w:b/>
          <w:bCs/>
          <w:sz w:val="24"/>
          <w:szCs w:val="24"/>
          <w:lang w:val="es-ES"/>
        </w:rPr>
        <w:t>23</w:t>
      </w:r>
      <w:r w:rsidRPr="00855AEE">
        <w:rPr>
          <w:rFonts w:ascii="Book Antiqua" w:hAnsi="Book Antiqua"/>
          <w:sz w:val="24"/>
          <w:szCs w:val="24"/>
          <w:lang w:val="es-ES"/>
        </w:rPr>
        <w:t>, la Honorable Comisión de Salud del Senado solicitó los comentarios sobre la medida a diversos componentes gubernamentales y no gubernamentales. Los memoriales recibidos y utilizados para el análisis de esta pieza legislativa son</w:t>
      </w:r>
      <w:r w:rsidR="008E2202">
        <w:rPr>
          <w:rFonts w:ascii="Book Antiqua" w:hAnsi="Book Antiqua"/>
          <w:sz w:val="24"/>
          <w:szCs w:val="24"/>
          <w:lang w:val="es-ES"/>
        </w:rPr>
        <w:t>:</w:t>
      </w:r>
      <w:r w:rsidR="008E2202" w:rsidRPr="008E2202">
        <w:rPr>
          <w:rFonts w:ascii="Book Antiqua" w:hAnsi="Book Antiqua"/>
          <w:sz w:val="24"/>
          <w:szCs w:val="24"/>
          <w:lang w:val="es-ES"/>
        </w:rPr>
        <w:t xml:space="preserve"> </w:t>
      </w:r>
      <w:r w:rsidR="008E2202">
        <w:rPr>
          <w:rFonts w:ascii="Book Antiqua" w:hAnsi="Book Antiqua"/>
          <w:sz w:val="24"/>
          <w:szCs w:val="24"/>
          <w:lang w:val="es-ES"/>
        </w:rPr>
        <w:t>la Administración de Seguros de Salud</w:t>
      </w:r>
      <w:r w:rsidR="001C5297">
        <w:rPr>
          <w:rFonts w:ascii="Book Antiqua" w:hAnsi="Book Antiqua"/>
          <w:sz w:val="24"/>
          <w:szCs w:val="24"/>
          <w:lang w:val="es-ES"/>
        </w:rPr>
        <w:t xml:space="preserve"> (ASES)</w:t>
      </w:r>
      <w:r w:rsidR="008E2202">
        <w:rPr>
          <w:rFonts w:ascii="Book Antiqua" w:hAnsi="Book Antiqua"/>
          <w:sz w:val="24"/>
          <w:szCs w:val="24"/>
          <w:lang w:val="es-ES"/>
        </w:rPr>
        <w:t>, la Asociación de Compañías de Seguros</w:t>
      </w:r>
      <w:r w:rsidR="001C5297">
        <w:rPr>
          <w:rFonts w:ascii="Book Antiqua" w:hAnsi="Book Antiqua"/>
          <w:sz w:val="24"/>
          <w:szCs w:val="24"/>
          <w:lang w:val="es-ES"/>
        </w:rPr>
        <w:t xml:space="preserve"> (ACODESE)</w:t>
      </w:r>
      <w:r w:rsidR="008E2202">
        <w:rPr>
          <w:rFonts w:ascii="Book Antiqua" w:hAnsi="Book Antiqua"/>
          <w:sz w:val="24"/>
          <w:szCs w:val="24"/>
          <w:lang w:val="es-ES"/>
        </w:rPr>
        <w:t xml:space="preserve">, </w:t>
      </w:r>
      <w:r w:rsidR="002E7D29">
        <w:rPr>
          <w:rFonts w:ascii="Book Antiqua" w:hAnsi="Book Antiqua"/>
          <w:sz w:val="24"/>
          <w:szCs w:val="24"/>
          <w:lang w:val="es-ES"/>
        </w:rPr>
        <w:t>la</w:t>
      </w:r>
      <w:r w:rsidR="008E2202">
        <w:rPr>
          <w:rFonts w:ascii="Book Antiqua" w:hAnsi="Book Antiqua"/>
          <w:sz w:val="24"/>
          <w:szCs w:val="24"/>
          <w:lang w:val="es-ES"/>
        </w:rPr>
        <w:t xml:space="preserve"> </w:t>
      </w:r>
      <w:r w:rsidR="00082C3E">
        <w:rPr>
          <w:rFonts w:ascii="Book Antiqua" w:hAnsi="Book Antiqua"/>
          <w:sz w:val="24"/>
          <w:szCs w:val="24"/>
          <w:lang w:val="es-ES"/>
        </w:rPr>
        <w:t>Oficina del Procurador del Paciente</w:t>
      </w:r>
      <w:r w:rsidR="001C5297">
        <w:rPr>
          <w:rFonts w:ascii="Book Antiqua" w:hAnsi="Book Antiqua"/>
          <w:sz w:val="24"/>
          <w:szCs w:val="24"/>
          <w:lang w:val="es-ES"/>
        </w:rPr>
        <w:t xml:space="preserve"> (OPP)</w:t>
      </w:r>
      <w:r w:rsidR="00082C3E">
        <w:rPr>
          <w:rFonts w:ascii="Book Antiqua" w:hAnsi="Book Antiqua"/>
          <w:sz w:val="24"/>
          <w:szCs w:val="24"/>
          <w:lang w:val="es-ES"/>
        </w:rPr>
        <w:t>,</w:t>
      </w:r>
      <w:r w:rsidR="00DD5A3E">
        <w:rPr>
          <w:rFonts w:ascii="Book Antiqua" w:hAnsi="Book Antiqua"/>
          <w:sz w:val="24"/>
          <w:szCs w:val="24"/>
          <w:lang w:val="es-ES"/>
        </w:rPr>
        <w:t xml:space="preserve"> la</w:t>
      </w:r>
      <w:r w:rsidR="00082C3E">
        <w:rPr>
          <w:rFonts w:ascii="Book Antiqua" w:hAnsi="Book Antiqua"/>
          <w:sz w:val="24"/>
          <w:szCs w:val="24"/>
          <w:lang w:val="es-ES"/>
        </w:rPr>
        <w:t xml:space="preserve"> Administración de Rehabilitación Vocacional</w:t>
      </w:r>
      <w:r w:rsidR="001C5297">
        <w:rPr>
          <w:rFonts w:ascii="Book Antiqua" w:hAnsi="Book Antiqua"/>
          <w:sz w:val="24"/>
          <w:szCs w:val="24"/>
          <w:lang w:val="es-ES"/>
        </w:rPr>
        <w:t xml:space="preserve"> (ARV)</w:t>
      </w:r>
      <w:r w:rsidR="00082C3E">
        <w:rPr>
          <w:rFonts w:ascii="Book Antiqua" w:hAnsi="Book Antiqua"/>
          <w:sz w:val="24"/>
          <w:szCs w:val="24"/>
          <w:lang w:val="es-ES"/>
        </w:rPr>
        <w:t>,</w:t>
      </w:r>
      <w:r w:rsidR="008E2202">
        <w:rPr>
          <w:rFonts w:ascii="Book Antiqua" w:hAnsi="Book Antiqua"/>
          <w:sz w:val="24"/>
          <w:szCs w:val="24"/>
          <w:lang w:val="es-ES"/>
        </w:rPr>
        <w:t xml:space="preserve"> </w:t>
      </w:r>
      <w:r w:rsidR="002E3A0A">
        <w:rPr>
          <w:rFonts w:ascii="Book Antiqua" w:hAnsi="Book Antiqua"/>
          <w:sz w:val="24"/>
          <w:szCs w:val="24"/>
          <w:lang w:val="es-ES"/>
        </w:rPr>
        <w:t xml:space="preserve">la Oficina de </w:t>
      </w:r>
      <w:r w:rsidR="00082C3E">
        <w:rPr>
          <w:rFonts w:ascii="Book Antiqua" w:hAnsi="Book Antiqua"/>
          <w:sz w:val="24"/>
          <w:szCs w:val="24"/>
          <w:lang w:val="es-ES"/>
        </w:rPr>
        <w:t>Defensoría de las Personas con Impedimentos</w:t>
      </w:r>
      <w:r w:rsidR="001C5297">
        <w:rPr>
          <w:rFonts w:ascii="Book Antiqua" w:hAnsi="Book Antiqua"/>
          <w:sz w:val="24"/>
          <w:szCs w:val="24"/>
          <w:lang w:val="es-ES"/>
        </w:rPr>
        <w:t xml:space="preserve"> (DPI)</w:t>
      </w:r>
      <w:r w:rsidR="00082C3E">
        <w:rPr>
          <w:rFonts w:ascii="Book Antiqua" w:hAnsi="Book Antiqua"/>
          <w:sz w:val="24"/>
          <w:szCs w:val="24"/>
          <w:lang w:val="es-ES"/>
        </w:rPr>
        <w:t>,</w:t>
      </w:r>
      <w:r w:rsidR="008E2202">
        <w:rPr>
          <w:rFonts w:ascii="Book Antiqua" w:hAnsi="Book Antiqua"/>
          <w:sz w:val="24"/>
          <w:szCs w:val="24"/>
          <w:lang w:val="es-ES"/>
        </w:rPr>
        <w:t xml:space="preserve"> el </w:t>
      </w:r>
      <w:r w:rsidR="00082C3E">
        <w:rPr>
          <w:rFonts w:ascii="Book Antiqua" w:hAnsi="Book Antiqua"/>
          <w:sz w:val="24"/>
          <w:szCs w:val="24"/>
          <w:lang w:val="es-ES"/>
        </w:rPr>
        <w:t>Plan de Salud Menonita, MMM</w:t>
      </w:r>
      <w:r w:rsidR="008E2202">
        <w:rPr>
          <w:rFonts w:ascii="Book Antiqua" w:hAnsi="Book Antiqua"/>
          <w:sz w:val="24"/>
          <w:szCs w:val="24"/>
          <w:lang w:val="es-ES"/>
        </w:rPr>
        <w:t xml:space="preserve"> Holdings, LLC. y </w:t>
      </w:r>
      <w:r w:rsidR="00082C3E">
        <w:rPr>
          <w:rFonts w:ascii="Book Antiqua" w:hAnsi="Book Antiqua"/>
          <w:sz w:val="24"/>
          <w:szCs w:val="24"/>
          <w:lang w:val="es-ES"/>
        </w:rPr>
        <w:t>Triple-S</w:t>
      </w:r>
      <w:r w:rsidR="008E2202">
        <w:rPr>
          <w:rFonts w:ascii="Book Antiqua" w:hAnsi="Book Antiqua"/>
          <w:sz w:val="24"/>
          <w:szCs w:val="24"/>
          <w:lang w:val="es-ES"/>
        </w:rPr>
        <w:t xml:space="preserve"> Management </w:t>
      </w:r>
      <w:proofErr w:type="spellStart"/>
      <w:r w:rsidR="008E2202">
        <w:rPr>
          <w:rFonts w:ascii="Book Antiqua" w:hAnsi="Book Antiqua"/>
          <w:sz w:val="24"/>
          <w:szCs w:val="24"/>
          <w:lang w:val="es-ES"/>
        </w:rPr>
        <w:t>Corporation</w:t>
      </w:r>
      <w:proofErr w:type="spellEnd"/>
      <w:r w:rsidR="008E2202">
        <w:rPr>
          <w:rFonts w:ascii="Book Antiqua" w:hAnsi="Book Antiqua"/>
          <w:sz w:val="24"/>
          <w:szCs w:val="24"/>
          <w:lang w:val="es-ES"/>
        </w:rPr>
        <w:t>.</w:t>
      </w:r>
    </w:p>
    <w:p w14:paraId="5BF25E16" w14:textId="77777777" w:rsidR="00082C3E" w:rsidRPr="00855AEE" w:rsidRDefault="00082C3E" w:rsidP="00817805">
      <w:pPr>
        <w:spacing w:after="0" w:line="276" w:lineRule="auto"/>
        <w:jc w:val="both"/>
        <w:rPr>
          <w:rFonts w:ascii="Book Antiqua" w:hAnsi="Book Antiqua"/>
          <w:szCs w:val="24"/>
          <w:lang w:val="es-ES"/>
        </w:rPr>
      </w:pPr>
    </w:p>
    <w:p w14:paraId="5B6FC319" w14:textId="2DA5B98E" w:rsidR="00EC57C5" w:rsidRPr="00855AEE" w:rsidRDefault="00EC57C5" w:rsidP="00817805">
      <w:pPr>
        <w:spacing w:after="0" w:line="276" w:lineRule="auto"/>
        <w:jc w:val="both"/>
        <w:rPr>
          <w:rFonts w:ascii="Book Antiqua" w:hAnsi="Book Antiqua"/>
          <w:sz w:val="24"/>
          <w:szCs w:val="24"/>
          <w:lang w:val="es-ES"/>
        </w:rPr>
      </w:pPr>
      <w:r w:rsidRPr="00855AEE">
        <w:rPr>
          <w:rFonts w:ascii="Book Antiqua" w:hAnsi="Book Antiqua"/>
          <w:sz w:val="24"/>
          <w:szCs w:val="24"/>
          <w:lang w:val="es-ES"/>
        </w:rPr>
        <w:t xml:space="preserve">Igualmente, se solicitaron los comentarios al </w:t>
      </w:r>
      <w:r w:rsidR="00FE470B" w:rsidRPr="00855AEE">
        <w:rPr>
          <w:rFonts w:ascii="Book Antiqua" w:hAnsi="Book Antiqua"/>
          <w:sz w:val="24"/>
          <w:szCs w:val="24"/>
          <w:lang w:val="es-ES"/>
        </w:rPr>
        <w:t xml:space="preserve">Departamento de </w:t>
      </w:r>
      <w:r w:rsidR="00082C3E">
        <w:rPr>
          <w:rFonts w:ascii="Book Antiqua" w:hAnsi="Book Antiqua"/>
          <w:sz w:val="24"/>
          <w:szCs w:val="24"/>
          <w:lang w:val="es-ES"/>
        </w:rPr>
        <w:t>Salud</w:t>
      </w:r>
      <w:r w:rsidRPr="00855AEE">
        <w:rPr>
          <w:rFonts w:ascii="Book Antiqua" w:hAnsi="Book Antiqua"/>
          <w:sz w:val="24"/>
          <w:szCs w:val="24"/>
          <w:lang w:val="es-ES"/>
        </w:rPr>
        <w:t>;</w:t>
      </w:r>
      <w:r w:rsidR="00082C3E">
        <w:rPr>
          <w:rFonts w:ascii="Book Antiqua" w:hAnsi="Book Antiqua"/>
          <w:sz w:val="24"/>
          <w:szCs w:val="24"/>
          <w:lang w:val="es-ES"/>
        </w:rPr>
        <w:t xml:space="preserve"> </w:t>
      </w:r>
      <w:r w:rsidR="008E2202">
        <w:rPr>
          <w:rFonts w:ascii="Book Antiqua" w:hAnsi="Book Antiqua"/>
          <w:sz w:val="24"/>
          <w:szCs w:val="24"/>
          <w:lang w:val="es-ES"/>
        </w:rPr>
        <w:t xml:space="preserve">la </w:t>
      </w:r>
      <w:r w:rsidR="00082C3E">
        <w:rPr>
          <w:rFonts w:ascii="Book Antiqua" w:hAnsi="Book Antiqua"/>
          <w:sz w:val="24"/>
          <w:szCs w:val="24"/>
          <w:lang w:val="es-ES"/>
        </w:rPr>
        <w:t xml:space="preserve">Asociación de Hospitales, </w:t>
      </w:r>
      <w:r w:rsidR="008E2202">
        <w:rPr>
          <w:rFonts w:ascii="Book Antiqua" w:hAnsi="Book Antiqua"/>
          <w:sz w:val="24"/>
          <w:szCs w:val="24"/>
          <w:lang w:val="es-ES"/>
        </w:rPr>
        <w:t xml:space="preserve">la </w:t>
      </w:r>
      <w:r w:rsidR="00082C3E">
        <w:rPr>
          <w:rFonts w:ascii="Book Antiqua" w:hAnsi="Book Antiqua"/>
          <w:sz w:val="24"/>
          <w:szCs w:val="24"/>
          <w:lang w:val="es-ES"/>
        </w:rPr>
        <w:t xml:space="preserve">Asociación de Farmacias de la Comunidad, </w:t>
      </w:r>
      <w:r w:rsidR="008E2202">
        <w:rPr>
          <w:rFonts w:ascii="Book Antiqua" w:hAnsi="Book Antiqua"/>
          <w:sz w:val="24"/>
          <w:szCs w:val="24"/>
          <w:lang w:val="es-ES"/>
        </w:rPr>
        <w:t xml:space="preserve">la </w:t>
      </w:r>
      <w:r w:rsidR="00082C3E">
        <w:rPr>
          <w:rFonts w:ascii="Book Antiqua" w:hAnsi="Book Antiqua"/>
          <w:sz w:val="24"/>
          <w:szCs w:val="24"/>
          <w:lang w:val="es-ES"/>
        </w:rPr>
        <w:t>Comisión de Derechos Civiles y MCS</w:t>
      </w:r>
      <w:r w:rsidR="008E2202">
        <w:rPr>
          <w:rFonts w:ascii="Book Antiqua" w:hAnsi="Book Antiqua"/>
          <w:sz w:val="24"/>
          <w:szCs w:val="24"/>
          <w:lang w:val="es-ES"/>
        </w:rPr>
        <w:t xml:space="preserve"> </w:t>
      </w:r>
      <w:proofErr w:type="spellStart"/>
      <w:r w:rsidR="008E2202">
        <w:rPr>
          <w:rFonts w:ascii="Book Antiqua" w:hAnsi="Book Antiqua"/>
          <w:sz w:val="24"/>
          <w:szCs w:val="24"/>
          <w:lang w:val="es-ES"/>
        </w:rPr>
        <w:t>Foundation</w:t>
      </w:r>
      <w:proofErr w:type="spellEnd"/>
      <w:r w:rsidR="00082C3E">
        <w:rPr>
          <w:rFonts w:ascii="Book Antiqua" w:hAnsi="Book Antiqua"/>
          <w:sz w:val="24"/>
          <w:szCs w:val="24"/>
          <w:lang w:val="es-ES"/>
        </w:rPr>
        <w:t>,</w:t>
      </w:r>
      <w:r w:rsidRPr="00855AEE">
        <w:rPr>
          <w:rFonts w:ascii="Book Antiqua" w:hAnsi="Book Antiqua"/>
          <w:sz w:val="24"/>
          <w:szCs w:val="24"/>
          <w:lang w:val="es-ES"/>
        </w:rPr>
        <w:t xml:space="preserve"> no obstante, al momento de redactar este Informe, estos no han remitido </w:t>
      </w:r>
      <w:r w:rsidR="006A260C" w:rsidRPr="00855AEE">
        <w:rPr>
          <w:rFonts w:ascii="Book Antiqua" w:hAnsi="Book Antiqua"/>
          <w:sz w:val="24"/>
          <w:szCs w:val="24"/>
          <w:lang w:val="es-ES"/>
        </w:rPr>
        <w:t>e</w:t>
      </w:r>
      <w:r w:rsidRPr="00855AEE">
        <w:rPr>
          <w:rFonts w:ascii="Book Antiqua" w:hAnsi="Book Antiqua"/>
          <w:sz w:val="24"/>
          <w:szCs w:val="24"/>
          <w:lang w:val="es-ES"/>
        </w:rPr>
        <w:t xml:space="preserve">l mismo. </w:t>
      </w:r>
    </w:p>
    <w:p w14:paraId="699C81C0" w14:textId="77777777" w:rsidR="00EC57C5" w:rsidRPr="00855AEE" w:rsidRDefault="00EC57C5" w:rsidP="00817805">
      <w:pPr>
        <w:pStyle w:val="NoSpacing"/>
        <w:spacing w:line="276" w:lineRule="auto"/>
        <w:jc w:val="both"/>
        <w:rPr>
          <w:rFonts w:ascii="Book Antiqua" w:hAnsi="Book Antiqua"/>
          <w:szCs w:val="24"/>
          <w:lang w:val="es-ES"/>
        </w:rPr>
      </w:pPr>
    </w:p>
    <w:p w14:paraId="342AA3A1" w14:textId="77777777" w:rsidR="00EC57C5" w:rsidRDefault="00EC57C5" w:rsidP="00817805">
      <w:pPr>
        <w:spacing w:after="0" w:line="276" w:lineRule="auto"/>
        <w:jc w:val="both"/>
        <w:rPr>
          <w:rFonts w:ascii="Book Antiqua" w:hAnsi="Book Antiqua"/>
          <w:sz w:val="24"/>
          <w:szCs w:val="24"/>
          <w:lang w:val="es-ES"/>
        </w:rPr>
      </w:pPr>
      <w:r w:rsidRPr="00855AEE">
        <w:rPr>
          <w:rFonts w:ascii="Book Antiqua" w:hAnsi="Book Antiqua"/>
          <w:sz w:val="24"/>
          <w:szCs w:val="24"/>
          <w:lang w:val="es-ES"/>
        </w:rPr>
        <w:t xml:space="preserve">A continuación, presentaremos un resumen de los argumentos y comentarios esbozados por las diferentes agencias y entidades consultadas durante el proceso de evaluación de la medida en referencia.  </w:t>
      </w:r>
    </w:p>
    <w:p w14:paraId="5903F78A" w14:textId="77777777" w:rsidR="00FE470B" w:rsidRPr="00855AEE" w:rsidRDefault="00FE470B" w:rsidP="00817805">
      <w:pPr>
        <w:spacing w:after="0" w:line="276" w:lineRule="auto"/>
        <w:jc w:val="both"/>
        <w:rPr>
          <w:rFonts w:ascii="Book Antiqua" w:eastAsia="Times New Roman" w:hAnsi="Book Antiqua" w:cs="Times New Roman"/>
          <w:b/>
          <w:sz w:val="24"/>
          <w:szCs w:val="24"/>
          <w:lang w:val="es-ES"/>
        </w:rPr>
      </w:pPr>
    </w:p>
    <w:p w14:paraId="03BACF62" w14:textId="31C1CDD6" w:rsidR="00FE470B" w:rsidRPr="00855AEE" w:rsidRDefault="00FE5792" w:rsidP="00D66623">
      <w:pPr>
        <w:spacing w:after="0" w:line="276" w:lineRule="auto"/>
        <w:jc w:val="center"/>
        <w:rPr>
          <w:rFonts w:ascii="Book Antiqua" w:eastAsia="Times New Roman" w:hAnsi="Book Antiqua" w:cs="Times New Roman"/>
          <w:b/>
          <w:sz w:val="24"/>
          <w:szCs w:val="24"/>
          <w:lang w:val="es-ES"/>
        </w:rPr>
      </w:pPr>
      <w:r>
        <w:rPr>
          <w:rFonts w:ascii="Book Antiqua" w:eastAsia="Times New Roman" w:hAnsi="Book Antiqua" w:cs="Times New Roman"/>
          <w:b/>
          <w:sz w:val="24"/>
          <w:szCs w:val="24"/>
          <w:lang w:val="es-ES"/>
        </w:rPr>
        <w:t>ADMINISTRACI</w:t>
      </w:r>
      <w:r w:rsidR="00DF0266">
        <w:rPr>
          <w:rFonts w:ascii="Book Antiqua" w:eastAsia="Times New Roman" w:hAnsi="Book Antiqua" w:cs="Times New Roman"/>
          <w:b/>
          <w:sz w:val="24"/>
          <w:szCs w:val="24"/>
          <w:lang w:val="es-ES"/>
        </w:rPr>
        <w:t>Ó</w:t>
      </w:r>
      <w:r>
        <w:rPr>
          <w:rFonts w:ascii="Book Antiqua" w:eastAsia="Times New Roman" w:hAnsi="Book Antiqua" w:cs="Times New Roman"/>
          <w:b/>
          <w:sz w:val="24"/>
          <w:szCs w:val="24"/>
          <w:lang w:val="es-ES"/>
        </w:rPr>
        <w:t>N DE SEGUROS DE SALUD</w:t>
      </w:r>
      <w:r w:rsidR="000F5DDF">
        <w:rPr>
          <w:rFonts w:ascii="Book Antiqua" w:eastAsia="Times New Roman" w:hAnsi="Book Antiqua" w:cs="Times New Roman"/>
          <w:b/>
          <w:sz w:val="24"/>
          <w:szCs w:val="24"/>
          <w:lang w:val="es-ES"/>
        </w:rPr>
        <w:t xml:space="preserve"> (ASES)</w:t>
      </w:r>
    </w:p>
    <w:p w14:paraId="368DFF77" w14:textId="77777777" w:rsidR="00FE470B" w:rsidRPr="00855AEE" w:rsidRDefault="00FE470B" w:rsidP="00D66623">
      <w:pPr>
        <w:pStyle w:val="NoSpacing"/>
        <w:spacing w:line="276" w:lineRule="auto"/>
        <w:jc w:val="center"/>
        <w:rPr>
          <w:rFonts w:ascii="Book Antiqua" w:hAnsi="Book Antiqua"/>
          <w:szCs w:val="24"/>
          <w:lang w:val="es-ES"/>
        </w:rPr>
      </w:pPr>
    </w:p>
    <w:p w14:paraId="747D6CF5" w14:textId="43BC1EBA" w:rsidR="00BF2B87" w:rsidRPr="001C5297" w:rsidRDefault="00FE470B" w:rsidP="00817805">
      <w:pPr>
        <w:spacing w:after="0" w:line="276" w:lineRule="auto"/>
        <w:jc w:val="both"/>
        <w:rPr>
          <w:rFonts w:ascii="Book Antiqua" w:eastAsia="Times New Roman" w:hAnsi="Book Antiqua" w:cs="Times New Roman"/>
          <w:bCs/>
          <w:sz w:val="24"/>
          <w:szCs w:val="24"/>
          <w:lang w:val="es-ES"/>
        </w:rPr>
      </w:pPr>
      <w:r w:rsidRPr="00855AEE">
        <w:rPr>
          <w:rFonts w:ascii="Book Antiqua" w:eastAsia="Times New Roman" w:hAnsi="Book Antiqua" w:cs="Times New Roman"/>
          <w:bCs/>
          <w:sz w:val="24"/>
          <w:szCs w:val="24"/>
          <w:lang w:val="es-ES"/>
        </w:rPr>
        <w:t>Luego de examinar la pieza legislativa de referencia</w:t>
      </w:r>
      <w:r w:rsidRPr="00855AEE">
        <w:rPr>
          <w:rFonts w:ascii="Book Antiqua" w:eastAsia="Times New Roman" w:hAnsi="Book Antiqua" w:cs="Times New Roman"/>
          <w:b/>
          <w:sz w:val="24"/>
          <w:szCs w:val="24"/>
          <w:lang w:val="es-ES"/>
        </w:rPr>
        <w:t xml:space="preserve">, </w:t>
      </w:r>
      <w:r w:rsidR="00DF0266">
        <w:rPr>
          <w:rFonts w:ascii="Book Antiqua" w:eastAsia="Times New Roman" w:hAnsi="Book Antiqua" w:cs="Times New Roman"/>
          <w:bCs/>
          <w:sz w:val="24"/>
          <w:szCs w:val="24"/>
          <w:lang w:val="es-ES"/>
        </w:rPr>
        <w:t>l</w:t>
      </w:r>
      <w:r w:rsidR="00FE5792">
        <w:rPr>
          <w:rFonts w:ascii="Book Antiqua" w:eastAsia="Times New Roman" w:hAnsi="Book Antiqua" w:cs="Times New Roman"/>
          <w:bCs/>
          <w:sz w:val="24"/>
          <w:szCs w:val="24"/>
          <w:lang w:val="es-ES"/>
        </w:rPr>
        <w:t xml:space="preserve">a </w:t>
      </w:r>
      <w:r w:rsidR="00FE5792" w:rsidRPr="005B52A2">
        <w:rPr>
          <w:rFonts w:ascii="Book Antiqua" w:eastAsia="Times New Roman" w:hAnsi="Book Antiqua" w:cs="Times New Roman"/>
          <w:b/>
          <w:sz w:val="24"/>
          <w:szCs w:val="24"/>
          <w:lang w:val="es-ES"/>
        </w:rPr>
        <w:t>Administración de Seguros de Salud</w:t>
      </w:r>
      <w:r w:rsidR="001C5297">
        <w:rPr>
          <w:rFonts w:ascii="Book Antiqua" w:eastAsia="Times New Roman" w:hAnsi="Book Antiqua" w:cs="Times New Roman"/>
          <w:b/>
          <w:sz w:val="24"/>
          <w:szCs w:val="24"/>
          <w:lang w:val="es-ES"/>
        </w:rPr>
        <w:t xml:space="preserve"> (ASES)</w:t>
      </w:r>
      <w:r w:rsidRPr="00855AEE">
        <w:rPr>
          <w:rFonts w:ascii="Book Antiqua" w:eastAsia="Times New Roman" w:hAnsi="Book Antiqua" w:cs="Times New Roman"/>
          <w:bCs/>
          <w:sz w:val="24"/>
          <w:szCs w:val="24"/>
          <w:lang w:val="es-ES"/>
        </w:rPr>
        <w:t xml:space="preserve"> presentó su Memorial Explicativo por conducto de su </w:t>
      </w:r>
      <w:proofErr w:type="gramStart"/>
      <w:r w:rsidR="00FE5792">
        <w:rPr>
          <w:rFonts w:ascii="Book Antiqua" w:eastAsia="Times New Roman" w:hAnsi="Book Antiqua" w:cs="Times New Roman"/>
          <w:bCs/>
          <w:sz w:val="24"/>
          <w:szCs w:val="24"/>
          <w:lang w:val="es-ES"/>
        </w:rPr>
        <w:t>Directora Ejecutiva</w:t>
      </w:r>
      <w:proofErr w:type="gramEnd"/>
      <w:r w:rsidR="00FE5792">
        <w:rPr>
          <w:rFonts w:ascii="Book Antiqua" w:eastAsia="Times New Roman" w:hAnsi="Book Antiqua" w:cs="Times New Roman"/>
          <w:bCs/>
          <w:sz w:val="24"/>
          <w:szCs w:val="24"/>
          <w:lang w:val="es-ES"/>
        </w:rPr>
        <w:t xml:space="preserve"> interina</w:t>
      </w:r>
      <w:r w:rsidRPr="00855AEE">
        <w:rPr>
          <w:rFonts w:ascii="Book Antiqua" w:eastAsia="Times New Roman" w:hAnsi="Book Antiqua" w:cs="Times New Roman"/>
          <w:bCs/>
          <w:sz w:val="24"/>
          <w:szCs w:val="24"/>
          <w:lang w:val="es-ES"/>
        </w:rPr>
        <w:t xml:space="preserve">, </w:t>
      </w:r>
      <w:proofErr w:type="spellStart"/>
      <w:r w:rsidR="00FE5792">
        <w:rPr>
          <w:rFonts w:ascii="Book Antiqua" w:eastAsia="Times New Roman" w:hAnsi="Book Antiqua" w:cs="Times New Roman"/>
          <w:bCs/>
          <w:sz w:val="24"/>
          <w:szCs w:val="24"/>
          <w:lang w:val="es-ES"/>
        </w:rPr>
        <w:t>Lymari</w:t>
      </w:r>
      <w:proofErr w:type="spellEnd"/>
      <w:r w:rsidR="00FE5792">
        <w:rPr>
          <w:rFonts w:ascii="Book Antiqua" w:eastAsia="Times New Roman" w:hAnsi="Book Antiqua" w:cs="Times New Roman"/>
          <w:bCs/>
          <w:sz w:val="24"/>
          <w:szCs w:val="24"/>
          <w:lang w:val="es-ES"/>
        </w:rPr>
        <w:t xml:space="preserve"> Colón Rodríguez</w:t>
      </w:r>
      <w:r w:rsidRPr="00855AEE">
        <w:rPr>
          <w:rFonts w:ascii="Book Antiqua" w:eastAsia="Times New Roman" w:hAnsi="Book Antiqua" w:cs="Times New Roman"/>
          <w:bCs/>
          <w:sz w:val="24"/>
          <w:szCs w:val="24"/>
          <w:lang w:val="es-ES"/>
        </w:rPr>
        <w:t xml:space="preserve">, </w:t>
      </w:r>
      <w:r w:rsidR="00317106" w:rsidRPr="00855AEE">
        <w:rPr>
          <w:rFonts w:ascii="Book Antiqua" w:eastAsia="Calibri" w:hAnsi="Book Antiqua" w:cs="Times New Roman"/>
          <w:kern w:val="2"/>
          <w:sz w:val="24"/>
          <w:szCs w:val="24"/>
          <w:lang w:val="es-ES"/>
          <w14:ligatures w14:val="standardContextual"/>
        </w:rPr>
        <w:t>expresándose de</w:t>
      </w:r>
      <w:r w:rsidRPr="00855AEE">
        <w:rPr>
          <w:rFonts w:ascii="Book Antiqua" w:eastAsia="Calibri" w:hAnsi="Book Antiqua" w:cs="Times New Roman"/>
          <w:kern w:val="2"/>
          <w:sz w:val="24"/>
          <w:szCs w:val="24"/>
          <w:lang w:val="es-ES"/>
          <w14:ligatures w14:val="standardContextual"/>
        </w:rPr>
        <w:t xml:space="preserve"> la aprobación de la medid</w:t>
      </w:r>
      <w:r w:rsidR="00CC7EC2" w:rsidRPr="00855AEE">
        <w:rPr>
          <w:rFonts w:ascii="Book Antiqua" w:eastAsia="Calibri" w:hAnsi="Book Antiqua" w:cs="Times New Roman"/>
          <w:kern w:val="2"/>
          <w:sz w:val="24"/>
          <w:szCs w:val="24"/>
          <w:lang w:val="es-ES"/>
          <w14:ligatures w14:val="standardContextual"/>
        </w:rPr>
        <w:t>a</w:t>
      </w:r>
      <w:r w:rsidR="009B4662" w:rsidRPr="00855AEE">
        <w:rPr>
          <w:rFonts w:ascii="Book Antiqua" w:eastAsia="Calibri" w:hAnsi="Book Antiqua" w:cs="Times New Roman"/>
          <w:kern w:val="2"/>
          <w:sz w:val="24"/>
          <w:szCs w:val="24"/>
          <w:lang w:val="es-ES"/>
          <w14:ligatures w14:val="standardContextual"/>
        </w:rPr>
        <w:t xml:space="preserve">, sujeto </w:t>
      </w:r>
      <w:r w:rsidR="001E3271" w:rsidRPr="00855AEE">
        <w:rPr>
          <w:rFonts w:ascii="Book Antiqua" w:eastAsia="Calibri" w:hAnsi="Book Antiqua" w:cs="Times New Roman"/>
          <w:kern w:val="2"/>
          <w:sz w:val="24"/>
          <w:szCs w:val="24"/>
          <w:lang w:val="es-ES"/>
          <w14:ligatures w14:val="standardContextual"/>
        </w:rPr>
        <w:t>a que se consideren sus recomendaciones</w:t>
      </w:r>
      <w:r w:rsidR="009B4662" w:rsidRPr="00855AEE">
        <w:rPr>
          <w:rFonts w:ascii="Book Antiqua" w:eastAsia="Calibri" w:hAnsi="Book Antiqua" w:cs="Times New Roman"/>
          <w:kern w:val="2"/>
          <w:sz w:val="24"/>
          <w:szCs w:val="24"/>
          <w:lang w:val="es-ES"/>
          <w14:ligatures w14:val="standardContextual"/>
        </w:rPr>
        <w:t>.</w:t>
      </w:r>
    </w:p>
    <w:p w14:paraId="7E8A20C2" w14:textId="77777777" w:rsidR="00BF2B87" w:rsidRDefault="00BF2B87" w:rsidP="00817805">
      <w:pPr>
        <w:spacing w:after="0" w:line="276" w:lineRule="auto"/>
        <w:jc w:val="both"/>
        <w:rPr>
          <w:rFonts w:ascii="Book Antiqua" w:eastAsia="Calibri" w:hAnsi="Book Antiqua" w:cs="Times New Roman"/>
          <w:kern w:val="2"/>
          <w:sz w:val="24"/>
          <w:szCs w:val="24"/>
          <w:lang w:val="es-ES"/>
          <w14:ligatures w14:val="standardContextual"/>
        </w:rPr>
      </w:pPr>
    </w:p>
    <w:p w14:paraId="7F162353" w14:textId="27EBC6DA" w:rsidR="00317106" w:rsidRPr="00722DE5" w:rsidRDefault="005B52A2" w:rsidP="00817805">
      <w:pPr>
        <w:spacing w:after="0" w:line="276" w:lineRule="auto"/>
        <w:jc w:val="both"/>
        <w:rPr>
          <w:rFonts w:ascii="Book Antiqua" w:eastAsia="Times New Roman" w:hAnsi="Book Antiqua" w:cs="Times New Roman"/>
          <w:bCs/>
          <w:sz w:val="24"/>
          <w:szCs w:val="24"/>
          <w:lang w:val="es-ES"/>
        </w:rPr>
      </w:pPr>
      <w:r w:rsidRPr="008D5EF7">
        <w:rPr>
          <w:rFonts w:ascii="Book Antiqua" w:eastAsia="Calibri" w:hAnsi="Book Antiqua" w:cs="Times New Roman"/>
          <w:kern w:val="2"/>
          <w:sz w:val="24"/>
          <w:szCs w:val="24"/>
          <w:lang w:val="es-ES"/>
          <w14:ligatures w14:val="standardContextual"/>
        </w:rPr>
        <w:t>Planteó, que</w:t>
      </w:r>
      <w:r w:rsidR="00317106" w:rsidRPr="008D5EF7">
        <w:rPr>
          <w:rFonts w:ascii="Book Antiqua" w:hAnsi="Book Antiqua"/>
          <w:sz w:val="24"/>
          <w:szCs w:val="24"/>
          <w:lang w:val="es-PR"/>
        </w:rPr>
        <w:t xml:space="preserve"> reconoce la importancia de salvaguardar la salud y calidad de vida de las personas con diversidad funcional. En atención a ello, la entidad manifestó su respaldo a los mecanismos ya existentes en el sistema de salud pública que atienden las necesidades </w:t>
      </w:r>
      <w:r w:rsidR="00317106" w:rsidRPr="008D5EF7">
        <w:rPr>
          <w:rFonts w:ascii="Book Antiqua" w:hAnsi="Book Antiqua"/>
          <w:sz w:val="24"/>
          <w:szCs w:val="24"/>
          <w:lang w:val="es-PR"/>
        </w:rPr>
        <w:lastRenderedPageBreak/>
        <w:t xml:space="preserve">de dicha población. No obstante, advirtió que, dado el amplio alcance del Proyecto del </w:t>
      </w:r>
      <w:r w:rsidR="00317106" w:rsidRPr="00722DE5">
        <w:rPr>
          <w:rFonts w:ascii="Book Antiqua" w:hAnsi="Book Antiqua"/>
          <w:sz w:val="24"/>
          <w:szCs w:val="24"/>
          <w:lang w:val="es-PR"/>
        </w:rPr>
        <w:t>Senado 423 y su posible impacto en diversas entidades gubernamentales, limitaría su análisis a los aspectos que competen directamente a la ASES.</w:t>
      </w:r>
    </w:p>
    <w:p w14:paraId="0F5626C2" w14:textId="409545E5" w:rsidR="00317106" w:rsidRPr="00317106" w:rsidRDefault="00F357AC" w:rsidP="00817805">
      <w:pPr>
        <w:pStyle w:val="NormalWeb"/>
        <w:spacing w:line="276" w:lineRule="auto"/>
        <w:jc w:val="both"/>
        <w:rPr>
          <w:rFonts w:ascii="Book Antiqua" w:hAnsi="Book Antiqua"/>
        </w:rPr>
      </w:pPr>
      <w:r>
        <w:rPr>
          <w:rFonts w:ascii="Book Antiqua" w:hAnsi="Book Antiqua"/>
        </w:rPr>
        <w:t>De igual manera señaló</w:t>
      </w:r>
      <w:r w:rsidR="00317106" w:rsidRPr="00317106">
        <w:rPr>
          <w:rFonts w:ascii="Book Antiqua" w:hAnsi="Book Antiqua"/>
        </w:rPr>
        <w:t>,</w:t>
      </w:r>
      <w:r w:rsidR="008363E5">
        <w:rPr>
          <w:rFonts w:ascii="Book Antiqua" w:hAnsi="Book Antiqua"/>
        </w:rPr>
        <w:t xml:space="preserve"> que</w:t>
      </w:r>
      <w:r w:rsidR="00317106" w:rsidRPr="00317106">
        <w:rPr>
          <w:rFonts w:ascii="Book Antiqua" w:hAnsi="Book Antiqua"/>
        </w:rPr>
        <w:t xml:space="preserve"> el proyecto propone enmendar la Sección 2 del Artículo IV de la Ley Núm. 72-1993, según enmendada, para imponer a la ASES el deber de proveer</w:t>
      </w:r>
      <w:r w:rsidR="008363E5">
        <w:rPr>
          <w:rFonts w:ascii="Book Antiqua" w:hAnsi="Book Antiqua"/>
        </w:rPr>
        <w:t xml:space="preserve"> </w:t>
      </w:r>
      <w:r w:rsidR="00317106" w:rsidRPr="00317106">
        <w:rPr>
          <w:rFonts w:ascii="Book Antiqua" w:hAnsi="Book Antiqua"/>
        </w:rPr>
        <w:t xml:space="preserve">adiestramientos a los proveedores sobre condiciones vinculadas a la diversidad funcional. Al respecto, ASES indicó que esta obligación ya está contemplada en los contratos vigentes con las organizaciones de cuidado coordinado (MCO), que forman parte del Plan Vital. Estos contratos requieren que los </w:t>
      </w:r>
      <w:proofErr w:type="spellStart"/>
      <w:r w:rsidR="00317106" w:rsidRPr="00317106">
        <w:rPr>
          <w:rFonts w:ascii="Book Antiqua" w:hAnsi="Book Antiqua"/>
        </w:rPr>
        <w:t>MCOs</w:t>
      </w:r>
      <w:proofErr w:type="spellEnd"/>
      <w:r w:rsidR="00317106" w:rsidRPr="00317106">
        <w:rPr>
          <w:rFonts w:ascii="Book Antiqua" w:hAnsi="Book Antiqua"/>
        </w:rPr>
        <w:t xml:space="preserve"> desarrollen y ofrezcan capacitaciones sobre condiciones de salud, tratamientos y modelos de atención integrados, entre otros temas. Por tanto, desde la perspectiva de ASES, este aspecto ya se encuentra debidamente atendido mediante herramientas contractuales fiscalizadas por la agencia.</w:t>
      </w:r>
    </w:p>
    <w:p w14:paraId="7719A0D6" w14:textId="35770937" w:rsidR="00317106" w:rsidRPr="00317106" w:rsidRDefault="0030296E" w:rsidP="00817805">
      <w:pPr>
        <w:pStyle w:val="NormalWeb"/>
        <w:spacing w:line="276" w:lineRule="auto"/>
        <w:jc w:val="both"/>
        <w:rPr>
          <w:rFonts w:ascii="Book Antiqua" w:hAnsi="Book Antiqua"/>
        </w:rPr>
      </w:pPr>
      <w:r>
        <w:rPr>
          <w:rFonts w:ascii="Book Antiqua" w:hAnsi="Book Antiqua"/>
        </w:rPr>
        <w:t>Asimismo</w:t>
      </w:r>
      <w:r w:rsidR="00317106" w:rsidRPr="00317106">
        <w:rPr>
          <w:rFonts w:ascii="Book Antiqua" w:hAnsi="Book Antiqua"/>
        </w:rPr>
        <w:t xml:space="preserve">, el proyecto pretende enmendar la misma Ley 72-1993 para incluir una cláusula específica contra la discriminación de personas con diversidad funcional por parte de proveedores o sus agentes. Sobre esta disposición, ASES señaló que su política ya prohíbe categóricamente cualquier tipo de discrimen por discapacidad u otras características protegidas, tal como consta en los contratos con los </w:t>
      </w:r>
      <w:proofErr w:type="spellStart"/>
      <w:r w:rsidR="00317106" w:rsidRPr="00317106">
        <w:rPr>
          <w:rFonts w:ascii="Book Antiqua" w:hAnsi="Book Antiqua"/>
        </w:rPr>
        <w:t>MCOs</w:t>
      </w:r>
      <w:proofErr w:type="spellEnd"/>
      <w:r w:rsidR="00317106" w:rsidRPr="00317106">
        <w:rPr>
          <w:rFonts w:ascii="Book Antiqua" w:hAnsi="Book Antiqua"/>
        </w:rPr>
        <w:t>. De hecho, estos contratos disponen la prohibición expresa de negar servicios a poblaciones de alto riesgo o con tratamientos costosos, lo cual, en efecto, adelanta los fines del proyecto.</w:t>
      </w:r>
    </w:p>
    <w:p w14:paraId="2D3C3312" w14:textId="63EE92AC" w:rsidR="00317106" w:rsidRPr="00317106" w:rsidRDefault="00317106" w:rsidP="00817805">
      <w:pPr>
        <w:pStyle w:val="NormalWeb"/>
        <w:spacing w:line="276" w:lineRule="auto"/>
        <w:jc w:val="both"/>
        <w:rPr>
          <w:rFonts w:ascii="Book Antiqua" w:hAnsi="Book Antiqua"/>
        </w:rPr>
      </w:pPr>
      <w:r w:rsidRPr="00317106">
        <w:rPr>
          <w:rFonts w:ascii="Book Antiqua" w:hAnsi="Book Antiqua"/>
        </w:rPr>
        <w:t>En cuanto a la propuesta de crear una “Cubierta Especial para Personas con Diversidad Funcional Crónica”, la ASES aclaró que el Plan Vital ya contempla una cubierta similar. Esta cubierta especial garantiza servicios médicos a pacientes con diagnósticos pediátricos complejos, incluyendo</w:t>
      </w:r>
      <w:r w:rsidR="001459C5">
        <w:rPr>
          <w:rFonts w:ascii="Book Antiqua" w:hAnsi="Book Antiqua"/>
        </w:rPr>
        <w:t xml:space="preserve"> </w:t>
      </w:r>
      <w:r w:rsidRPr="00317106">
        <w:rPr>
          <w:rFonts w:ascii="Book Antiqua" w:hAnsi="Book Antiqua"/>
        </w:rPr>
        <w:t xml:space="preserve">condiciones físicas, genéticas, cognitivas, del desarrollo, entre otras. </w:t>
      </w:r>
      <w:r w:rsidR="008E2202">
        <w:rPr>
          <w:rFonts w:ascii="Book Antiqua" w:hAnsi="Book Antiqua"/>
        </w:rPr>
        <w:t xml:space="preserve">Resaltó, </w:t>
      </w:r>
      <w:proofErr w:type="gramStart"/>
      <w:r w:rsidR="008E2202">
        <w:rPr>
          <w:rFonts w:ascii="Book Antiqua" w:hAnsi="Book Antiqua"/>
        </w:rPr>
        <w:t>que</w:t>
      </w:r>
      <w:proofErr w:type="gramEnd"/>
      <w:r w:rsidR="008E2202">
        <w:rPr>
          <w:rFonts w:ascii="Book Antiqua" w:hAnsi="Book Antiqua"/>
        </w:rPr>
        <w:t xml:space="preserve"> </w:t>
      </w:r>
      <w:r w:rsidRPr="00317106">
        <w:rPr>
          <w:rFonts w:ascii="Book Antiqua" w:hAnsi="Book Antiqua"/>
        </w:rPr>
        <w:t xml:space="preserve">con sus facultades y la normativa vigente, ASES determina los servicios incluidos en esta cubierta en función de criterios médicos, de salud pública y de viabilidad fiscal. </w:t>
      </w:r>
      <w:r w:rsidR="008E2202">
        <w:rPr>
          <w:rFonts w:ascii="Book Antiqua" w:hAnsi="Book Antiqua"/>
        </w:rPr>
        <w:t xml:space="preserve">Añadió, que </w:t>
      </w:r>
      <w:r w:rsidRPr="00317106">
        <w:rPr>
          <w:rFonts w:ascii="Book Antiqua" w:hAnsi="Book Antiqua"/>
        </w:rPr>
        <w:t xml:space="preserve">todo paciente pediátrico identificado como persona con necesidades especiales y debidamente diagnosticado, </w:t>
      </w:r>
      <w:r w:rsidR="00FE4F9C">
        <w:rPr>
          <w:rFonts w:ascii="Book Antiqua" w:hAnsi="Book Antiqua"/>
        </w:rPr>
        <w:t xml:space="preserve">es </w:t>
      </w:r>
      <w:r w:rsidRPr="00317106">
        <w:rPr>
          <w:rFonts w:ascii="Book Antiqua" w:hAnsi="Book Antiqua"/>
        </w:rPr>
        <w:t>automáticamente categorizado bajo dicha cubierta.</w:t>
      </w:r>
    </w:p>
    <w:p w14:paraId="6346F8F6" w14:textId="7BBB1523" w:rsidR="00A91F39" w:rsidRPr="00D66623" w:rsidRDefault="00317106" w:rsidP="00D66623">
      <w:pPr>
        <w:pStyle w:val="NormalWeb"/>
        <w:spacing w:line="276" w:lineRule="auto"/>
        <w:jc w:val="both"/>
        <w:rPr>
          <w:rFonts w:ascii="Book Antiqua" w:hAnsi="Book Antiqua"/>
        </w:rPr>
      </w:pPr>
      <w:r w:rsidRPr="00317106">
        <w:rPr>
          <w:rFonts w:ascii="Book Antiqua" w:hAnsi="Book Antiqua"/>
        </w:rPr>
        <w:t xml:space="preserve">En síntesis, ASES acogió positivamente la intención legislativa del P. del S. 423; sin embargo, reiteró que los elementos sustantivos del proyecto ya están integrados y operan dentro del modelo de cuidado actual bajo el Plan Vital. En consecuencia, la agencia entiende que no es necesario legislar nuevamente sobre estos aspectos. Finalmente, ASES </w:t>
      </w:r>
      <w:r w:rsidRPr="00317106">
        <w:rPr>
          <w:rFonts w:ascii="Book Antiqua" w:hAnsi="Book Antiqua"/>
        </w:rPr>
        <w:lastRenderedPageBreak/>
        <w:t>agradeció la oportunidad de expresarse ante la Comisión y reiteró su disponibilidad para continuar colaborando en el análisis de esta medida.</w:t>
      </w:r>
    </w:p>
    <w:p w14:paraId="4F85C933" w14:textId="77777777" w:rsidR="00FE4F9C" w:rsidRPr="00855AEE" w:rsidRDefault="00FE4F9C" w:rsidP="001C5297">
      <w:pPr>
        <w:spacing w:after="0" w:line="276" w:lineRule="auto"/>
        <w:jc w:val="center"/>
        <w:rPr>
          <w:rFonts w:ascii="Book Antiqua" w:eastAsia="Times New Roman" w:hAnsi="Book Antiqua" w:cs="Times New Roman"/>
          <w:b/>
          <w:sz w:val="24"/>
          <w:szCs w:val="24"/>
          <w:lang w:val="es-ES"/>
        </w:rPr>
      </w:pPr>
      <w:r w:rsidRPr="00855AEE">
        <w:rPr>
          <w:rFonts w:ascii="Book Antiqua" w:eastAsia="Times New Roman" w:hAnsi="Book Antiqua" w:cs="Times New Roman"/>
          <w:b/>
          <w:sz w:val="24"/>
          <w:szCs w:val="24"/>
          <w:lang w:val="es-ES"/>
        </w:rPr>
        <w:t>ASOCIACIÓN DE COMPAÑIAS DE SEGUROS DE PUERTO RICO (ACODESE)</w:t>
      </w:r>
    </w:p>
    <w:p w14:paraId="5A847760" w14:textId="77777777" w:rsidR="00FE4F9C" w:rsidRPr="00855AEE" w:rsidRDefault="00FE4F9C" w:rsidP="00FE4F9C">
      <w:pPr>
        <w:pStyle w:val="NoSpacing"/>
        <w:spacing w:line="276" w:lineRule="auto"/>
        <w:jc w:val="both"/>
        <w:rPr>
          <w:rFonts w:ascii="Book Antiqua" w:hAnsi="Book Antiqua"/>
          <w:szCs w:val="24"/>
          <w:lang w:val="es-ES"/>
        </w:rPr>
      </w:pPr>
    </w:p>
    <w:p w14:paraId="26E49384" w14:textId="77777777" w:rsidR="00FE4F9C" w:rsidRDefault="00FE4F9C" w:rsidP="00FE4F9C">
      <w:pPr>
        <w:spacing w:line="276" w:lineRule="auto"/>
        <w:jc w:val="both"/>
        <w:rPr>
          <w:rFonts w:ascii="Book Antiqua" w:eastAsia="Calibri" w:hAnsi="Book Antiqua" w:cs="Times New Roman"/>
          <w:kern w:val="2"/>
          <w:sz w:val="24"/>
          <w:szCs w:val="24"/>
          <w:lang w:val="es-ES"/>
          <w14:ligatures w14:val="standardContextual"/>
        </w:rPr>
      </w:pPr>
      <w:r w:rsidRPr="00855AEE">
        <w:rPr>
          <w:rFonts w:ascii="Book Antiqua" w:eastAsia="Times New Roman" w:hAnsi="Book Antiqua"/>
          <w:bCs/>
          <w:sz w:val="24"/>
          <w:szCs w:val="24"/>
          <w:lang w:val="es-PR"/>
        </w:rPr>
        <w:t xml:space="preserve">Recibimos, de igual forma, la ponencia de </w:t>
      </w:r>
      <w:r w:rsidRPr="00855AEE">
        <w:rPr>
          <w:rFonts w:ascii="Book Antiqua" w:eastAsia="Calibri" w:hAnsi="Book Antiqua" w:cs="Times New Roman"/>
          <w:kern w:val="2"/>
          <w:sz w:val="24"/>
          <w:szCs w:val="24"/>
          <w:lang w:val="es-PR"/>
          <w14:ligatures w14:val="standardContextual"/>
        </w:rPr>
        <w:t>l</w:t>
      </w:r>
      <w:r w:rsidRPr="00855AEE">
        <w:rPr>
          <w:rFonts w:ascii="Book Antiqua" w:eastAsia="Calibri" w:hAnsi="Book Antiqua" w:cs="Times New Roman"/>
          <w:kern w:val="2"/>
          <w:sz w:val="24"/>
          <w:szCs w:val="24"/>
          <w:lang w:val="es-ES"/>
          <w14:ligatures w14:val="standardContextual"/>
        </w:rPr>
        <w:t xml:space="preserve">a </w:t>
      </w:r>
      <w:r w:rsidRPr="00855AEE">
        <w:rPr>
          <w:rFonts w:ascii="Book Antiqua" w:eastAsia="Calibri" w:hAnsi="Book Antiqua" w:cs="Times New Roman"/>
          <w:b/>
          <w:bCs/>
          <w:kern w:val="2"/>
          <w:sz w:val="24"/>
          <w:szCs w:val="24"/>
          <w:lang w:val="es-ES"/>
          <w14:ligatures w14:val="standardContextual"/>
        </w:rPr>
        <w:t>Asociación de Compañías de Seguros de Puerto Rico (ACODESE)</w:t>
      </w:r>
      <w:r w:rsidRPr="00855AEE">
        <w:rPr>
          <w:rFonts w:ascii="Book Antiqua" w:eastAsia="Calibri" w:hAnsi="Book Antiqua" w:cs="Times New Roman"/>
          <w:kern w:val="2"/>
          <w:sz w:val="24"/>
          <w:szCs w:val="24"/>
          <w:lang w:val="es-ES"/>
          <w14:ligatures w14:val="standardContextual"/>
        </w:rPr>
        <w:t xml:space="preserve"> la cual fue presentada por conducto de su </w:t>
      </w:r>
      <w:proofErr w:type="gramStart"/>
      <w:r w:rsidRPr="00855AEE">
        <w:rPr>
          <w:rFonts w:ascii="Book Antiqua" w:eastAsia="Calibri" w:hAnsi="Book Antiqua" w:cs="Times New Roman"/>
          <w:kern w:val="2"/>
          <w:sz w:val="24"/>
          <w:szCs w:val="24"/>
          <w:lang w:val="es-ES"/>
          <w14:ligatures w14:val="standardContextual"/>
        </w:rPr>
        <w:t>Directora Ejecutiva</w:t>
      </w:r>
      <w:proofErr w:type="gramEnd"/>
      <w:r w:rsidRPr="00855AEE">
        <w:rPr>
          <w:rFonts w:ascii="Book Antiqua" w:eastAsia="Calibri" w:hAnsi="Book Antiqua" w:cs="Times New Roman"/>
          <w:kern w:val="2"/>
          <w:sz w:val="24"/>
          <w:szCs w:val="24"/>
          <w:lang w:val="es-ES"/>
          <w14:ligatures w14:val="standardContextual"/>
        </w:rPr>
        <w:t xml:space="preserve">, </w:t>
      </w:r>
      <w:proofErr w:type="spellStart"/>
      <w:r w:rsidRPr="00855AEE">
        <w:rPr>
          <w:rFonts w:ascii="Book Antiqua" w:eastAsia="Calibri" w:hAnsi="Book Antiqua" w:cs="Times New Roman"/>
          <w:kern w:val="2"/>
          <w:sz w:val="24"/>
          <w:szCs w:val="24"/>
          <w:lang w:val="es-ES"/>
          <w14:ligatures w14:val="standardContextual"/>
        </w:rPr>
        <w:t>Iraelia</w:t>
      </w:r>
      <w:proofErr w:type="spellEnd"/>
      <w:r w:rsidRPr="00855AEE">
        <w:rPr>
          <w:rFonts w:ascii="Book Antiqua" w:eastAsia="Calibri" w:hAnsi="Book Antiqua" w:cs="Times New Roman"/>
          <w:kern w:val="2"/>
          <w:sz w:val="24"/>
          <w:szCs w:val="24"/>
          <w:lang w:val="es-ES"/>
          <w14:ligatures w14:val="standardContextual"/>
        </w:rPr>
        <w:t xml:space="preserve"> Pernas, expresándose en contra de la aprobación de la medida.</w:t>
      </w:r>
    </w:p>
    <w:p w14:paraId="29FBE92D" w14:textId="0FB538F8" w:rsidR="00FE4F9C" w:rsidRPr="00985EB8" w:rsidRDefault="00FE4F9C" w:rsidP="00FE4F9C">
      <w:pPr>
        <w:spacing w:line="276" w:lineRule="auto"/>
        <w:jc w:val="both"/>
        <w:rPr>
          <w:rFonts w:ascii="Book Antiqua" w:eastAsia="Calibri" w:hAnsi="Book Antiqua" w:cs="Times New Roman"/>
          <w:kern w:val="2"/>
          <w:sz w:val="24"/>
          <w:szCs w:val="24"/>
          <w:lang w:val="es-ES"/>
          <w14:ligatures w14:val="standardContextual"/>
        </w:rPr>
      </w:pPr>
      <w:r w:rsidRPr="00985EB8">
        <w:rPr>
          <w:rFonts w:ascii="Book Antiqua" w:hAnsi="Book Antiqua"/>
          <w:lang w:val="es-PR"/>
        </w:rPr>
        <w:t>ACODESE</w:t>
      </w:r>
      <w:r>
        <w:rPr>
          <w:rFonts w:ascii="Book Antiqua" w:hAnsi="Book Antiqua"/>
          <w:lang w:val="es-PR"/>
        </w:rPr>
        <w:t xml:space="preserve"> </w:t>
      </w:r>
      <w:r w:rsidRPr="00985EB8">
        <w:rPr>
          <w:rFonts w:ascii="Book Antiqua" w:hAnsi="Book Antiqua"/>
          <w:lang w:val="es-PR"/>
        </w:rPr>
        <w:t xml:space="preserve">reconoce y valora el propósito legislativo de promover un mayor acceso a servicios de salud para las personas con diversidad funcional. </w:t>
      </w:r>
      <w:r w:rsidRPr="008E2202">
        <w:rPr>
          <w:rFonts w:ascii="Book Antiqua" w:hAnsi="Book Antiqua"/>
          <w:lang w:val="es-PR"/>
        </w:rPr>
        <w:t xml:space="preserve">A su juicio, garantizar que esta población vulnerable reciba servicios médicos adecuados, accesibles y continuos es una meta loable y coherente con los principios de equidad y dignidad humana. </w:t>
      </w:r>
      <w:r w:rsidRPr="008E2202">
        <w:rPr>
          <w:rStyle w:val="Strong"/>
          <w:rFonts w:ascii="Book Antiqua" w:eastAsiaTheme="majorEastAsia" w:hAnsi="Book Antiqua"/>
          <w:b w:val="0"/>
          <w:bCs w:val="0"/>
          <w:lang w:val="es-PR"/>
        </w:rPr>
        <w:t>Sin embargo</w:t>
      </w:r>
      <w:r w:rsidRPr="008E2202">
        <w:rPr>
          <w:rFonts w:ascii="Book Antiqua" w:hAnsi="Book Antiqua"/>
          <w:lang w:val="es-PR"/>
        </w:rPr>
        <w:t>, al evaluar en detalle el contenido del Proyecto del Senado 423, la organización manifiesta su oposición a la aprobación de la medida en su forma actual, debido a múltiples deficiencias técnicas, imprecisiones conceptuales y repercusiones operacionales significativas.</w:t>
      </w:r>
    </w:p>
    <w:p w14:paraId="402D1BFE" w14:textId="365738B8" w:rsidR="00FE4F9C" w:rsidRPr="00861B55" w:rsidRDefault="00FE4F9C" w:rsidP="00FE4F9C">
      <w:pPr>
        <w:pStyle w:val="NormalWeb"/>
        <w:spacing w:line="276" w:lineRule="auto"/>
        <w:jc w:val="both"/>
        <w:rPr>
          <w:rFonts w:ascii="Book Antiqua" w:hAnsi="Book Antiqua"/>
        </w:rPr>
      </w:pPr>
      <w:r w:rsidRPr="000048C6">
        <w:rPr>
          <w:rStyle w:val="Strong"/>
          <w:rFonts w:ascii="Book Antiqua" w:eastAsiaTheme="majorEastAsia" w:hAnsi="Book Antiqua"/>
          <w:b w:val="0"/>
          <w:bCs w:val="0"/>
        </w:rPr>
        <w:t>En primer término</w:t>
      </w:r>
      <w:r w:rsidRPr="00861B55">
        <w:rPr>
          <w:rFonts w:ascii="Book Antiqua" w:hAnsi="Book Antiqua"/>
        </w:rPr>
        <w:t>, ACODESE advirti</w:t>
      </w:r>
      <w:r>
        <w:rPr>
          <w:rFonts w:ascii="Book Antiqua" w:hAnsi="Book Antiqua"/>
        </w:rPr>
        <w:t xml:space="preserve">ó </w:t>
      </w:r>
      <w:r w:rsidRPr="00861B55">
        <w:rPr>
          <w:rFonts w:ascii="Book Antiqua" w:hAnsi="Book Antiqua"/>
        </w:rPr>
        <w:t xml:space="preserve">que el lenguaje utilizado para definir a una persona con diversidad funcional en el Artículo III (y) de la Ley de la Administración de Seguros de Salud de Puerto Rico es excesivamente amplio y carente de precisión clínica. </w:t>
      </w:r>
      <w:r>
        <w:rPr>
          <w:rFonts w:ascii="Book Antiqua" w:hAnsi="Book Antiqua"/>
        </w:rPr>
        <w:t xml:space="preserve">Considera que la </w:t>
      </w:r>
      <w:r w:rsidRPr="00861B55">
        <w:rPr>
          <w:rFonts w:ascii="Book Antiqua" w:hAnsi="Book Antiqua"/>
        </w:rPr>
        <w:t>propuesta describe a esta población como toda persona cuya capacidad física, cognitiva, sensorial, emocional o la de sus órganos sea “atípica” respecto a la mayoría estadística.</w:t>
      </w:r>
      <w:r>
        <w:rPr>
          <w:rFonts w:ascii="Book Antiqua" w:hAnsi="Book Antiqua"/>
        </w:rPr>
        <w:t xml:space="preserve"> Resaltó, que</w:t>
      </w:r>
      <w:r w:rsidRPr="00861B55">
        <w:rPr>
          <w:rFonts w:ascii="Book Antiqua" w:hAnsi="Book Antiqua"/>
        </w:rPr>
        <w:t xml:space="preserve"> </w:t>
      </w:r>
      <w:r w:rsidRPr="00E52AAB">
        <w:rPr>
          <w:rStyle w:val="Strong"/>
          <w:rFonts w:ascii="Book Antiqua" w:eastAsiaTheme="majorEastAsia" w:hAnsi="Book Antiqua"/>
          <w:b w:val="0"/>
          <w:bCs w:val="0"/>
        </w:rPr>
        <w:t>esta redacción ambigua</w:t>
      </w:r>
      <w:r w:rsidRPr="00861B55">
        <w:rPr>
          <w:rFonts w:ascii="Book Antiqua" w:hAnsi="Book Antiqua"/>
        </w:rPr>
        <w:t xml:space="preserve"> podría abarcar a individuos sin condiciones médicas diagnosticadas o sin necesidad de tratamiento especializado, lo cual crea un campo interpretativo demasiado extenso que dificulta establecer parámetros claros sobre las condiciones cubiertas. </w:t>
      </w:r>
      <w:r w:rsidRPr="00873C93">
        <w:rPr>
          <w:rStyle w:val="Strong"/>
          <w:rFonts w:ascii="Book Antiqua" w:eastAsiaTheme="majorEastAsia" w:hAnsi="Book Antiqua"/>
          <w:b w:val="0"/>
          <w:bCs w:val="0"/>
        </w:rPr>
        <w:t>Como resultado</w:t>
      </w:r>
      <w:r w:rsidRPr="00873C93">
        <w:rPr>
          <w:rFonts w:ascii="Book Antiqua" w:hAnsi="Book Antiqua"/>
          <w:b/>
          <w:bCs/>
        </w:rPr>
        <w:t>,</w:t>
      </w:r>
      <w:r>
        <w:rPr>
          <w:rFonts w:ascii="Book Antiqua" w:hAnsi="Book Antiqua"/>
        </w:rPr>
        <w:t xml:space="preserve"> planteó que</w:t>
      </w:r>
      <w:r w:rsidRPr="00861B55">
        <w:rPr>
          <w:rFonts w:ascii="Book Antiqua" w:hAnsi="Book Antiqua"/>
        </w:rPr>
        <w:t xml:space="preserve"> se torna inviable para los aseguradores delimitar con certeza cuáles tratamientos estarían incluidos dentro de las cubiertas obligatorias, lo que puede generar incertidumbre jurídica y actuarial.</w:t>
      </w:r>
    </w:p>
    <w:p w14:paraId="1D97C567" w14:textId="77777777" w:rsidR="00FE4F9C" w:rsidRPr="00861B55" w:rsidRDefault="00FE4F9C" w:rsidP="00FE4F9C">
      <w:pPr>
        <w:pStyle w:val="NormalWeb"/>
        <w:spacing w:line="276" w:lineRule="auto"/>
        <w:jc w:val="both"/>
        <w:rPr>
          <w:rFonts w:ascii="Book Antiqua" w:hAnsi="Book Antiqua"/>
        </w:rPr>
      </w:pPr>
      <w:r w:rsidRPr="009D7755">
        <w:rPr>
          <w:rStyle w:val="Strong"/>
          <w:rFonts w:ascii="Book Antiqua" w:eastAsiaTheme="majorEastAsia" w:hAnsi="Book Antiqua"/>
          <w:b w:val="0"/>
          <w:bCs w:val="0"/>
        </w:rPr>
        <w:t>Además</w:t>
      </w:r>
      <w:r w:rsidRPr="009D7755">
        <w:rPr>
          <w:rFonts w:ascii="Book Antiqua" w:hAnsi="Book Antiqua"/>
          <w:b/>
          <w:bCs/>
        </w:rPr>
        <w:t>,</w:t>
      </w:r>
      <w:r>
        <w:rPr>
          <w:rFonts w:ascii="Book Antiqua" w:hAnsi="Book Antiqua"/>
        </w:rPr>
        <w:t xml:space="preserve"> señaló que</w:t>
      </w:r>
      <w:r w:rsidRPr="00861B55">
        <w:rPr>
          <w:rFonts w:ascii="Book Antiqua" w:hAnsi="Book Antiqua"/>
        </w:rPr>
        <w:t xml:space="preserve"> la medida no provee una enumeración o referencia específica de condiciones médicas, enfermedades o diagnósticos clínicamente reconocidos, lo cual imposibilita hacer un análisis técnico sobre la viabilidad de cobertura ni permite evaluar el impacto económico real sobre los planes médicos. </w:t>
      </w:r>
      <w:r w:rsidRPr="003F1DE3">
        <w:rPr>
          <w:rStyle w:val="Strong"/>
          <w:rFonts w:ascii="Book Antiqua" w:eastAsiaTheme="majorEastAsia" w:hAnsi="Book Antiqua"/>
          <w:b w:val="0"/>
          <w:bCs w:val="0"/>
        </w:rPr>
        <w:t>En consecuencia</w:t>
      </w:r>
      <w:r w:rsidRPr="00861B55">
        <w:rPr>
          <w:rFonts w:ascii="Book Antiqua" w:hAnsi="Book Antiqua"/>
        </w:rPr>
        <w:t>,</w:t>
      </w:r>
      <w:r>
        <w:rPr>
          <w:rFonts w:ascii="Book Antiqua" w:hAnsi="Book Antiqua"/>
        </w:rPr>
        <w:t xml:space="preserve"> acentuó que</w:t>
      </w:r>
      <w:r w:rsidRPr="00861B55">
        <w:rPr>
          <w:rFonts w:ascii="Book Antiqua" w:hAnsi="Book Antiqua"/>
        </w:rPr>
        <w:t xml:space="preserve"> se corre el riesgo de imponer a las aseguradoras un beneficio obligatorio que, por su naturaleza indefinida, podría considerarse no asegurable.</w:t>
      </w:r>
    </w:p>
    <w:p w14:paraId="627CC9FF" w14:textId="77777777" w:rsidR="00FE4F9C" w:rsidRPr="00861B55" w:rsidRDefault="00FE4F9C" w:rsidP="00FE4F9C">
      <w:pPr>
        <w:pStyle w:val="NormalWeb"/>
        <w:spacing w:line="276" w:lineRule="auto"/>
        <w:jc w:val="both"/>
        <w:rPr>
          <w:rFonts w:ascii="Book Antiqua" w:hAnsi="Book Antiqua"/>
        </w:rPr>
      </w:pPr>
      <w:r w:rsidRPr="002F3586">
        <w:rPr>
          <w:rStyle w:val="Strong"/>
          <w:rFonts w:ascii="Book Antiqua" w:eastAsiaTheme="majorEastAsia" w:hAnsi="Book Antiqua"/>
          <w:b w:val="0"/>
          <w:bCs w:val="0"/>
        </w:rPr>
        <w:t>Seguidamente</w:t>
      </w:r>
      <w:r w:rsidRPr="002F3586">
        <w:rPr>
          <w:rFonts w:ascii="Book Antiqua" w:hAnsi="Book Antiqua"/>
          <w:b/>
          <w:bCs/>
        </w:rPr>
        <w:t>,</w:t>
      </w:r>
      <w:r w:rsidRPr="00861B55">
        <w:rPr>
          <w:rFonts w:ascii="Book Antiqua" w:hAnsi="Book Antiqua"/>
        </w:rPr>
        <w:t xml:space="preserve"> ACODESE </w:t>
      </w:r>
      <w:r>
        <w:rPr>
          <w:rFonts w:ascii="Book Antiqua" w:hAnsi="Book Antiqua"/>
        </w:rPr>
        <w:t>examinó</w:t>
      </w:r>
      <w:r w:rsidRPr="00861B55">
        <w:rPr>
          <w:rFonts w:ascii="Book Antiqua" w:hAnsi="Book Antiqua"/>
        </w:rPr>
        <w:t xml:space="preserve"> disposiciones específicas del proyecto, comenzando con las enmiendas propuestas al Artículo 12 de la Ley Orgánica del Departamento de Salud. Entre los nuevos requisitos que se establecerían mediante esta sección, desta</w:t>
      </w:r>
      <w:r>
        <w:rPr>
          <w:rFonts w:ascii="Book Antiqua" w:hAnsi="Book Antiqua"/>
        </w:rPr>
        <w:t>có</w:t>
      </w:r>
      <w:r w:rsidRPr="00861B55">
        <w:rPr>
          <w:rFonts w:ascii="Book Antiqua" w:hAnsi="Book Antiqua"/>
        </w:rPr>
        <w:t xml:space="preserve"> la </w:t>
      </w:r>
      <w:r w:rsidRPr="00861B55">
        <w:rPr>
          <w:rFonts w:ascii="Book Antiqua" w:hAnsi="Book Antiqua"/>
        </w:rPr>
        <w:lastRenderedPageBreak/>
        <w:t>obligación de: (a) proveer intérpretes de señas, materiales en Braille y otros mecanismos de asistencia tecnológica; (b) eliminar los referidos “irracionales e innecesarios”; (c) ofrecer servicios médicos en el hogar bajo la cubierta básica; y (i) garantizar el acceso a habitaciones privadas sin costo adicional en hospitales, por motivos de seguridad o funcionalidad.</w:t>
      </w:r>
    </w:p>
    <w:p w14:paraId="685E23B6" w14:textId="586D93C7" w:rsidR="00FE4F9C" w:rsidRPr="00861B55" w:rsidRDefault="00FE4F9C" w:rsidP="00FE4F9C">
      <w:pPr>
        <w:pStyle w:val="NormalWeb"/>
        <w:spacing w:line="276" w:lineRule="auto"/>
        <w:jc w:val="both"/>
        <w:rPr>
          <w:rFonts w:ascii="Book Antiqua" w:hAnsi="Book Antiqua"/>
        </w:rPr>
      </w:pPr>
      <w:r w:rsidRPr="00F55142">
        <w:rPr>
          <w:rStyle w:val="Strong"/>
          <w:rFonts w:ascii="Book Antiqua" w:eastAsiaTheme="majorEastAsia" w:hAnsi="Book Antiqua"/>
          <w:b w:val="0"/>
          <w:bCs w:val="0"/>
        </w:rPr>
        <w:t>Sobre el inciso (5)(a)</w:t>
      </w:r>
      <w:r w:rsidRPr="00F55142">
        <w:rPr>
          <w:rFonts w:ascii="Book Antiqua" w:hAnsi="Book Antiqua"/>
          <w:b/>
          <w:bCs/>
        </w:rPr>
        <w:t>,</w:t>
      </w:r>
      <w:r w:rsidRPr="00861B55">
        <w:rPr>
          <w:rFonts w:ascii="Book Antiqua" w:hAnsi="Book Antiqua"/>
        </w:rPr>
        <w:t xml:space="preserve"> ACODESE aclar</w:t>
      </w:r>
      <w:r>
        <w:rPr>
          <w:rFonts w:ascii="Book Antiqua" w:hAnsi="Book Antiqua"/>
        </w:rPr>
        <w:t>ó</w:t>
      </w:r>
      <w:r w:rsidRPr="00861B55">
        <w:rPr>
          <w:rFonts w:ascii="Book Antiqua" w:hAnsi="Book Antiqua"/>
        </w:rPr>
        <w:t xml:space="preserve"> que los planes médicos ya cumplen con múltiples requisitos de accesibilidad impuestos por las autoridades federales, particularmente por los </w:t>
      </w:r>
      <w:r w:rsidRPr="00F55142">
        <w:rPr>
          <w:rStyle w:val="Strong"/>
          <w:rFonts w:ascii="Book Antiqua" w:eastAsiaTheme="majorEastAsia" w:hAnsi="Book Antiqua"/>
          <w:b w:val="0"/>
          <w:bCs w:val="0"/>
        </w:rPr>
        <w:t xml:space="preserve">Centers </w:t>
      </w:r>
      <w:proofErr w:type="spellStart"/>
      <w:r w:rsidRPr="00F55142">
        <w:rPr>
          <w:rStyle w:val="Strong"/>
          <w:rFonts w:ascii="Book Antiqua" w:eastAsiaTheme="majorEastAsia" w:hAnsi="Book Antiqua"/>
          <w:b w:val="0"/>
          <w:bCs w:val="0"/>
        </w:rPr>
        <w:t>for</w:t>
      </w:r>
      <w:proofErr w:type="spellEnd"/>
      <w:r w:rsidRPr="00F55142">
        <w:rPr>
          <w:rStyle w:val="Strong"/>
          <w:rFonts w:ascii="Book Antiqua" w:eastAsiaTheme="majorEastAsia" w:hAnsi="Book Antiqua"/>
          <w:b w:val="0"/>
          <w:bCs w:val="0"/>
        </w:rPr>
        <w:t xml:space="preserve"> Medicare &amp; Medicaid </w:t>
      </w:r>
      <w:proofErr w:type="spellStart"/>
      <w:r w:rsidRPr="00F55142">
        <w:rPr>
          <w:rStyle w:val="Strong"/>
          <w:rFonts w:ascii="Book Antiqua" w:eastAsiaTheme="majorEastAsia" w:hAnsi="Book Antiqua"/>
          <w:b w:val="0"/>
          <w:bCs w:val="0"/>
        </w:rPr>
        <w:t>Services</w:t>
      </w:r>
      <w:proofErr w:type="spellEnd"/>
      <w:r w:rsidRPr="00F55142">
        <w:rPr>
          <w:rStyle w:val="Strong"/>
          <w:rFonts w:ascii="Book Antiqua" w:eastAsiaTheme="majorEastAsia" w:hAnsi="Book Antiqua"/>
          <w:b w:val="0"/>
          <w:bCs w:val="0"/>
        </w:rPr>
        <w:t xml:space="preserve"> (CMS)</w:t>
      </w:r>
      <w:r w:rsidRPr="00861B55">
        <w:rPr>
          <w:rFonts w:ascii="Book Antiqua" w:hAnsi="Book Antiqua"/>
        </w:rPr>
        <w:t>.</w:t>
      </w:r>
      <w:r>
        <w:rPr>
          <w:rFonts w:ascii="Book Antiqua" w:hAnsi="Book Antiqua"/>
        </w:rPr>
        <w:t xml:space="preserve"> Indicó</w:t>
      </w:r>
      <w:r w:rsidR="0056095E">
        <w:rPr>
          <w:rFonts w:ascii="Book Antiqua" w:hAnsi="Book Antiqua"/>
        </w:rPr>
        <w:t>,</w:t>
      </w:r>
      <w:r>
        <w:rPr>
          <w:rFonts w:ascii="Book Antiqua" w:hAnsi="Book Antiqua"/>
        </w:rPr>
        <w:t xml:space="preserve"> que</w:t>
      </w:r>
      <w:r w:rsidRPr="00861B55">
        <w:rPr>
          <w:rFonts w:ascii="Book Antiqua" w:hAnsi="Book Antiqua"/>
        </w:rPr>
        <w:t xml:space="preserve"> </w:t>
      </w:r>
      <w:r>
        <w:rPr>
          <w:rFonts w:ascii="Book Antiqua" w:hAnsi="Book Antiqua"/>
        </w:rPr>
        <w:t>a</w:t>
      </w:r>
      <w:r w:rsidRPr="00861B55">
        <w:rPr>
          <w:rFonts w:ascii="Book Antiqua" w:hAnsi="Book Antiqua"/>
        </w:rPr>
        <w:t xml:space="preserve">ctualmente los aseguradores están obligados a proveer documentación en formatos alternos, incluyendo Braille, así como el uso de tecnología TTY para facilitar la comunicación con personas sordas o con impedimentos del habla. </w:t>
      </w:r>
      <w:r w:rsidRPr="00F55142">
        <w:rPr>
          <w:rStyle w:val="Strong"/>
          <w:rFonts w:ascii="Book Antiqua" w:eastAsiaTheme="majorEastAsia" w:hAnsi="Book Antiqua"/>
          <w:b w:val="0"/>
          <w:bCs w:val="0"/>
        </w:rPr>
        <w:t>Por tanto</w:t>
      </w:r>
      <w:r w:rsidRPr="00861B55">
        <w:rPr>
          <w:rFonts w:ascii="Book Antiqua" w:hAnsi="Book Antiqua"/>
        </w:rPr>
        <w:t xml:space="preserve">, </w:t>
      </w:r>
      <w:r>
        <w:rPr>
          <w:rFonts w:ascii="Book Antiqua" w:hAnsi="Book Antiqua"/>
        </w:rPr>
        <w:t xml:space="preserve">expuso que </w:t>
      </w:r>
      <w:r w:rsidRPr="00861B55">
        <w:rPr>
          <w:rFonts w:ascii="Book Antiqua" w:hAnsi="Book Antiqua"/>
        </w:rPr>
        <w:t>esta disposición ya está contemplada dentro del marco regulatorio existente, y su reiteración podría generar redundancias innecesarias en el marco normativo.</w:t>
      </w:r>
    </w:p>
    <w:p w14:paraId="7E8CE26B" w14:textId="7ECB312D" w:rsidR="00FE4F9C" w:rsidRPr="00861B55" w:rsidRDefault="00FE4F9C" w:rsidP="00FE4F9C">
      <w:pPr>
        <w:pStyle w:val="NormalWeb"/>
        <w:spacing w:line="276" w:lineRule="auto"/>
        <w:jc w:val="both"/>
        <w:rPr>
          <w:rFonts w:ascii="Book Antiqua" w:hAnsi="Book Antiqua"/>
        </w:rPr>
      </w:pPr>
      <w:r w:rsidRPr="0033571E">
        <w:rPr>
          <w:rStyle w:val="Strong"/>
          <w:rFonts w:ascii="Book Antiqua" w:eastAsiaTheme="majorEastAsia" w:hAnsi="Book Antiqua"/>
          <w:b w:val="0"/>
          <w:bCs w:val="0"/>
        </w:rPr>
        <w:t>Respecto al inciso (5)(b)</w:t>
      </w:r>
      <w:r w:rsidRPr="00861B55">
        <w:rPr>
          <w:rFonts w:ascii="Book Antiqua" w:hAnsi="Book Antiqua"/>
        </w:rPr>
        <w:t>, que proscribe los referidos considerados “irracionales e innecesarios”, ACODESE enfatiz</w:t>
      </w:r>
      <w:r>
        <w:rPr>
          <w:rFonts w:ascii="Book Antiqua" w:hAnsi="Book Antiqua"/>
        </w:rPr>
        <w:t>ó</w:t>
      </w:r>
      <w:r w:rsidRPr="00861B55">
        <w:rPr>
          <w:rFonts w:ascii="Book Antiqua" w:hAnsi="Book Antiqua"/>
        </w:rPr>
        <w:t xml:space="preserve"> que estas herramientas son esenciales para la gestión efectiva del cuidado coordinado. Los referidos y las </w:t>
      </w:r>
      <w:proofErr w:type="spellStart"/>
      <w:r w:rsidRPr="00861B55">
        <w:rPr>
          <w:rFonts w:ascii="Book Antiqua" w:hAnsi="Book Antiqua"/>
        </w:rPr>
        <w:t>preautorizaciones</w:t>
      </w:r>
      <w:proofErr w:type="spellEnd"/>
      <w:r w:rsidRPr="00861B55">
        <w:rPr>
          <w:rFonts w:ascii="Book Antiqua" w:hAnsi="Book Antiqua"/>
        </w:rPr>
        <w:t xml:space="preserve"> no representan una traba burocrática, sino un mecanismo de control que permite velar por el uso adecuado de los servicios de salud, garantizar la calidad médica y contener costos. </w:t>
      </w:r>
      <w:r>
        <w:rPr>
          <w:rFonts w:ascii="Book Antiqua" w:hAnsi="Book Antiqua"/>
        </w:rPr>
        <w:t xml:space="preserve"> Aseguró</w:t>
      </w:r>
      <w:r w:rsidR="0056095E">
        <w:rPr>
          <w:rFonts w:ascii="Book Antiqua" w:hAnsi="Book Antiqua"/>
        </w:rPr>
        <w:t>,</w:t>
      </w:r>
      <w:r>
        <w:rPr>
          <w:rFonts w:ascii="Book Antiqua" w:hAnsi="Book Antiqua"/>
        </w:rPr>
        <w:t xml:space="preserve"> que e</w:t>
      </w:r>
      <w:r w:rsidRPr="00861B55">
        <w:rPr>
          <w:rFonts w:ascii="Book Antiqua" w:hAnsi="Book Antiqua"/>
        </w:rPr>
        <w:t>ste modelo ha sido ampliamente validado en programas como Medicare y Medicaid, que operan bajo esquemas de “</w:t>
      </w:r>
      <w:proofErr w:type="spellStart"/>
      <w:r w:rsidRPr="00861B55">
        <w:rPr>
          <w:rFonts w:ascii="Book Antiqua" w:hAnsi="Book Antiqua"/>
        </w:rPr>
        <w:t>managed</w:t>
      </w:r>
      <w:proofErr w:type="spellEnd"/>
      <w:r w:rsidRPr="00861B55">
        <w:rPr>
          <w:rFonts w:ascii="Book Antiqua" w:hAnsi="Book Antiqua"/>
        </w:rPr>
        <w:t xml:space="preserve"> care”. </w:t>
      </w:r>
      <w:r w:rsidRPr="0033571E">
        <w:rPr>
          <w:rStyle w:val="Strong"/>
          <w:rFonts w:ascii="Book Antiqua" w:eastAsiaTheme="majorEastAsia" w:hAnsi="Book Antiqua"/>
          <w:b w:val="0"/>
          <w:bCs w:val="0"/>
        </w:rPr>
        <w:t>En consecuencia</w:t>
      </w:r>
      <w:r w:rsidRPr="0033571E">
        <w:rPr>
          <w:rFonts w:ascii="Book Antiqua" w:hAnsi="Book Antiqua"/>
          <w:b/>
          <w:bCs/>
        </w:rPr>
        <w:t>,</w:t>
      </w:r>
      <w:r>
        <w:rPr>
          <w:rFonts w:ascii="Book Antiqua" w:hAnsi="Book Antiqua"/>
          <w:b/>
          <w:bCs/>
        </w:rPr>
        <w:t xml:space="preserve"> </w:t>
      </w:r>
      <w:r w:rsidRPr="00751EE9">
        <w:rPr>
          <w:rFonts w:ascii="Book Antiqua" w:hAnsi="Book Antiqua"/>
        </w:rPr>
        <w:t>es de la opinión</w:t>
      </w:r>
      <w:r>
        <w:rPr>
          <w:rFonts w:ascii="Book Antiqua" w:hAnsi="Book Antiqua"/>
        </w:rPr>
        <w:t xml:space="preserve"> que</w:t>
      </w:r>
      <w:r w:rsidRPr="00751EE9">
        <w:rPr>
          <w:rFonts w:ascii="Book Antiqua" w:hAnsi="Book Antiqua"/>
        </w:rPr>
        <w:t xml:space="preserve"> eliminar o restringir arbitrariamente estas prácticas podría desestabilizar los</w:t>
      </w:r>
      <w:r w:rsidRPr="00861B55">
        <w:rPr>
          <w:rFonts w:ascii="Book Antiqua" w:hAnsi="Book Antiqua"/>
        </w:rPr>
        <w:t xml:space="preserve"> modelos actuales de prestación de servicios y provocar un aumento significativo en las primas.</w:t>
      </w:r>
    </w:p>
    <w:p w14:paraId="7DD712E3" w14:textId="47CDE76E" w:rsidR="00FE4F9C" w:rsidRPr="00861B55" w:rsidRDefault="00FE4F9C" w:rsidP="00FE4F9C">
      <w:pPr>
        <w:pStyle w:val="NormalWeb"/>
        <w:spacing w:line="276" w:lineRule="auto"/>
        <w:jc w:val="both"/>
        <w:rPr>
          <w:rFonts w:ascii="Book Antiqua" w:hAnsi="Book Antiqua"/>
        </w:rPr>
      </w:pPr>
      <w:r>
        <w:rPr>
          <w:rStyle w:val="Strong"/>
          <w:rFonts w:ascii="Book Antiqua" w:eastAsiaTheme="majorEastAsia" w:hAnsi="Book Antiqua"/>
          <w:b w:val="0"/>
          <w:bCs w:val="0"/>
        </w:rPr>
        <w:t>En cuanto</w:t>
      </w:r>
      <w:r w:rsidR="00ED103A">
        <w:rPr>
          <w:rStyle w:val="Strong"/>
          <w:rFonts w:ascii="Book Antiqua" w:eastAsiaTheme="majorEastAsia" w:hAnsi="Book Antiqua"/>
          <w:b w:val="0"/>
          <w:bCs w:val="0"/>
        </w:rPr>
        <w:t xml:space="preserve"> a</w:t>
      </w:r>
      <w:r>
        <w:rPr>
          <w:rFonts w:ascii="Book Antiqua" w:hAnsi="Book Antiqua"/>
        </w:rPr>
        <w:t>l</w:t>
      </w:r>
      <w:r w:rsidRPr="00861B55">
        <w:rPr>
          <w:rFonts w:ascii="Book Antiqua" w:hAnsi="Book Antiqua"/>
        </w:rPr>
        <w:t xml:space="preserve"> inciso (5)(c) ACODESE señal</w:t>
      </w:r>
      <w:r>
        <w:rPr>
          <w:rFonts w:ascii="Book Antiqua" w:hAnsi="Book Antiqua"/>
        </w:rPr>
        <w:t>ó</w:t>
      </w:r>
      <w:r w:rsidRPr="00861B55">
        <w:rPr>
          <w:rFonts w:ascii="Book Antiqua" w:hAnsi="Book Antiqua"/>
        </w:rPr>
        <w:t xml:space="preserve"> que la Ley 40-2023 ya contempla la extensión de este tipo de servicios, particularmente para menores de 21 años postrados en cama con condiciones complejas. </w:t>
      </w:r>
      <w:r>
        <w:rPr>
          <w:rStyle w:val="Strong"/>
          <w:rFonts w:ascii="Book Antiqua" w:eastAsiaTheme="majorEastAsia" w:hAnsi="Book Antiqua"/>
          <w:b w:val="0"/>
          <w:bCs w:val="0"/>
        </w:rPr>
        <w:t>Además, manifestó que</w:t>
      </w:r>
      <w:r w:rsidRPr="00861B55">
        <w:rPr>
          <w:rFonts w:ascii="Book Antiqua" w:hAnsi="Book Antiqua"/>
        </w:rPr>
        <w:t xml:space="preserve"> el proyecto en discusión amplía dicha obligación sin establecer criterios claros ni límites poblacionales, lo cual podría traducirse en una carga económica adicional para los aseguradores.</w:t>
      </w:r>
    </w:p>
    <w:p w14:paraId="3EFC7D95" w14:textId="14AC4E8F" w:rsidR="00FE4F9C" w:rsidRPr="00861B55" w:rsidRDefault="00FE4F9C" w:rsidP="00FE4F9C">
      <w:pPr>
        <w:pStyle w:val="NormalWeb"/>
        <w:spacing w:line="276" w:lineRule="auto"/>
        <w:jc w:val="both"/>
        <w:rPr>
          <w:rFonts w:ascii="Book Antiqua" w:hAnsi="Book Antiqua"/>
        </w:rPr>
      </w:pPr>
      <w:r w:rsidRPr="008D248A">
        <w:rPr>
          <w:rStyle w:val="Strong"/>
          <w:rFonts w:ascii="Book Antiqua" w:eastAsiaTheme="majorEastAsia" w:hAnsi="Book Antiqua"/>
          <w:b w:val="0"/>
          <w:bCs w:val="0"/>
        </w:rPr>
        <w:t>Referente</w:t>
      </w:r>
      <w:r w:rsidR="004F2E81">
        <w:rPr>
          <w:rStyle w:val="Strong"/>
          <w:rFonts w:ascii="Book Antiqua" w:eastAsiaTheme="majorEastAsia" w:hAnsi="Book Antiqua"/>
          <w:b w:val="0"/>
          <w:bCs w:val="0"/>
        </w:rPr>
        <w:t xml:space="preserve"> </w:t>
      </w:r>
      <w:r>
        <w:rPr>
          <w:rFonts w:ascii="Book Antiqua" w:hAnsi="Book Antiqua"/>
        </w:rPr>
        <w:t>al</w:t>
      </w:r>
      <w:r w:rsidRPr="00861B55">
        <w:rPr>
          <w:rFonts w:ascii="Book Antiqua" w:hAnsi="Book Antiqua"/>
        </w:rPr>
        <w:t xml:space="preserve"> inciso (5)(i) impone el requerimiento de cubrir habitaciones privadas sin costo adicional cuando se alegue necesidad por diversidad funcional</w:t>
      </w:r>
      <w:r>
        <w:rPr>
          <w:rFonts w:ascii="Book Antiqua" w:hAnsi="Book Antiqua"/>
        </w:rPr>
        <w:t>, comentó que a</w:t>
      </w:r>
      <w:r w:rsidRPr="00861B55">
        <w:rPr>
          <w:rFonts w:ascii="Book Antiqua" w:hAnsi="Book Antiqua"/>
        </w:rPr>
        <w:t xml:space="preserve">ctualmente, los planes médicos ofrecen, como estándar, habitaciones </w:t>
      </w:r>
      <w:proofErr w:type="spellStart"/>
      <w:r w:rsidRPr="00861B55">
        <w:rPr>
          <w:rFonts w:ascii="Book Antiqua" w:hAnsi="Book Antiqua"/>
        </w:rPr>
        <w:t>semi-privadas</w:t>
      </w:r>
      <w:proofErr w:type="spellEnd"/>
      <w:r w:rsidRPr="00861B55">
        <w:rPr>
          <w:rFonts w:ascii="Book Antiqua" w:hAnsi="Book Antiqua"/>
        </w:rPr>
        <w:t xml:space="preserve"> dentro de su cubierta hospitalaria. </w:t>
      </w:r>
      <w:r>
        <w:rPr>
          <w:rFonts w:ascii="Book Antiqua" w:hAnsi="Book Antiqua"/>
        </w:rPr>
        <w:t>Denunció</w:t>
      </w:r>
      <w:r w:rsidR="0027499A">
        <w:rPr>
          <w:rFonts w:ascii="Book Antiqua" w:hAnsi="Book Antiqua"/>
        </w:rPr>
        <w:t>,</w:t>
      </w:r>
      <w:r>
        <w:rPr>
          <w:rFonts w:ascii="Book Antiqua" w:hAnsi="Book Antiqua"/>
        </w:rPr>
        <w:t xml:space="preserve"> que l</w:t>
      </w:r>
      <w:r w:rsidRPr="00861B55">
        <w:rPr>
          <w:rFonts w:ascii="Book Antiqua" w:hAnsi="Book Antiqua"/>
        </w:rPr>
        <w:t xml:space="preserve">a imposición de habitaciones privadas como obligación contractual podría representar un aumento sustancial en los costos operacionales de los aseguradores, sin un análisis de necesidad clínica uniforme y sin </w:t>
      </w:r>
      <w:r w:rsidRPr="00861B55">
        <w:rPr>
          <w:rFonts w:ascii="Book Antiqua" w:hAnsi="Book Antiqua"/>
        </w:rPr>
        <w:lastRenderedPageBreak/>
        <w:t xml:space="preserve">considerar la disponibilidad real en los centros hospitalarios. </w:t>
      </w:r>
      <w:r>
        <w:rPr>
          <w:rStyle w:val="Strong"/>
          <w:rFonts w:ascii="Book Antiqua" w:eastAsiaTheme="majorEastAsia" w:hAnsi="Book Antiqua"/>
          <w:b w:val="0"/>
          <w:bCs w:val="0"/>
        </w:rPr>
        <w:t>Aclaró</w:t>
      </w:r>
      <w:r w:rsidR="008A7866">
        <w:rPr>
          <w:rStyle w:val="Strong"/>
          <w:rFonts w:ascii="Book Antiqua" w:eastAsiaTheme="majorEastAsia" w:hAnsi="Book Antiqua"/>
          <w:b w:val="0"/>
          <w:bCs w:val="0"/>
        </w:rPr>
        <w:t>,</w:t>
      </w:r>
      <w:r>
        <w:rPr>
          <w:rFonts w:ascii="Book Antiqua" w:hAnsi="Book Antiqua"/>
        </w:rPr>
        <w:t xml:space="preserve"> </w:t>
      </w:r>
      <w:r w:rsidR="008A7866">
        <w:rPr>
          <w:rFonts w:ascii="Book Antiqua" w:hAnsi="Book Antiqua"/>
        </w:rPr>
        <w:t>que</w:t>
      </w:r>
      <w:r w:rsidRPr="00861B55">
        <w:rPr>
          <w:rFonts w:ascii="Book Antiqua" w:hAnsi="Book Antiqua"/>
        </w:rPr>
        <w:t xml:space="preserve"> este tipo de cobertura no está contemplada como básica en la mayoría de los contratos vigentes.</w:t>
      </w:r>
    </w:p>
    <w:p w14:paraId="776AA55A" w14:textId="3DB92447" w:rsidR="00FE4F9C" w:rsidRPr="00861B55" w:rsidRDefault="00FE4F9C" w:rsidP="00FE4F9C">
      <w:pPr>
        <w:pStyle w:val="NormalWeb"/>
        <w:spacing w:line="276" w:lineRule="auto"/>
        <w:jc w:val="both"/>
        <w:rPr>
          <w:rFonts w:ascii="Book Antiqua" w:hAnsi="Book Antiqua"/>
        </w:rPr>
      </w:pPr>
      <w:r w:rsidRPr="004C4FB3">
        <w:rPr>
          <w:rStyle w:val="Strong"/>
          <w:rFonts w:ascii="Book Antiqua" w:eastAsiaTheme="majorEastAsia" w:hAnsi="Book Antiqua"/>
          <w:b w:val="0"/>
          <w:bCs w:val="0"/>
        </w:rPr>
        <w:t>En relación con las enmiendas propuestas al Artículo 8(b) de la Ley 194-2000</w:t>
      </w:r>
      <w:r w:rsidRPr="004C4FB3">
        <w:rPr>
          <w:rFonts w:ascii="Book Antiqua" w:hAnsi="Book Antiqua"/>
          <w:b/>
          <w:bCs/>
        </w:rPr>
        <w:t>,</w:t>
      </w:r>
      <w:r w:rsidRPr="00861B55">
        <w:rPr>
          <w:rFonts w:ascii="Book Antiqua" w:hAnsi="Book Antiqua"/>
        </w:rPr>
        <w:t xml:space="preserve"> ACODESE reiter</w:t>
      </w:r>
      <w:r>
        <w:rPr>
          <w:rFonts w:ascii="Book Antiqua" w:hAnsi="Book Antiqua"/>
        </w:rPr>
        <w:t>ó</w:t>
      </w:r>
      <w:r w:rsidRPr="00861B55">
        <w:rPr>
          <w:rFonts w:ascii="Book Antiqua" w:hAnsi="Book Antiqua"/>
        </w:rPr>
        <w:t xml:space="preserve"> que ya existe normativa que obliga a ofrecer información clara y accesible sobre el uso de servicios médicos.</w:t>
      </w:r>
      <w:r>
        <w:rPr>
          <w:rFonts w:ascii="Book Antiqua" w:hAnsi="Book Antiqua"/>
        </w:rPr>
        <w:t xml:space="preserve"> Advirtió</w:t>
      </w:r>
      <w:r w:rsidR="00AF2CEA">
        <w:rPr>
          <w:rFonts w:ascii="Book Antiqua" w:hAnsi="Book Antiqua"/>
        </w:rPr>
        <w:t>,</w:t>
      </w:r>
      <w:r>
        <w:rPr>
          <w:rFonts w:ascii="Book Antiqua" w:hAnsi="Book Antiqua"/>
        </w:rPr>
        <w:t xml:space="preserve"> que</w:t>
      </w:r>
      <w:r w:rsidRPr="00861B55">
        <w:rPr>
          <w:rFonts w:ascii="Book Antiqua" w:hAnsi="Book Antiqua"/>
        </w:rPr>
        <w:t xml:space="preserve"> </w:t>
      </w:r>
      <w:r>
        <w:rPr>
          <w:rFonts w:ascii="Book Antiqua" w:hAnsi="Book Antiqua"/>
        </w:rPr>
        <w:t>l</w:t>
      </w:r>
      <w:r w:rsidRPr="00861B55">
        <w:rPr>
          <w:rFonts w:ascii="Book Antiqua" w:hAnsi="Book Antiqua"/>
        </w:rPr>
        <w:t>a inclusión de requisitos adicionales en esta sección, sin un análisis de factibilidad o costos, podría representar una carga regulatoria desproporcionada y redundante.</w:t>
      </w:r>
    </w:p>
    <w:p w14:paraId="515660EF" w14:textId="7CCB6EBB" w:rsidR="00FE4F9C" w:rsidRPr="00861B55" w:rsidRDefault="00FE4F9C" w:rsidP="00FE4F9C">
      <w:pPr>
        <w:pStyle w:val="NormalWeb"/>
        <w:spacing w:line="276" w:lineRule="auto"/>
        <w:jc w:val="both"/>
        <w:rPr>
          <w:rFonts w:ascii="Book Antiqua" w:hAnsi="Book Antiqua"/>
        </w:rPr>
      </w:pPr>
      <w:r w:rsidRPr="00DD4121">
        <w:rPr>
          <w:rStyle w:val="Strong"/>
          <w:rFonts w:ascii="Book Antiqua" w:eastAsiaTheme="majorEastAsia" w:hAnsi="Book Antiqua"/>
          <w:b w:val="0"/>
          <w:bCs w:val="0"/>
        </w:rPr>
        <w:t>Finalmente</w:t>
      </w:r>
      <w:r w:rsidRPr="00DD4121">
        <w:rPr>
          <w:rFonts w:ascii="Book Antiqua" w:hAnsi="Book Antiqua"/>
          <w:b/>
          <w:bCs/>
        </w:rPr>
        <w:t>,</w:t>
      </w:r>
      <w:r w:rsidRPr="00861B55">
        <w:rPr>
          <w:rFonts w:ascii="Book Antiqua" w:hAnsi="Book Antiqua"/>
        </w:rPr>
        <w:t xml:space="preserve"> ACODESE subray</w:t>
      </w:r>
      <w:r>
        <w:rPr>
          <w:rFonts w:ascii="Book Antiqua" w:hAnsi="Book Antiqua"/>
        </w:rPr>
        <w:t>ó</w:t>
      </w:r>
      <w:r w:rsidRPr="00861B55">
        <w:rPr>
          <w:rFonts w:ascii="Book Antiqua" w:hAnsi="Book Antiqua"/>
        </w:rPr>
        <w:t xml:space="preserve"> que toda legislación que impone beneficios mandatorios debe considerar su viabilidad actuarial y el impacto sobre las primas de los planes de salud. </w:t>
      </w:r>
      <w:r>
        <w:rPr>
          <w:rFonts w:ascii="Book Antiqua" w:hAnsi="Book Antiqua"/>
        </w:rPr>
        <w:t>Sostuvo</w:t>
      </w:r>
      <w:r w:rsidR="00AF2CEA">
        <w:rPr>
          <w:rFonts w:ascii="Book Antiqua" w:hAnsi="Book Antiqua"/>
        </w:rPr>
        <w:t>,</w:t>
      </w:r>
      <w:r>
        <w:rPr>
          <w:rFonts w:ascii="Book Antiqua" w:hAnsi="Book Antiqua"/>
        </w:rPr>
        <w:t xml:space="preserve"> que</w:t>
      </w:r>
      <w:r w:rsidRPr="00861B55">
        <w:rPr>
          <w:rFonts w:ascii="Book Antiqua" w:hAnsi="Book Antiqua"/>
        </w:rPr>
        <w:t xml:space="preserve"> este caso, la falta de especificidad respecto a las condiciones a tratar, unida a la amplitud del lenguaje propuesto, impide proyectar con precisión los costos y limita la posibilidad de asegurar dichos beneficios. </w:t>
      </w:r>
      <w:r w:rsidRPr="00712D63">
        <w:rPr>
          <w:rStyle w:val="Strong"/>
          <w:rFonts w:ascii="Book Antiqua" w:eastAsiaTheme="majorEastAsia" w:hAnsi="Book Antiqua"/>
          <w:b w:val="0"/>
          <w:bCs w:val="0"/>
        </w:rPr>
        <w:t>En efecto</w:t>
      </w:r>
      <w:r w:rsidRPr="00861B55">
        <w:rPr>
          <w:rFonts w:ascii="Book Antiqua" w:hAnsi="Book Antiqua"/>
        </w:rPr>
        <w:t>,</w:t>
      </w:r>
      <w:r>
        <w:rPr>
          <w:rFonts w:ascii="Book Antiqua" w:hAnsi="Book Antiqua"/>
        </w:rPr>
        <w:t xml:space="preserve"> reiteró</w:t>
      </w:r>
      <w:r w:rsidR="00AF2CEA">
        <w:rPr>
          <w:rFonts w:ascii="Book Antiqua" w:hAnsi="Book Antiqua"/>
        </w:rPr>
        <w:t>,</w:t>
      </w:r>
      <w:r>
        <w:rPr>
          <w:rFonts w:ascii="Book Antiqua" w:hAnsi="Book Antiqua"/>
        </w:rPr>
        <w:t xml:space="preserve"> que</w:t>
      </w:r>
      <w:r w:rsidRPr="00861B55">
        <w:rPr>
          <w:rFonts w:ascii="Book Antiqua" w:hAnsi="Book Antiqua"/>
        </w:rPr>
        <w:t xml:space="preserve"> esto podría provocar un encarecimiento generalizado en los productos de seguros, afectando negativamente tanto a asegurados como a proveedores.</w:t>
      </w:r>
    </w:p>
    <w:p w14:paraId="34C9ED8E" w14:textId="0840E507" w:rsidR="00A91F39" w:rsidRPr="00855AEE" w:rsidRDefault="00FE4F9C" w:rsidP="00F0468E">
      <w:pPr>
        <w:pStyle w:val="NormalWeb"/>
        <w:spacing w:line="276" w:lineRule="auto"/>
        <w:jc w:val="both"/>
        <w:rPr>
          <w:rFonts w:ascii="Book Antiqua" w:hAnsi="Book Antiqua"/>
        </w:rPr>
      </w:pPr>
      <w:r w:rsidRPr="005B4875">
        <w:rPr>
          <w:rStyle w:val="Strong"/>
          <w:rFonts w:ascii="Book Antiqua" w:eastAsiaTheme="majorEastAsia" w:hAnsi="Book Antiqua"/>
          <w:b w:val="0"/>
          <w:bCs w:val="0"/>
        </w:rPr>
        <w:t>Por todas las razones antes expuestas</w:t>
      </w:r>
      <w:r w:rsidRPr="005B4875">
        <w:rPr>
          <w:rFonts w:ascii="Book Antiqua" w:hAnsi="Book Antiqua"/>
          <w:b/>
          <w:bCs/>
        </w:rPr>
        <w:t xml:space="preserve">, </w:t>
      </w:r>
      <w:r w:rsidRPr="00861B55">
        <w:rPr>
          <w:rFonts w:ascii="Book Antiqua" w:hAnsi="Book Antiqua"/>
        </w:rPr>
        <w:t>ACODESE no respald</w:t>
      </w:r>
      <w:r>
        <w:rPr>
          <w:rFonts w:ascii="Book Antiqua" w:hAnsi="Book Antiqua"/>
        </w:rPr>
        <w:t>ó</w:t>
      </w:r>
      <w:r w:rsidRPr="00861B55">
        <w:rPr>
          <w:rFonts w:ascii="Book Antiqua" w:hAnsi="Book Antiqua"/>
        </w:rPr>
        <w:t xml:space="preserve"> la aprobación del Proyecto del Senado 423. </w:t>
      </w:r>
      <w:r>
        <w:rPr>
          <w:rFonts w:ascii="Book Antiqua" w:hAnsi="Book Antiqua"/>
        </w:rPr>
        <w:t>Agregó</w:t>
      </w:r>
      <w:r w:rsidRPr="00861B55">
        <w:rPr>
          <w:rFonts w:ascii="Book Antiqua" w:hAnsi="Book Antiqua"/>
        </w:rPr>
        <w:t>, la importancia de consultar con la Administración de Seguros de Salud de Puerto Rico (ASES) respecto al impacto económico que esta medida tendría sobre el Plan Vital y otros productos privados. La organización se mantiene en la mejor disposición de colaborar con la Asamblea Legislativa en la evaluación responsable de esta y futuras propuestas.</w:t>
      </w:r>
    </w:p>
    <w:p w14:paraId="3B38BA64" w14:textId="0037C81B" w:rsidR="00D63C27" w:rsidRPr="00855AEE" w:rsidRDefault="000F5DDF" w:rsidP="00D66623">
      <w:pPr>
        <w:spacing w:after="0" w:line="276" w:lineRule="auto"/>
        <w:jc w:val="center"/>
        <w:rPr>
          <w:rFonts w:ascii="Book Antiqua" w:eastAsia="Times New Roman" w:hAnsi="Book Antiqua" w:cs="Times New Roman"/>
          <w:b/>
          <w:sz w:val="24"/>
          <w:szCs w:val="24"/>
          <w:lang w:val="es-ES"/>
        </w:rPr>
      </w:pPr>
      <w:r>
        <w:rPr>
          <w:rFonts w:ascii="Book Antiqua" w:eastAsia="Times New Roman" w:hAnsi="Book Antiqua" w:cs="Times New Roman"/>
          <w:b/>
          <w:sz w:val="24"/>
          <w:szCs w:val="24"/>
          <w:lang w:val="es-ES"/>
        </w:rPr>
        <w:t>OFICINA</w:t>
      </w:r>
      <w:r w:rsidR="00E56591">
        <w:rPr>
          <w:rFonts w:ascii="Book Antiqua" w:eastAsia="Times New Roman" w:hAnsi="Book Antiqua" w:cs="Times New Roman"/>
          <w:b/>
          <w:sz w:val="24"/>
          <w:szCs w:val="24"/>
          <w:lang w:val="es-ES"/>
        </w:rPr>
        <w:t xml:space="preserve"> DEL</w:t>
      </w:r>
      <w:r>
        <w:rPr>
          <w:rFonts w:ascii="Book Antiqua" w:eastAsia="Times New Roman" w:hAnsi="Book Antiqua" w:cs="Times New Roman"/>
          <w:b/>
          <w:sz w:val="24"/>
          <w:szCs w:val="24"/>
          <w:lang w:val="es-ES"/>
        </w:rPr>
        <w:t xml:space="preserve"> PROCURADOR DEL PACIENTE</w:t>
      </w:r>
      <w:r w:rsidR="00E56591">
        <w:rPr>
          <w:rFonts w:ascii="Book Antiqua" w:eastAsia="Times New Roman" w:hAnsi="Book Antiqua" w:cs="Times New Roman"/>
          <w:b/>
          <w:sz w:val="24"/>
          <w:szCs w:val="24"/>
          <w:lang w:val="es-ES"/>
        </w:rPr>
        <w:t xml:space="preserve"> (OPP)</w:t>
      </w:r>
    </w:p>
    <w:p w14:paraId="54F4D09D" w14:textId="77777777" w:rsidR="00A06A16" w:rsidRPr="00F0468E" w:rsidRDefault="00A06A16" w:rsidP="00D66623">
      <w:pPr>
        <w:pStyle w:val="NoSpacing"/>
        <w:spacing w:line="276" w:lineRule="auto"/>
        <w:jc w:val="center"/>
        <w:rPr>
          <w:rFonts w:ascii="Book Antiqua" w:hAnsi="Book Antiqua"/>
          <w:szCs w:val="24"/>
          <w:lang w:val="es-ES"/>
        </w:rPr>
      </w:pPr>
    </w:p>
    <w:p w14:paraId="1FE5FA36" w14:textId="6B754D86" w:rsidR="00D63C27" w:rsidRPr="00CE1892" w:rsidRDefault="00D63C27" w:rsidP="00817805">
      <w:pPr>
        <w:spacing w:line="276" w:lineRule="auto"/>
        <w:jc w:val="both"/>
        <w:rPr>
          <w:rFonts w:ascii="Book Antiqua" w:hAnsi="Book Antiqua"/>
          <w:sz w:val="24"/>
          <w:szCs w:val="24"/>
          <w:lang w:val="es-ES"/>
        </w:rPr>
      </w:pPr>
      <w:bookmarkStart w:id="0" w:name="_Hlk200387888"/>
      <w:r w:rsidRPr="00CE1892">
        <w:rPr>
          <w:rFonts w:ascii="Book Antiqua" w:eastAsia="Calibri" w:hAnsi="Book Antiqua" w:cs="Times New Roman"/>
          <w:kern w:val="2"/>
          <w:sz w:val="24"/>
          <w:szCs w:val="24"/>
          <w:lang w:val="es-ES"/>
          <w14:ligatures w14:val="standardContextual"/>
        </w:rPr>
        <w:t>Esta Ilustre Comisión tuvo la oportunidad de examinar los comentarios presentados por la</w:t>
      </w:r>
      <w:r w:rsidRPr="00CE1892">
        <w:rPr>
          <w:rFonts w:ascii="Book Antiqua" w:eastAsia="Calibri" w:hAnsi="Book Antiqua" w:cs="Times New Roman"/>
          <w:b/>
          <w:bCs/>
          <w:kern w:val="2"/>
          <w:sz w:val="24"/>
          <w:szCs w:val="24"/>
          <w:lang w:val="es-ES"/>
          <w14:ligatures w14:val="standardContextual"/>
        </w:rPr>
        <w:t xml:space="preserve"> </w:t>
      </w:r>
      <w:r w:rsidR="000F5DDF" w:rsidRPr="00CE1892">
        <w:rPr>
          <w:rFonts w:ascii="Book Antiqua" w:eastAsia="Calibri" w:hAnsi="Book Antiqua" w:cs="Times New Roman"/>
          <w:b/>
          <w:bCs/>
          <w:kern w:val="2"/>
          <w:sz w:val="24"/>
          <w:szCs w:val="24"/>
          <w:lang w:val="es-ES"/>
          <w14:ligatures w14:val="standardContextual"/>
        </w:rPr>
        <w:t>Oficina</w:t>
      </w:r>
      <w:r w:rsidR="00BB2F4F">
        <w:rPr>
          <w:rFonts w:ascii="Book Antiqua" w:eastAsia="Calibri" w:hAnsi="Book Antiqua" w:cs="Times New Roman"/>
          <w:b/>
          <w:bCs/>
          <w:kern w:val="2"/>
          <w:sz w:val="24"/>
          <w:szCs w:val="24"/>
          <w:lang w:val="es-ES"/>
          <w14:ligatures w14:val="standardContextual"/>
        </w:rPr>
        <w:t xml:space="preserve"> del</w:t>
      </w:r>
      <w:r w:rsidR="000F5DDF" w:rsidRPr="00CE1892">
        <w:rPr>
          <w:rFonts w:ascii="Book Antiqua" w:eastAsia="Calibri" w:hAnsi="Book Antiqua" w:cs="Times New Roman"/>
          <w:b/>
          <w:bCs/>
          <w:kern w:val="2"/>
          <w:sz w:val="24"/>
          <w:szCs w:val="24"/>
          <w:lang w:val="es-ES"/>
          <w14:ligatures w14:val="standardContextual"/>
        </w:rPr>
        <w:t xml:space="preserve"> Procurador del Paciente</w:t>
      </w:r>
      <w:r w:rsidR="00387848">
        <w:rPr>
          <w:rFonts w:ascii="Book Antiqua" w:eastAsia="Calibri" w:hAnsi="Book Antiqua" w:cs="Times New Roman"/>
          <w:b/>
          <w:bCs/>
          <w:kern w:val="2"/>
          <w:sz w:val="24"/>
          <w:szCs w:val="24"/>
          <w:lang w:val="es-ES"/>
          <w14:ligatures w14:val="standardContextual"/>
        </w:rPr>
        <w:t xml:space="preserve"> (OPP)</w:t>
      </w:r>
      <w:r w:rsidR="00971071" w:rsidRPr="00CE1892">
        <w:rPr>
          <w:rFonts w:ascii="Book Antiqua" w:eastAsia="Calibri" w:hAnsi="Book Antiqua" w:cs="Times New Roman"/>
          <w:b/>
          <w:bCs/>
          <w:kern w:val="2"/>
          <w:sz w:val="24"/>
          <w:szCs w:val="24"/>
          <w:lang w:val="es-ES"/>
          <w14:ligatures w14:val="standardContextual"/>
        </w:rPr>
        <w:t xml:space="preserve"> </w:t>
      </w:r>
      <w:r w:rsidRPr="00CE1892">
        <w:rPr>
          <w:rFonts w:ascii="Book Antiqua" w:eastAsia="Calibri" w:hAnsi="Book Antiqua" w:cs="Times New Roman"/>
          <w:kern w:val="2"/>
          <w:sz w:val="24"/>
          <w:szCs w:val="24"/>
          <w:lang w:val="es-ES"/>
          <w14:ligatures w14:val="standardContextual"/>
        </w:rPr>
        <w:t xml:space="preserve">quien presentó su Memorial Explicativo por conducto de </w:t>
      </w:r>
      <w:r w:rsidR="000F5DDF" w:rsidRPr="00CE1892">
        <w:rPr>
          <w:rFonts w:ascii="Book Antiqua" w:eastAsia="Calibri" w:hAnsi="Book Antiqua" w:cs="Times New Roman"/>
          <w:kern w:val="2"/>
          <w:sz w:val="24"/>
          <w:szCs w:val="24"/>
          <w:lang w:val="es-ES"/>
          <w14:ligatures w14:val="standardContextual"/>
        </w:rPr>
        <w:t>la Procuradora del Paciente</w:t>
      </w:r>
      <w:r w:rsidRPr="00CE1892">
        <w:rPr>
          <w:rFonts w:ascii="Book Antiqua" w:hAnsi="Book Antiqua"/>
          <w:sz w:val="24"/>
          <w:szCs w:val="24"/>
          <w:lang w:val="es-ES"/>
        </w:rPr>
        <w:t xml:space="preserve">, </w:t>
      </w:r>
      <w:r w:rsidR="000F5DDF" w:rsidRPr="00CE1892">
        <w:rPr>
          <w:rFonts w:ascii="Book Antiqua" w:hAnsi="Book Antiqua"/>
          <w:sz w:val="24"/>
          <w:szCs w:val="24"/>
          <w:lang w:val="es-ES"/>
        </w:rPr>
        <w:t xml:space="preserve">Edna I. Díaz De </w:t>
      </w:r>
      <w:r w:rsidR="002E5603" w:rsidRPr="00CE1892">
        <w:rPr>
          <w:rFonts w:ascii="Book Antiqua" w:hAnsi="Book Antiqua"/>
          <w:sz w:val="24"/>
          <w:szCs w:val="24"/>
          <w:lang w:val="es-ES"/>
        </w:rPr>
        <w:t>Jesús.</w:t>
      </w:r>
      <w:r w:rsidRPr="00CE1892">
        <w:rPr>
          <w:rFonts w:ascii="Book Antiqua" w:eastAsia="Calibri" w:hAnsi="Book Antiqua" w:cs="Times New Roman"/>
          <w:kern w:val="2"/>
          <w:sz w:val="24"/>
          <w:szCs w:val="24"/>
          <w:lang w:val="es-ES"/>
          <w14:ligatures w14:val="standardContextual"/>
        </w:rPr>
        <w:t xml:space="preserve"> </w:t>
      </w:r>
    </w:p>
    <w:p w14:paraId="436F6E3B" w14:textId="08E5682E" w:rsidR="000F5DDF" w:rsidRPr="00CE1892" w:rsidRDefault="000F5DDF" w:rsidP="00817805">
      <w:pPr>
        <w:pStyle w:val="NormalWeb"/>
        <w:spacing w:line="276" w:lineRule="auto"/>
        <w:jc w:val="both"/>
        <w:rPr>
          <w:rFonts w:ascii="Book Antiqua" w:hAnsi="Book Antiqua"/>
        </w:rPr>
      </w:pPr>
      <w:bookmarkStart w:id="1" w:name="_Hlk199413502"/>
      <w:bookmarkEnd w:id="0"/>
      <w:r w:rsidRPr="00CE1892">
        <w:rPr>
          <w:rFonts w:ascii="Book Antiqua" w:hAnsi="Book Antiqua"/>
        </w:rPr>
        <w:t xml:space="preserve">Destacó, su posición institucional respecto al Proyecto del Senado 423. </w:t>
      </w:r>
      <w:r w:rsidR="009D42E8">
        <w:rPr>
          <w:rFonts w:ascii="Book Antiqua" w:hAnsi="Book Antiqua"/>
        </w:rPr>
        <w:t>Recalcó</w:t>
      </w:r>
      <w:r w:rsidR="00AD5D8D">
        <w:rPr>
          <w:rFonts w:ascii="Book Antiqua" w:hAnsi="Book Antiqua"/>
        </w:rPr>
        <w:t xml:space="preserve">, </w:t>
      </w:r>
      <w:proofErr w:type="gramStart"/>
      <w:r w:rsidR="007C564D">
        <w:rPr>
          <w:rFonts w:ascii="Book Antiqua" w:hAnsi="Book Antiqua"/>
        </w:rPr>
        <w:t>que</w:t>
      </w:r>
      <w:proofErr w:type="gramEnd"/>
      <w:r w:rsidR="00F0468E">
        <w:rPr>
          <w:rFonts w:ascii="Book Antiqua" w:hAnsi="Book Antiqua"/>
        </w:rPr>
        <w:t xml:space="preserve"> </w:t>
      </w:r>
      <w:r w:rsidR="00AD5D8D">
        <w:rPr>
          <w:rFonts w:ascii="Book Antiqua" w:hAnsi="Book Antiqua"/>
        </w:rPr>
        <w:t>s</w:t>
      </w:r>
      <w:r w:rsidRPr="00CE1892">
        <w:rPr>
          <w:rFonts w:ascii="Book Antiqua" w:hAnsi="Book Antiqua"/>
        </w:rPr>
        <w:t>egún su mandato legal, la OPP tiene la encomienda de velar por que el acceso a los servicios de salud en Puerto Rico sea uno eficiente, justo, digno y fundamentado en las necesidades individuales de cada paciente, en armonía con la Carta de Derechos y Responsabilidades del Paciente (Ley Núm. 194-2000).</w:t>
      </w:r>
    </w:p>
    <w:p w14:paraId="24E4A447" w14:textId="045433CC" w:rsidR="000F5DDF" w:rsidRPr="00CE1892" w:rsidRDefault="000F5DDF" w:rsidP="00817805">
      <w:pPr>
        <w:pStyle w:val="NormalWeb"/>
        <w:spacing w:line="276" w:lineRule="auto"/>
        <w:jc w:val="both"/>
        <w:rPr>
          <w:rFonts w:ascii="Book Antiqua" w:hAnsi="Book Antiqua"/>
        </w:rPr>
      </w:pPr>
      <w:r w:rsidRPr="00CE1892">
        <w:rPr>
          <w:rFonts w:ascii="Book Antiqua" w:hAnsi="Book Antiqua"/>
        </w:rPr>
        <w:t xml:space="preserve">En primer término, la OPP contextualizó su posición recordando que la dignidad humana constituye un valor inviolable en nuestro ordenamiento jurídico, conforme a lo </w:t>
      </w:r>
      <w:r w:rsidRPr="00CE1892">
        <w:rPr>
          <w:rFonts w:ascii="Book Antiqua" w:hAnsi="Book Antiqua"/>
        </w:rPr>
        <w:lastRenderedPageBreak/>
        <w:t xml:space="preserve">establecido en el Artículo II, Sección 1, de la Constitución de Puerto Rico. </w:t>
      </w:r>
      <w:r w:rsidR="00E45290">
        <w:rPr>
          <w:rFonts w:ascii="Book Antiqua" w:hAnsi="Book Antiqua"/>
        </w:rPr>
        <w:t xml:space="preserve">Expuso </w:t>
      </w:r>
      <w:r w:rsidR="007C564D">
        <w:rPr>
          <w:rFonts w:ascii="Book Antiqua" w:hAnsi="Book Antiqua"/>
        </w:rPr>
        <w:t>que,</w:t>
      </w:r>
      <w:r w:rsidR="00E45290">
        <w:rPr>
          <w:rFonts w:ascii="Book Antiqua" w:hAnsi="Book Antiqua"/>
        </w:rPr>
        <w:t xml:space="preserve"> a</w:t>
      </w:r>
      <w:r w:rsidRPr="00CE1892">
        <w:rPr>
          <w:rFonts w:ascii="Book Antiqua" w:hAnsi="Book Antiqua"/>
        </w:rPr>
        <w:t xml:space="preserve"> partir de ese principio, el Estado está obligado a promover políticas públicas que fomenten la equidad, la inclusión y la calidad de vida de todos los ciudadanos, incluyendo a las personas con impedimentos.</w:t>
      </w:r>
    </w:p>
    <w:p w14:paraId="727EFF46" w14:textId="77777777" w:rsidR="000F5DDF" w:rsidRPr="00CE1892" w:rsidRDefault="000F5DDF" w:rsidP="00817805">
      <w:pPr>
        <w:pStyle w:val="NormalWeb"/>
        <w:spacing w:line="276" w:lineRule="auto"/>
        <w:jc w:val="both"/>
        <w:rPr>
          <w:rFonts w:ascii="Book Antiqua" w:hAnsi="Book Antiqua"/>
        </w:rPr>
      </w:pPr>
      <w:r w:rsidRPr="00CE1892">
        <w:rPr>
          <w:rFonts w:ascii="Book Antiqua" w:hAnsi="Book Antiqua"/>
        </w:rPr>
        <w:t xml:space="preserve">En cuanto a los objetivos del Proyecto del Senado 423, la OPP reconoció como positiva la intención legislativa de ampliar los derechos de las personas con necesidades especiales en el ámbito de la salud. El proyecto propone, entre otros aspectos, adoptar el concepto de “diversidad funcional” en nuestra legislación, así como establecer mayores garantías de accesibilidad y no discriminación en la interacción de esta población con proveedores de salud, aseguradoras y agencias gubernamentales. Sin embargo, la OPP expresó una </w:t>
      </w:r>
      <w:r w:rsidRPr="00A61C1E">
        <w:rPr>
          <w:rStyle w:val="Strong"/>
          <w:rFonts w:ascii="Book Antiqua" w:eastAsiaTheme="majorEastAsia" w:hAnsi="Book Antiqua"/>
          <w:b w:val="0"/>
          <w:bCs w:val="0"/>
        </w:rPr>
        <w:t>preocupación jurídica fundamental</w:t>
      </w:r>
      <w:r w:rsidRPr="00A61C1E">
        <w:rPr>
          <w:rFonts w:ascii="Book Antiqua" w:hAnsi="Book Antiqua"/>
          <w:b/>
          <w:bCs/>
        </w:rPr>
        <w:t xml:space="preserve">: </w:t>
      </w:r>
      <w:r w:rsidRPr="00CE1892">
        <w:rPr>
          <w:rFonts w:ascii="Book Antiqua" w:hAnsi="Book Antiqua"/>
        </w:rPr>
        <w:t xml:space="preserve">el término “diversidad funcional”, aunque válido desde una perspectiva social o filosófica, </w:t>
      </w:r>
      <w:r w:rsidRPr="00A61C1E">
        <w:rPr>
          <w:rStyle w:val="Strong"/>
          <w:rFonts w:ascii="Book Antiqua" w:eastAsiaTheme="majorEastAsia" w:hAnsi="Book Antiqua"/>
          <w:b w:val="0"/>
          <w:bCs w:val="0"/>
        </w:rPr>
        <w:t>no cuenta con reconocimiento oficial</w:t>
      </w:r>
      <w:r w:rsidRPr="00A61C1E">
        <w:rPr>
          <w:rFonts w:ascii="Book Antiqua" w:hAnsi="Book Antiqua"/>
          <w:b/>
          <w:bCs/>
        </w:rPr>
        <w:t xml:space="preserve"> </w:t>
      </w:r>
      <w:r w:rsidRPr="00CE1892">
        <w:rPr>
          <w:rFonts w:ascii="Book Antiqua" w:hAnsi="Book Antiqua"/>
        </w:rPr>
        <w:t>en los marcos normativos internacionales o federales vigentes en materia de salud.</w:t>
      </w:r>
    </w:p>
    <w:p w14:paraId="0D140536" w14:textId="77777777" w:rsidR="000F5DDF" w:rsidRPr="00CE1892" w:rsidRDefault="000F5DDF" w:rsidP="00817805">
      <w:pPr>
        <w:pStyle w:val="NormalWeb"/>
        <w:spacing w:line="276" w:lineRule="auto"/>
        <w:jc w:val="both"/>
        <w:rPr>
          <w:rFonts w:ascii="Book Antiqua" w:hAnsi="Book Antiqua"/>
        </w:rPr>
      </w:pPr>
      <w:r w:rsidRPr="00CE1892">
        <w:rPr>
          <w:rFonts w:ascii="Book Antiqua" w:hAnsi="Book Antiqua"/>
        </w:rPr>
        <w:t xml:space="preserve">En efecto, ni la Clasificación Internacional del Funcionamiento, la Discapacidad y la Salud (CIF) de la Organización Mundial de la Salud (OMS), ni leyes federales aplicables tales como la </w:t>
      </w:r>
      <w:r w:rsidRPr="00A61C1E">
        <w:rPr>
          <w:rStyle w:val="Strong"/>
          <w:rFonts w:ascii="Book Antiqua" w:eastAsiaTheme="majorEastAsia" w:hAnsi="Book Antiqua"/>
          <w:b w:val="0"/>
          <w:bCs w:val="0"/>
        </w:rPr>
        <w:t>Ley 238-2004</w:t>
      </w:r>
      <w:r w:rsidRPr="00CE1892">
        <w:rPr>
          <w:rFonts w:ascii="Book Antiqua" w:hAnsi="Book Antiqua"/>
        </w:rPr>
        <w:t xml:space="preserve">, la </w:t>
      </w:r>
      <w:proofErr w:type="spellStart"/>
      <w:r w:rsidRPr="00A61C1E">
        <w:rPr>
          <w:rStyle w:val="Strong"/>
          <w:rFonts w:ascii="Book Antiqua" w:eastAsiaTheme="majorEastAsia" w:hAnsi="Book Antiqua"/>
          <w:b w:val="0"/>
          <w:bCs w:val="0"/>
        </w:rPr>
        <w:t>Developmental</w:t>
      </w:r>
      <w:proofErr w:type="spellEnd"/>
      <w:r w:rsidRPr="00A61C1E">
        <w:rPr>
          <w:rStyle w:val="Strong"/>
          <w:rFonts w:ascii="Book Antiqua" w:eastAsiaTheme="majorEastAsia" w:hAnsi="Book Antiqua"/>
          <w:b w:val="0"/>
          <w:bCs w:val="0"/>
        </w:rPr>
        <w:t xml:space="preserve"> </w:t>
      </w:r>
      <w:proofErr w:type="spellStart"/>
      <w:r w:rsidRPr="00A61C1E">
        <w:rPr>
          <w:rStyle w:val="Strong"/>
          <w:rFonts w:ascii="Book Antiqua" w:eastAsiaTheme="majorEastAsia" w:hAnsi="Book Antiqua"/>
          <w:b w:val="0"/>
          <w:bCs w:val="0"/>
        </w:rPr>
        <w:t>Disabilities</w:t>
      </w:r>
      <w:proofErr w:type="spellEnd"/>
      <w:r w:rsidRPr="00A61C1E">
        <w:rPr>
          <w:rStyle w:val="Strong"/>
          <w:rFonts w:ascii="Book Antiqua" w:eastAsiaTheme="majorEastAsia" w:hAnsi="Book Antiqua"/>
          <w:b w:val="0"/>
          <w:bCs w:val="0"/>
        </w:rPr>
        <w:t xml:space="preserve"> </w:t>
      </w:r>
      <w:proofErr w:type="spellStart"/>
      <w:r w:rsidRPr="00A61C1E">
        <w:rPr>
          <w:rStyle w:val="Strong"/>
          <w:rFonts w:ascii="Book Antiqua" w:eastAsiaTheme="majorEastAsia" w:hAnsi="Book Antiqua"/>
          <w:b w:val="0"/>
          <w:bCs w:val="0"/>
        </w:rPr>
        <w:t>Assistance</w:t>
      </w:r>
      <w:proofErr w:type="spellEnd"/>
      <w:r w:rsidRPr="00A61C1E">
        <w:rPr>
          <w:rStyle w:val="Strong"/>
          <w:rFonts w:ascii="Book Antiqua" w:eastAsiaTheme="majorEastAsia" w:hAnsi="Book Antiqua"/>
          <w:b w:val="0"/>
          <w:bCs w:val="0"/>
        </w:rPr>
        <w:t xml:space="preserve"> and Bill </w:t>
      </w:r>
      <w:proofErr w:type="spellStart"/>
      <w:r w:rsidRPr="00A61C1E">
        <w:rPr>
          <w:rStyle w:val="Strong"/>
          <w:rFonts w:ascii="Book Antiqua" w:eastAsiaTheme="majorEastAsia" w:hAnsi="Book Antiqua"/>
          <w:b w:val="0"/>
          <w:bCs w:val="0"/>
        </w:rPr>
        <w:t>of</w:t>
      </w:r>
      <w:proofErr w:type="spellEnd"/>
      <w:r w:rsidRPr="00A61C1E">
        <w:rPr>
          <w:rStyle w:val="Strong"/>
          <w:rFonts w:ascii="Book Antiqua" w:eastAsiaTheme="majorEastAsia" w:hAnsi="Book Antiqua"/>
          <w:b w:val="0"/>
          <w:bCs w:val="0"/>
        </w:rPr>
        <w:t xml:space="preserve"> </w:t>
      </w:r>
      <w:proofErr w:type="spellStart"/>
      <w:r w:rsidRPr="00A61C1E">
        <w:rPr>
          <w:rStyle w:val="Strong"/>
          <w:rFonts w:ascii="Book Antiqua" w:eastAsiaTheme="majorEastAsia" w:hAnsi="Book Antiqua"/>
          <w:b w:val="0"/>
          <w:bCs w:val="0"/>
        </w:rPr>
        <w:t>Rights</w:t>
      </w:r>
      <w:proofErr w:type="spellEnd"/>
      <w:r w:rsidRPr="00A61C1E">
        <w:rPr>
          <w:rStyle w:val="Strong"/>
          <w:rFonts w:ascii="Book Antiqua" w:eastAsiaTheme="majorEastAsia" w:hAnsi="Book Antiqua"/>
          <w:b w:val="0"/>
          <w:bCs w:val="0"/>
        </w:rPr>
        <w:t xml:space="preserve"> </w:t>
      </w:r>
      <w:proofErr w:type="spellStart"/>
      <w:r w:rsidRPr="00A61C1E">
        <w:rPr>
          <w:rStyle w:val="Strong"/>
          <w:rFonts w:ascii="Book Antiqua" w:eastAsiaTheme="majorEastAsia" w:hAnsi="Book Antiqua"/>
          <w:b w:val="0"/>
          <w:bCs w:val="0"/>
        </w:rPr>
        <w:t>Act</w:t>
      </w:r>
      <w:proofErr w:type="spellEnd"/>
      <w:r w:rsidRPr="00CE1892">
        <w:rPr>
          <w:rStyle w:val="Strong"/>
          <w:rFonts w:ascii="Book Antiqua" w:eastAsiaTheme="majorEastAsia" w:hAnsi="Book Antiqua"/>
        </w:rPr>
        <w:t xml:space="preserve"> </w:t>
      </w:r>
      <w:proofErr w:type="spellStart"/>
      <w:r w:rsidRPr="00935859">
        <w:rPr>
          <w:rStyle w:val="Strong"/>
          <w:rFonts w:ascii="Book Antiqua" w:eastAsiaTheme="majorEastAsia" w:hAnsi="Book Antiqua"/>
          <w:b w:val="0"/>
          <w:bCs w:val="0"/>
        </w:rPr>
        <w:t>of</w:t>
      </w:r>
      <w:proofErr w:type="spellEnd"/>
      <w:r w:rsidRPr="00935859">
        <w:rPr>
          <w:rStyle w:val="Strong"/>
          <w:rFonts w:ascii="Book Antiqua" w:eastAsiaTheme="majorEastAsia" w:hAnsi="Book Antiqua"/>
          <w:b w:val="0"/>
          <w:bCs w:val="0"/>
        </w:rPr>
        <w:t xml:space="preserve"> 2000 (P.L. 106-402)</w:t>
      </w:r>
      <w:r w:rsidRPr="00CE1892">
        <w:rPr>
          <w:rFonts w:ascii="Book Antiqua" w:hAnsi="Book Antiqua"/>
        </w:rPr>
        <w:t xml:space="preserve">, ni el </w:t>
      </w:r>
      <w:proofErr w:type="spellStart"/>
      <w:r w:rsidRPr="00935859">
        <w:rPr>
          <w:rStyle w:val="Strong"/>
          <w:rFonts w:ascii="Book Antiqua" w:eastAsiaTheme="majorEastAsia" w:hAnsi="Book Antiqua"/>
          <w:b w:val="0"/>
          <w:bCs w:val="0"/>
        </w:rPr>
        <w:t>Rehabilitation</w:t>
      </w:r>
      <w:proofErr w:type="spellEnd"/>
      <w:r w:rsidRPr="00935859">
        <w:rPr>
          <w:rStyle w:val="Strong"/>
          <w:rFonts w:ascii="Book Antiqua" w:eastAsiaTheme="majorEastAsia" w:hAnsi="Book Antiqua"/>
          <w:b w:val="0"/>
          <w:bCs w:val="0"/>
        </w:rPr>
        <w:t xml:space="preserve"> </w:t>
      </w:r>
      <w:proofErr w:type="spellStart"/>
      <w:r w:rsidRPr="00935859">
        <w:rPr>
          <w:rStyle w:val="Strong"/>
          <w:rFonts w:ascii="Book Antiqua" w:eastAsiaTheme="majorEastAsia" w:hAnsi="Book Antiqua"/>
          <w:b w:val="0"/>
          <w:bCs w:val="0"/>
        </w:rPr>
        <w:t>Act</w:t>
      </w:r>
      <w:proofErr w:type="spellEnd"/>
      <w:r w:rsidRPr="00935859">
        <w:rPr>
          <w:rStyle w:val="Strong"/>
          <w:rFonts w:ascii="Book Antiqua" w:eastAsiaTheme="majorEastAsia" w:hAnsi="Book Antiqua"/>
          <w:b w:val="0"/>
          <w:bCs w:val="0"/>
        </w:rPr>
        <w:t xml:space="preserve"> </w:t>
      </w:r>
      <w:proofErr w:type="spellStart"/>
      <w:r w:rsidRPr="00935859">
        <w:rPr>
          <w:rStyle w:val="Strong"/>
          <w:rFonts w:ascii="Book Antiqua" w:eastAsiaTheme="majorEastAsia" w:hAnsi="Book Antiqua"/>
          <w:b w:val="0"/>
          <w:bCs w:val="0"/>
        </w:rPr>
        <w:t>of</w:t>
      </w:r>
      <w:proofErr w:type="spellEnd"/>
      <w:r w:rsidRPr="00935859">
        <w:rPr>
          <w:rStyle w:val="Strong"/>
          <w:rFonts w:ascii="Book Antiqua" w:eastAsiaTheme="majorEastAsia" w:hAnsi="Book Antiqua"/>
          <w:b w:val="0"/>
          <w:bCs w:val="0"/>
        </w:rPr>
        <w:t xml:space="preserve"> 1973 (P.L. 93-112)</w:t>
      </w:r>
      <w:r w:rsidRPr="00CE1892">
        <w:rPr>
          <w:rFonts w:ascii="Book Antiqua" w:hAnsi="Book Antiqua"/>
        </w:rPr>
        <w:t xml:space="preserve"> incorporan el término “diversidad funcional” como definición jurídica o médica aplicable. Por consiguiente, y desde una perspectiva tanto legal como salubrista, la OPP consideró que el término </w:t>
      </w:r>
      <w:r w:rsidRPr="00935859">
        <w:rPr>
          <w:rStyle w:val="Strong"/>
          <w:rFonts w:ascii="Book Antiqua" w:eastAsiaTheme="majorEastAsia" w:hAnsi="Book Antiqua"/>
          <w:b w:val="0"/>
          <w:bCs w:val="0"/>
        </w:rPr>
        <w:t>“persona con impedimento”</w:t>
      </w:r>
      <w:r w:rsidRPr="00CE1892">
        <w:rPr>
          <w:rFonts w:ascii="Book Antiqua" w:hAnsi="Book Antiqua"/>
        </w:rPr>
        <w:t xml:space="preserve"> es el adecuado, toda vez que este concepto sí está definido por ley y reconocido a nivel estatal y federal.</w:t>
      </w:r>
    </w:p>
    <w:p w14:paraId="5418A7EE" w14:textId="33FD715F" w:rsidR="000F5DDF" w:rsidRPr="00792134" w:rsidRDefault="000F5DDF" w:rsidP="00817805">
      <w:pPr>
        <w:pStyle w:val="NormalWeb"/>
        <w:spacing w:line="276" w:lineRule="auto"/>
        <w:jc w:val="both"/>
        <w:rPr>
          <w:rFonts w:ascii="Book Antiqua" w:hAnsi="Book Antiqua"/>
        </w:rPr>
      </w:pPr>
      <w:r w:rsidRPr="00CE1892">
        <w:rPr>
          <w:rFonts w:ascii="Book Antiqua" w:hAnsi="Book Antiqua"/>
        </w:rPr>
        <w:t xml:space="preserve">A base de lo anterior, la OPP </w:t>
      </w:r>
      <w:r w:rsidRPr="00792134">
        <w:rPr>
          <w:rStyle w:val="Strong"/>
          <w:rFonts w:ascii="Book Antiqua" w:eastAsiaTheme="majorEastAsia" w:hAnsi="Book Antiqua"/>
          <w:b w:val="0"/>
          <w:bCs w:val="0"/>
        </w:rPr>
        <w:t>recomendó sustituir toda referencia a “diversidad funcional” por “persona con impedimento” en el texto del proyecto</w:t>
      </w:r>
      <w:r w:rsidRPr="00792134">
        <w:rPr>
          <w:rFonts w:ascii="Book Antiqua" w:hAnsi="Book Antiqua"/>
        </w:rPr>
        <w:t xml:space="preserve">. Asimismo, propuso una redacción alternativa para el nuevo inciso (k) del Artículo 2 de la Ley 194-2000, a fin de incluir una definición detallada de “persona con impedimento” alineada con las disposiciones legales vigentes. Para garantizar la coherencia estructural del estatuto, también recomendó la </w:t>
      </w:r>
      <w:r w:rsidR="00792134" w:rsidRPr="00792134">
        <w:rPr>
          <w:rStyle w:val="Strong"/>
          <w:rFonts w:ascii="Book Antiqua" w:eastAsiaTheme="majorEastAsia" w:hAnsi="Book Antiqua"/>
          <w:b w:val="0"/>
          <w:bCs w:val="0"/>
        </w:rPr>
        <w:t>remuneración</w:t>
      </w:r>
      <w:r w:rsidRPr="00792134">
        <w:rPr>
          <w:rStyle w:val="Strong"/>
          <w:rFonts w:ascii="Book Antiqua" w:eastAsiaTheme="majorEastAsia" w:hAnsi="Book Antiqua"/>
          <w:b w:val="0"/>
          <w:bCs w:val="0"/>
        </w:rPr>
        <w:t xml:space="preserve"> técnica de los incisos subsiguientes</w:t>
      </w:r>
      <w:r w:rsidRPr="00792134">
        <w:rPr>
          <w:rFonts w:ascii="Book Antiqua" w:hAnsi="Book Antiqua"/>
        </w:rPr>
        <w:t>, del (k) al (x).</w:t>
      </w:r>
    </w:p>
    <w:p w14:paraId="50EF41F5" w14:textId="77777777" w:rsidR="000F5DDF" w:rsidRPr="00792134" w:rsidRDefault="000F5DDF" w:rsidP="00817805">
      <w:pPr>
        <w:pStyle w:val="NormalWeb"/>
        <w:spacing w:line="276" w:lineRule="auto"/>
        <w:jc w:val="both"/>
        <w:rPr>
          <w:rFonts w:ascii="Book Antiqua" w:hAnsi="Book Antiqua"/>
        </w:rPr>
      </w:pPr>
      <w:r w:rsidRPr="00792134">
        <w:rPr>
          <w:rFonts w:ascii="Book Antiqua" w:hAnsi="Book Antiqua"/>
        </w:rPr>
        <w:t xml:space="preserve">Además, la OPP analizó puntualmente otras disposiciones propuestas en el proyecto. En relación con las enmiendas al </w:t>
      </w:r>
      <w:r w:rsidRPr="00792134">
        <w:rPr>
          <w:rStyle w:val="Strong"/>
          <w:rFonts w:ascii="Book Antiqua" w:eastAsiaTheme="majorEastAsia" w:hAnsi="Book Antiqua"/>
          <w:b w:val="0"/>
          <w:bCs w:val="0"/>
        </w:rPr>
        <w:t>Artículo 5 de la Ley 194-2000</w:t>
      </w:r>
      <w:r w:rsidRPr="00792134">
        <w:rPr>
          <w:rFonts w:ascii="Book Antiqua" w:hAnsi="Book Antiqua"/>
        </w:rPr>
        <w:t xml:space="preserve">, sobre el derecho del paciente a la información, la Oficina propuso que dicha información sea provista en una forma comprensible para personas con impedimentos. Ello incluye el uso de intérpretes de señas, materiales en alfabeto Braille y dispositivos </w:t>
      </w:r>
      <w:proofErr w:type="spellStart"/>
      <w:r w:rsidRPr="00792134">
        <w:rPr>
          <w:rFonts w:ascii="Book Antiqua" w:hAnsi="Book Antiqua"/>
        </w:rPr>
        <w:t>asistivos</w:t>
      </w:r>
      <w:proofErr w:type="spellEnd"/>
      <w:r w:rsidRPr="00792134">
        <w:rPr>
          <w:rFonts w:ascii="Book Antiqua" w:hAnsi="Book Antiqua"/>
        </w:rPr>
        <w:t xml:space="preserve"> tecnológicos, lo cual debe garantizarse como parte de la política pública de accesibilidad.</w:t>
      </w:r>
    </w:p>
    <w:p w14:paraId="05C22E72" w14:textId="77777777" w:rsidR="000F5DDF" w:rsidRPr="00792134" w:rsidRDefault="000F5DDF" w:rsidP="00817805">
      <w:pPr>
        <w:pStyle w:val="NormalWeb"/>
        <w:spacing w:line="276" w:lineRule="auto"/>
        <w:jc w:val="both"/>
        <w:rPr>
          <w:rFonts w:ascii="Book Antiqua" w:hAnsi="Book Antiqua"/>
        </w:rPr>
      </w:pPr>
      <w:r w:rsidRPr="00792134">
        <w:rPr>
          <w:rFonts w:ascii="Book Antiqua" w:hAnsi="Book Antiqua"/>
        </w:rPr>
        <w:lastRenderedPageBreak/>
        <w:t xml:space="preserve">De igual forma, respecto a la enmienda del </w:t>
      </w:r>
      <w:r w:rsidRPr="00792134">
        <w:rPr>
          <w:rStyle w:val="Strong"/>
          <w:rFonts w:ascii="Book Antiqua" w:eastAsiaTheme="majorEastAsia" w:hAnsi="Book Antiqua"/>
          <w:b w:val="0"/>
          <w:bCs w:val="0"/>
        </w:rPr>
        <w:t>Artículo 8</w:t>
      </w:r>
      <w:r w:rsidRPr="00792134">
        <w:rPr>
          <w:rFonts w:ascii="Book Antiqua" w:hAnsi="Book Antiqua"/>
        </w:rPr>
        <w:t xml:space="preserve">, sobre acceso a servicios de emergencia, la OPP propuso enmiendas similares, reafirmando el principio de que toda comunicación relevante en contextos médicos debe ser accesible para quienes enfrentan barreras sensoriales o cognitivas. Estas mismas recomendaciones fueron replicadas en las enmiendas al </w:t>
      </w:r>
      <w:r w:rsidRPr="00792134">
        <w:rPr>
          <w:rStyle w:val="Strong"/>
          <w:rFonts w:ascii="Book Antiqua" w:eastAsiaTheme="majorEastAsia" w:hAnsi="Book Antiqua"/>
          <w:b w:val="0"/>
          <w:bCs w:val="0"/>
        </w:rPr>
        <w:t>Artículo 9</w:t>
      </w:r>
      <w:r w:rsidRPr="00792134">
        <w:rPr>
          <w:rFonts w:ascii="Book Antiqua" w:hAnsi="Book Antiqua"/>
        </w:rPr>
        <w:t xml:space="preserve"> (relacionado con la participación del paciente en decisiones de tratamiento), al </w:t>
      </w:r>
      <w:r w:rsidRPr="00792134">
        <w:rPr>
          <w:rStyle w:val="Strong"/>
          <w:rFonts w:ascii="Book Antiqua" w:eastAsiaTheme="majorEastAsia" w:hAnsi="Book Antiqua"/>
          <w:b w:val="0"/>
          <w:bCs w:val="0"/>
        </w:rPr>
        <w:t>Artículo 10</w:t>
      </w:r>
      <w:r w:rsidRPr="00792134">
        <w:rPr>
          <w:rFonts w:ascii="Book Antiqua" w:hAnsi="Book Antiqua"/>
        </w:rPr>
        <w:t xml:space="preserve"> (trato digno e igualitario), y al </w:t>
      </w:r>
      <w:r w:rsidRPr="00792134">
        <w:rPr>
          <w:rStyle w:val="Strong"/>
          <w:rFonts w:ascii="Book Antiqua" w:eastAsiaTheme="majorEastAsia" w:hAnsi="Book Antiqua"/>
          <w:b w:val="0"/>
          <w:bCs w:val="0"/>
        </w:rPr>
        <w:t>Artículo 12</w:t>
      </w:r>
      <w:r w:rsidRPr="00792134">
        <w:rPr>
          <w:rFonts w:ascii="Book Antiqua" w:hAnsi="Book Antiqua"/>
        </w:rPr>
        <w:t xml:space="preserve"> (derecho a presentar quejas y agravios).</w:t>
      </w:r>
    </w:p>
    <w:p w14:paraId="057C881C" w14:textId="77777777" w:rsidR="000F5DDF" w:rsidRPr="00792134" w:rsidRDefault="000F5DDF" w:rsidP="00817805">
      <w:pPr>
        <w:pStyle w:val="NormalWeb"/>
        <w:spacing w:line="276" w:lineRule="auto"/>
        <w:jc w:val="both"/>
        <w:rPr>
          <w:rFonts w:ascii="Book Antiqua" w:hAnsi="Book Antiqua"/>
        </w:rPr>
      </w:pPr>
      <w:r w:rsidRPr="00792134">
        <w:rPr>
          <w:rFonts w:ascii="Book Antiqua" w:hAnsi="Book Antiqua"/>
        </w:rPr>
        <w:t xml:space="preserve">En particular, en el </w:t>
      </w:r>
      <w:r w:rsidRPr="00792134">
        <w:rPr>
          <w:rStyle w:val="Strong"/>
          <w:rFonts w:ascii="Book Antiqua" w:eastAsiaTheme="majorEastAsia" w:hAnsi="Book Antiqua"/>
          <w:b w:val="0"/>
          <w:bCs w:val="0"/>
        </w:rPr>
        <w:t>Artículo 10</w:t>
      </w:r>
      <w:r w:rsidRPr="00792134">
        <w:rPr>
          <w:rFonts w:ascii="Book Antiqua" w:hAnsi="Book Antiqua"/>
        </w:rPr>
        <w:t xml:space="preserve">, la OPP sugirió modificar el lenguaje original para sustituir la frase “[incapacidad física o mental]” por “con impedimento físico o mental presente o futuro”, en atención a criterios semánticos y conceptuales más precisos y menos estigmatizantes. En cuanto al </w:t>
      </w:r>
      <w:r w:rsidRPr="00792134">
        <w:rPr>
          <w:rStyle w:val="Strong"/>
          <w:rFonts w:ascii="Book Antiqua" w:eastAsiaTheme="majorEastAsia" w:hAnsi="Book Antiqua"/>
          <w:b w:val="0"/>
          <w:bCs w:val="0"/>
        </w:rPr>
        <w:t>Artículo 12</w:t>
      </w:r>
      <w:r w:rsidRPr="00792134">
        <w:rPr>
          <w:rFonts w:ascii="Book Antiqua" w:hAnsi="Book Antiqua"/>
        </w:rPr>
        <w:t>, se recomendó también una corrección gramatical que asegure el uso de la frase “alfabeto Braille” correctamente, además de incluir la sugerencia de utilizar la frase “persona con impedimento” en lugar de “persona con diversidad funcional”.</w:t>
      </w:r>
    </w:p>
    <w:p w14:paraId="157E5299" w14:textId="77777777" w:rsidR="000F5DDF" w:rsidRPr="00792134" w:rsidRDefault="000F5DDF" w:rsidP="00817805">
      <w:pPr>
        <w:pStyle w:val="NormalWeb"/>
        <w:spacing w:line="276" w:lineRule="auto"/>
        <w:jc w:val="both"/>
        <w:rPr>
          <w:rFonts w:ascii="Book Antiqua" w:hAnsi="Book Antiqua"/>
        </w:rPr>
      </w:pPr>
      <w:r w:rsidRPr="00792134">
        <w:rPr>
          <w:rFonts w:ascii="Book Antiqua" w:hAnsi="Book Antiqua"/>
        </w:rPr>
        <w:t xml:space="preserve">Finalmente, la OPP </w:t>
      </w:r>
      <w:r w:rsidRPr="00792134">
        <w:rPr>
          <w:rStyle w:val="Strong"/>
          <w:rFonts w:ascii="Book Antiqua" w:eastAsiaTheme="majorEastAsia" w:hAnsi="Book Antiqua"/>
          <w:b w:val="0"/>
          <w:bCs w:val="0"/>
        </w:rPr>
        <w:t>avaló las enmiendas dirigidas a garantizar el uso de herramientas de accesibilidad en la comunicación médico-paciente</w:t>
      </w:r>
      <w:r w:rsidRPr="00792134">
        <w:rPr>
          <w:rFonts w:ascii="Book Antiqua" w:hAnsi="Book Antiqua"/>
        </w:rPr>
        <w:t>, siempre y cuando se realicen los cambios terminológicos antes señalados. A su juicio, esto redundará en una mayor protección de los derechos de los pacientes, en especial de aquellos cuya capacidad de comprensión o comunicación requiere apoyo adicional.</w:t>
      </w:r>
    </w:p>
    <w:p w14:paraId="678657B0" w14:textId="27DED77A" w:rsidR="00F0468E" w:rsidRPr="00F0468E" w:rsidRDefault="000F5DDF" w:rsidP="00F0468E">
      <w:pPr>
        <w:pStyle w:val="NormalWeb"/>
        <w:spacing w:line="276" w:lineRule="auto"/>
        <w:jc w:val="both"/>
        <w:rPr>
          <w:rFonts w:ascii="Book Antiqua" w:hAnsi="Book Antiqua"/>
        </w:rPr>
      </w:pPr>
      <w:r w:rsidRPr="00CE1892">
        <w:rPr>
          <w:rFonts w:ascii="Book Antiqua" w:hAnsi="Book Antiqua"/>
        </w:rPr>
        <w:t xml:space="preserve">En conclusión, la Oficina del Procurador del Paciente </w:t>
      </w:r>
      <w:r w:rsidRPr="008402A5">
        <w:rPr>
          <w:rStyle w:val="Strong"/>
          <w:rFonts w:ascii="Book Antiqua" w:eastAsiaTheme="majorEastAsia" w:hAnsi="Book Antiqua"/>
          <w:b w:val="0"/>
          <w:bCs w:val="0"/>
        </w:rPr>
        <w:t>reconoció el propósito loable de</w:t>
      </w:r>
      <w:r w:rsidRPr="00CE1892">
        <w:rPr>
          <w:rStyle w:val="Strong"/>
          <w:rFonts w:ascii="Book Antiqua" w:eastAsiaTheme="majorEastAsia" w:hAnsi="Book Antiqua"/>
        </w:rPr>
        <w:t xml:space="preserve"> </w:t>
      </w:r>
      <w:r w:rsidRPr="008402A5">
        <w:rPr>
          <w:rStyle w:val="Strong"/>
          <w:rFonts w:ascii="Book Antiqua" w:eastAsiaTheme="majorEastAsia" w:hAnsi="Book Antiqua"/>
          <w:b w:val="0"/>
          <w:bCs w:val="0"/>
        </w:rPr>
        <w:t>esta medida legislativa</w:t>
      </w:r>
      <w:r w:rsidRPr="008402A5">
        <w:rPr>
          <w:rFonts w:ascii="Book Antiqua" w:hAnsi="Book Antiqua"/>
          <w:b/>
          <w:bCs/>
        </w:rPr>
        <w:t>,</w:t>
      </w:r>
      <w:r w:rsidRPr="00CE1892">
        <w:rPr>
          <w:rFonts w:ascii="Book Antiqua" w:hAnsi="Book Antiqua"/>
        </w:rPr>
        <w:t xml:space="preserve"> y reiteró su disposición a colaborar en su perfeccionamiento. </w:t>
      </w:r>
      <w:r w:rsidRPr="00F33076">
        <w:rPr>
          <w:rStyle w:val="Strong"/>
          <w:rFonts w:ascii="Book Antiqua" w:eastAsiaTheme="majorEastAsia" w:hAnsi="Book Antiqua"/>
          <w:b w:val="0"/>
          <w:bCs w:val="0"/>
        </w:rPr>
        <w:t>Recomendó su aprobación, sujeta a las enmiendas sugeridas</w:t>
      </w:r>
      <w:r w:rsidRPr="00CE1892">
        <w:rPr>
          <w:rFonts w:ascii="Book Antiqua" w:hAnsi="Book Antiqua"/>
        </w:rPr>
        <w:t xml:space="preserve"> sobre el uso correcto del término “persona con impedimento” y la implementación de herramientas accesibles en la prestación de servicios de salud. La OPP reafirmó su compromiso continuo con asegurar que todo ciudadano puertorriqueño reciba atención médica digna, equitativa y de alta calidad, en estricto cumplimiento con los principios constitucionales y los derechos fundamentales reconocidos por nuestro ordenamiento.</w:t>
      </w:r>
    </w:p>
    <w:p w14:paraId="76B0E713" w14:textId="57CF1BB7" w:rsidR="000366A7" w:rsidRDefault="00E722DE" w:rsidP="00D66623">
      <w:pPr>
        <w:spacing w:after="0" w:line="276" w:lineRule="auto"/>
        <w:jc w:val="center"/>
        <w:rPr>
          <w:rFonts w:ascii="Book Antiqua" w:eastAsia="Times New Roman" w:hAnsi="Book Antiqua"/>
          <w:b/>
          <w:sz w:val="24"/>
          <w:szCs w:val="24"/>
          <w:lang w:val="es-ES_tradnl"/>
        </w:rPr>
      </w:pPr>
      <w:r>
        <w:rPr>
          <w:rFonts w:ascii="Book Antiqua" w:eastAsia="Times New Roman" w:hAnsi="Book Antiqua"/>
          <w:b/>
          <w:sz w:val="24"/>
          <w:szCs w:val="24"/>
          <w:lang w:val="es-ES_tradnl"/>
        </w:rPr>
        <w:t>ADMINISTRACI</w:t>
      </w:r>
      <w:r w:rsidR="009B7BC2">
        <w:rPr>
          <w:rFonts w:ascii="Book Antiqua" w:eastAsia="Times New Roman" w:hAnsi="Book Antiqua"/>
          <w:b/>
          <w:sz w:val="24"/>
          <w:szCs w:val="24"/>
          <w:lang w:val="es-ES_tradnl"/>
        </w:rPr>
        <w:t>Ó</w:t>
      </w:r>
      <w:r>
        <w:rPr>
          <w:rFonts w:ascii="Book Antiqua" w:eastAsia="Times New Roman" w:hAnsi="Book Antiqua"/>
          <w:b/>
          <w:sz w:val="24"/>
          <w:szCs w:val="24"/>
          <w:lang w:val="es-ES_tradnl"/>
        </w:rPr>
        <w:t>N DE REAHABILITACION VOCACIONAL</w:t>
      </w:r>
      <w:r w:rsidR="00F0468E">
        <w:rPr>
          <w:rFonts w:ascii="Book Antiqua" w:eastAsia="Times New Roman" w:hAnsi="Book Antiqua"/>
          <w:b/>
          <w:sz w:val="24"/>
          <w:szCs w:val="24"/>
          <w:lang w:val="es-ES_tradnl"/>
        </w:rPr>
        <w:t xml:space="preserve"> (ARV)</w:t>
      </w:r>
    </w:p>
    <w:p w14:paraId="65996B04" w14:textId="77777777" w:rsidR="00E722DE" w:rsidRPr="00401A03" w:rsidRDefault="00E722DE" w:rsidP="00817805">
      <w:pPr>
        <w:spacing w:after="0" w:line="276" w:lineRule="auto"/>
        <w:jc w:val="both"/>
        <w:rPr>
          <w:rFonts w:ascii="Book Antiqua" w:eastAsia="Times New Roman" w:hAnsi="Book Antiqua"/>
          <w:b/>
          <w:sz w:val="24"/>
          <w:szCs w:val="24"/>
          <w:lang w:val="es-ES_tradnl"/>
        </w:rPr>
      </w:pPr>
    </w:p>
    <w:p w14:paraId="5344C113" w14:textId="35E60CE3" w:rsidR="00E722DE" w:rsidRDefault="00E722DE" w:rsidP="00817805">
      <w:pPr>
        <w:spacing w:line="276" w:lineRule="auto"/>
        <w:jc w:val="both"/>
        <w:rPr>
          <w:rFonts w:ascii="Book Antiqua" w:eastAsia="Calibri" w:hAnsi="Book Antiqua" w:cs="Times New Roman"/>
          <w:kern w:val="2"/>
          <w:sz w:val="24"/>
          <w:szCs w:val="24"/>
          <w:lang w:val="es-ES"/>
          <w14:ligatures w14:val="standardContextual"/>
        </w:rPr>
      </w:pPr>
      <w:bookmarkStart w:id="2" w:name="_Hlk200390952"/>
      <w:r w:rsidRPr="00CE1892">
        <w:rPr>
          <w:rFonts w:ascii="Book Antiqua" w:eastAsia="Calibri" w:hAnsi="Book Antiqua" w:cs="Times New Roman"/>
          <w:kern w:val="2"/>
          <w:sz w:val="24"/>
          <w:szCs w:val="24"/>
          <w:lang w:val="es-ES"/>
          <w14:ligatures w14:val="standardContextual"/>
        </w:rPr>
        <w:t>Esta Ilustre Comisión tuvo la oportunidad de examinar los comentarios presentados por la</w:t>
      </w:r>
      <w:r w:rsidRPr="00CE1892">
        <w:rPr>
          <w:rFonts w:ascii="Book Antiqua" w:eastAsia="Calibri" w:hAnsi="Book Antiqua" w:cs="Times New Roman"/>
          <w:b/>
          <w:bCs/>
          <w:kern w:val="2"/>
          <w:sz w:val="24"/>
          <w:szCs w:val="24"/>
          <w:lang w:val="es-ES"/>
          <w14:ligatures w14:val="standardContextual"/>
        </w:rPr>
        <w:t xml:space="preserve"> </w:t>
      </w:r>
      <w:r>
        <w:rPr>
          <w:rFonts w:ascii="Book Antiqua" w:eastAsia="Calibri" w:hAnsi="Book Antiqua" w:cs="Times New Roman"/>
          <w:b/>
          <w:bCs/>
          <w:kern w:val="2"/>
          <w:sz w:val="24"/>
          <w:szCs w:val="24"/>
          <w:lang w:val="es-ES"/>
          <w14:ligatures w14:val="standardContextual"/>
        </w:rPr>
        <w:t>Administración de Rehabilitación Vocacional</w:t>
      </w:r>
      <w:r w:rsidR="00B463B4">
        <w:rPr>
          <w:rFonts w:ascii="Book Antiqua" w:eastAsia="Calibri" w:hAnsi="Book Antiqua" w:cs="Times New Roman"/>
          <w:b/>
          <w:bCs/>
          <w:kern w:val="2"/>
          <w:sz w:val="24"/>
          <w:szCs w:val="24"/>
          <w:lang w:val="es-ES"/>
          <w14:ligatures w14:val="standardContextual"/>
        </w:rPr>
        <w:t xml:space="preserve"> (ARV)</w:t>
      </w:r>
      <w:r w:rsidRPr="00CE1892">
        <w:rPr>
          <w:rFonts w:ascii="Book Antiqua" w:eastAsia="Calibri" w:hAnsi="Book Antiqua" w:cs="Times New Roman"/>
          <w:b/>
          <w:bCs/>
          <w:kern w:val="2"/>
          <w:sz w:val="24"/>
          <w:szCs w:val="24"/>
          <w:lang w:val="es-ES"/>
          <w14:ligatures w14:val="standardContextual"/>
        </w:rPr>
        <w:t xml:space="preserve"> </w:t>
      </w:r>
      <w:r w:rsidRPr="00CE1892">
        <w:rPr>
          <w:rFonts w:ascii="Book Antiqua" w:eastAsia="Calibri" w:hAnsi="Book Antiqua" w:cs="Times New Roman"/>
          <w:kern w:val="2"/>
          <w:sz w:val="24"/>
          <w:szCs w:val="24"/>
          <w:lang w:val="es-ES"/>
          <w14:ligatures w14:val="standardContextual"/>
        </w:rPr>
        <w:t xml:space="preserve">quien presentó su Memorial Explicativo por conducto de </w:t>
      </w:r>
      <w:r>
        <w:rPr>
          <w:rFonts w:ascii="Book Antiqua" w:eastAsia="Calibri" w:hAnsi="Book Antiqua" w:cs="Times New Roman"/>
          <w:kern w:val="2"/>
          <w:sz w:val="24"/>
          <w:szCs w:val="24"/>
          <w:lang w:val="es-ES"/>
          <w14:ligatures w14:val="standardContextual"/>
        </w:rPr>
        <w:t>su Administradora</w:t>
      </w:r>
      <w:r w:rsidRPr="00CE1892">
        <w:rPr>
          <w:rFonts w:ascii="Book Antiqua" w:hAnsi="Book Antiqua"/>
          <w:sz w:val="24"/>
          <w:szCs w:val="24"/>
          <w:lang w:val="es-ES"/>
        </w:rPr>
        <w:t xml:space="preserve">, </w:t>
      </w:r>
      <w:r>
        <w:rPr>
          <w:rFonts w:ascii="Book Antiqua" w:hAnsi="Book Antiqua"/>
          <w:sz w:val="24"/>
          <w:szCs w:val="24"/>
          <w:lang w:val="es-ES"/>
        </w:rPr>
        <w:t>Rosa H. Lugo Pag</w:t>
      </w:r>
      <w:r w:rsidR="00F0468E">
        <w:rPr>
          <w:rFonts w:ascii="Book Antiqua" w:hAnsi="Book Antiqua"/>
          <w:sz w:val="24"/>
          <w:szCs w:val="24"/>
          <w:lang w:val="es-ES"/>
        </w:rPr>
        <w:t>á</w:t>
      </w:r>
      <w:r>
        <w:rPr>
          <w:rFonts w:ascii="Book Antiqua" w:hAnsi="Book Antiqua"/>
          <w:sz w:val="24"/>
          <w:szCs w:val="24"/>
          <w:lang w:val="es-ES"/>
        </w:rPr>
        <w:t>n</w:t>
      </w:r>
      <w:r w:rsidRPr="00CE1892">
        <w:rPr>
          <w:rFonts w:ascii="Book Antiqua" w:hAnsi="Book Antiqua"/>
          <w:sz w:val="24"/>
          <w:szCs w:val="24"/>
          <w:lang w:val="es-ES"/>
        </w:rPr>
        <w:t>.</w:t>
      </w:r>
      <w:r w:rsidRPr="00CE1892">
        <w:rPr>
          <w:rFonts w:ascii="Book Antiqua" w:eastAsia="Calibri" w:hAnsi="Book Antiqua" w:cs="Times New Roman"/>
          <w:kern w:val="2"/>
          <w:sz w:val="24"/>
          <w:szCs w:val="24"/>
          <w:lang w:val="es-ES"/>
          <w14:ligatures w14:val="standardContextual"/>
        </w:rPr>
        <w:t xml:space="preserve"> </w:t>
      </w:r>
    </w:p>
    <w:bookmarkEnd w:id="2"/>
    <w:p w14:paraId="73A01FFF" w14:textId="6A2B879A" w:rsidR="002B3215" w:rsidRPr="002B3215" w:rsidRDefault="009B7BC2" w:rsidP="00817805">
      <w:pPr>
        <w:pStyle w:val="NormalWeb"/>
        <w:spacing w:line="276" w:lineRule="auto"/>
        <w:jc w:val="both"/>
        <w:rPr>
          <w:rFonts w:ascii="Book Antiqua" w:hAnsi="Book Antiqua"/>
        </w:rPr>
      </w:pPr>
      <w:r>
        <w:rPr>
          <w:rFonts w:ascii="Book Antiqua" w:hAnsi="Book Antiqua"/>
        </w:rPr>
        <w:lastRenderedPageBreak/>
        <w:t>Destacó</w:t>
      </w:r>
      <w:r w:rsidR="00CC0786">
        <w:rPr>
          <w:rFonts w:ascii="Book Antiqua" w:hAnsi="Book Antiqua"/>
        </w:rPr>
        <w:t>,</w:t>
      </w:r>
      <w:r w:rsidR="002B3215" w:rsidRPr="002B3215">
        <w:rPr>
          <w:rFonts w:ascii="Book Antiqua" w:hAnsi="Book Antiqua"/>
        </w:rPr>
        <w:t xml:space="preserve"> que la</w:t>
      </w:r>
      <w:r w:rsidR="0018213E">
        <w:rPr>
          <w:rFonts w:ascii="Book Antiqua" w:hAnsi="Book Antiqua"/>
        </w:rPr>
        <w:t xml:space="preserve"> agencia</w:t>
      </w:r>
      <w:r w:rsidR="002B3215" w:rsidRPr="002B3215">
        <w:rPr>
          <w:rFonts w:ascii="Book Antiqua" w:hAnsi="Book Antiqua"/>
        </w:rPr>
        <w:t xml:space="preserve"> opera en cumplimiento con disposiciones federales específicas, particularmente la Ley Pública Federal 93-112, conocida como la </w:t>
      </w:r>
      <w:r w:rsidR="002B3215" w:rsidRPr="002B3215">
        <w:rPr>
          <w:rStyle w:val="Emphasis"/>
          <w:rFonts w:ascii="Book Antiqua" w:eastAsiaTheme="majorEastAsia" w:hAnsi="Book Antiqua"/>
        </w:rPr>
        <w:t>Ley de Rehabilitación</w:t>
      </w:r>
      <w:r w:rsidR="002B3215" w:rsidRPr="002B3215">
        <w:rPr>
          <w:rFonts w:ascii="Book Antiqua" w:hAnsi="Book Antiqua"/>
        </w:rPr>
        <w:t xml:space="preserve">, según enmendada, y la Ley Pública Federal 113-128, conocida como la </w:t>
      </w:r>
      <w:proofErr w:type="spellStart"/>
      <w:r w:rsidR="002B3215" w:rsidRPr="002B3215">
        <w:rPr>
          <w:rStyle w:val="Emphasis"/>
          <w:rFonts w:ascii="Book Antiqua" w:eastAsiaTheme="majorEastAsia" w:hAnsi="Book Antiqua"/>
        </w:rPr>
        <w:t>Workforce</w:t>
      </w:r>
      <w:proofErr w:type="spellEnd"/>
      <w:r w:rsidR="002B3215" w:rsidRPr="002B3215">
        <w:rPr>
          <w:rStyle w:val="Emphasis"/>
          <w:rFonts w:ascii="Book Antiqua" w:eastAsiaTheme="majorEastAsia" w:hAnsi="Book Antiqua"/>
        </w:rPr>
        <w:t xml:space="preserve"> </w:t>
      </w:r>
      <w:proofErr w:type="spellStart"/>
      <w:r w:rsidR="002B3215" w:rsidRPr="002B3215">
        <w:rPr>
          <w:rStyle w:val="Emphasis"/>
          <w:rFonts w:ascii="Book Antiqua" w:eastAsiaTheme="majorEastAsia" w:hAnsi="Book Antiqua"/>
        </w:rPr>
        <w:t>Innovation</w:t>
      </w:r>
      <w:proofErr w:type="spellEnd"/>
      <w:r w:rsidR="002B3215" w:rsidRPr="002B3215">
        <w:rPr>
          <w:rStyle w:val="Emphasis"/>
          <w:rFonts w:ascii="Book Antiqua" w:eastAsiaTheme="majorEastAsia" w:hAnsi="Book Antiqua"/>
        </w:rPr>
        <w:t xml:space="preserve"> and </w:t>
      </w:r>
      <w:proofErr w:type="spellStart"/>
      <w:r w:rsidR="002B3215" w:rsidRPr="002B3215">
        <w:rPr>
          <w:rStyle w:val="Emphasis"/>
          <w:rFonts w:ascii="Book Antiqua" w:eastAsiaTheme="majorEastAsia" w:hAnsi="Book Antiqua"/>
        </w:rPr>
        <w:t>Opportunity</w:t>
      </w:r>
      <w:proofErr w:type="spellEnd"/>
      <w:r w:rsidR="002B3215" w:rsidRPr="002B3215">
        <w:rPr>
          <w:rStyle w:val="Emphasis"/>
          <w:rFonts w:ascii="Book Antiqua" w:eastAsiaTheme="majorEastAsia" w:hAnsi="Book Antiqua"/>
        </w:rPr>
        <w:t xml:space="preserve"> </w:t>
      </w:r>
      <w:proofErr w:type="spellStart"/>
      <w:r w:rsidR="002B3215" w:rsidRPr="002B3215">
        <w:rPr>
          <w:rStyle w:val="Emphasis"/>
          <w:rFonts w:ascii="Book Antiqua" w:eastAsiaTheme="majorEastAsia" w:hAnsi="Book Antiqua"/>
        </w:rPr>
        <w:t>Act</w:t>
      </w:r>
      <w:proofErr w:type="spellEnd"/>
      <w:r w:rsidR="002B3215" w:rsidRPr="002B3215">
        <w:rPr>
          <w:rFonts w:ascii="Book Antiqua" w:hAnsi="Book Antiqua"/>
        </w:rPr>
        <w:t xml:space="preserve"> (WIOA). Estas leyes constituyen el fundamento legal para la distribución de fondos federales, y establecen los parámetros obligatorios que deben seguirse para garantizar la elegibilidad de las personas que reciben servicios. Por consiguiente, cualquier cambio en terminología, estructura o criterios de elegibilidad debe estar alineado con estas disposiciones, a fin de evitar la pérdida de financiamiento o incurrir en incumplimientos regulatorios.</w:t>
      </w:r>
    </w:p>
    <w:p w14:paraId="60F86C5A" w14:textId="77777777" w:rsidR="002B3215" w:rsidRPr="002B3215" w:rsidRDefault="002B3215" w:rsidP="00817805">
      <w:pPr>
        <w:pStyle w:val="NormalWeb"/>
        <w:spacing w:line="276" w:lineRule="auto"/>
        <w:jc w:val="both"/>
        <w:rPr>
          <w:rFonts w:ascii="Book Antiqua" w:hAnsi="Book Antiqua"/>
        </w:rPr>
      </w:pPr>
      <w:r w:rsidRPr="002B3215">
        <w:rPr>
          <w:rFonts w:ascii="Book Antiqua" w:hAnsi="Book Antiqua"/>
        </w:rPr>
        <w:t xml:space="preserve">En ese contexto, la ARV subrayó que su misión consiste en integrar a las personas con impedimentos a la fuerza laboral y a una vida más independiente, prestando servicios especializados, individualizados y basados en las limitaciones funcionales que afectan su capacidad de empleo. Para ello, la agencia aplica criterios de elegibilidad definidos en el Título 34 del </w:t>
      </w:r>
      <w:proofErr w:type="spellStart"/>
      <w:r w:rsidRPr="002B3215">
        <w:rPr>
          <w:rStyle w:val="Emphasis"/>
          <w:rFonts w:ascii="Book Antiqua" w:eastAsiaTheme="majorEastAsia" w:hAnsi="Book Antiqua"/>
        </w:rPr>
        <w:t>Code</w:t>
      </w:r>
      <w:proofErr w:type="spellEnd"/>
      <w:r w:rsidRPr="002B3215">
        <w:rPr>
          <w:rStyle w:val="Emphasis"/>
          <w:rFonts w:ascii="Book Antiqua" w:eastAsiaTheme="majorEastAsia" w:hAnsi="Book Antiqua"/>
        </w:rPr>
        <w:t xml:space="preserve"> </w:t>
      </w:r>
      <w:proofErr w:type="spellStart"/>
      <w:r w:rsidRPr="002B3215">
        <w:rPr>
          <w:rStyle w:val="Emphasis"/>
          <w:rFonts w:ascii="Book Antiqua" w:eastAsiaTheme="majorEastAsia" w:hAnsi="Book Antiqua"/>
        </w:rPr>
        <w:t>of</w:t>
      </w:r>
      <w:proofErr w:type="spellEnd"/>
      <w:r w:rsidRPr="002B3215">
        <w:rPr>
          <w:rStyle w:val="Emphasis"/>
          <w:rFonts w:ascii="Book Antiqua" w:eastAsiaTheme="majorEastAsia" w:hAnsi="Book Antiqua"/>
        </w:rPr>
        <w:t xml:space="preserve"> Federal </w:t>
      </w:r>
      <w:proofErr w:type="spellStart"/>
      <w:r w:rsidRPr="002B3215">
        <w:rPr>
          <w:rStyle w:val="Emphasis"/>
          <w:rFonts w:ascii="Book Antiqua" w:eastAsiaTheme="majorEastAsia" w:hAnsi="Book Antiqua"/>
        </w:rPr>
        <w:t>Regulations</w:t>
      </w:r>
      <w:proofErr w:type="spellEnd"/>
      <w:r w:rsidRPr="002B3215">
        <w:rPr>
          <w:rFonts w:ascii="Book Antiqua" w:hAnsi="Book Antiqua"/>
        </w:rPr>
        <w:t xml:space="preserve"> (CFR), los cuales requieren un análisis clínico funcional por parte de consejeros en rehabilitación vocacional debidamente cualificados.</w:t>
      </w:r>
    </w:p>
    <w:p w14:paraId="35619622" w14:textId="2868C97C" w:rsidR="002B3215" w:rsidRPr="002B3215" w:rsidRDefault="00A90088" w:rsidP="00817805">
      <w:pPr>
        <w:pStyle w:val="NormalWeb"/>
        <w:spacing w:line="276" w:lineRule="auto"/>
        <w:jc w:val="both"/>
        <w:rPr>
          <w:rFonts w:ascii="Book Antiqua" w:hAnsi="Book Antiqua"/>
        </w:rPr>
      </w:pPr>
      <w:r>
        <w:rPr>
          <w:rFonts w:ascii="Book Antiqua" w:hAnsi="Book Antiqua"/>
        </w:rPr>
        <w:t>Enfatizó</w:t>
      </w:r>
      <w:r w:rsidR="00CC1A74">
        <w:rPr>
          <w:rFonts w:ascii="Book Antiqua" w:hAnsi="Book Antiqua"/>
        </w:rPr>
        <w:t>,</w:t>
      </w:r>
      <w:r w:rsidR="002B3215" w:rsidRPr="002B3215">
        <w:rPr>
          <w:rFonts w:ascii="Book Antiqua" w:hAnsi="Book Antiqua"/>
        </w:rPr>
        <w:t xml:space="preserve"> que la terminología que debe utilizarse dentro de la política pública y los documentos oficiales de la agencia está regulada por la ley federal antes mencionada. Así, aunque la ARV recono</w:t>
      </w:r>
      <w:r w:rsidR="001A06EB">
        <w:rPr>
          <w:rFonts w:ascii="Book Antiqua" w:hAnsi="Book Antiqua"/>
        </w:rPr>
        <w:t>ció</w:t>
      </w:r>
      <w:r w:rsidR="002B3215" w:rsidRPr="002B3215">
        <w:rPr>
          <w:rFonts w:ascii="Book Antiqua" w:hAnsi="Book Antiqua"/>
        </w:rPr>
        <w:t xml:space="preserve"> el valor del término “diversidad funcional” como una alternativa discursiva más inclusiva y centrada en la persona, enfatizó que la normativa federal requiere el uso del término “persona con impedimento”. </w:t>
      </w:r>
      <w:r w:rsidR="00AD3B3A">
        <w:rPr>
          <w:rFonts w:ascii="Book Antiqua" w:hAnsi="Book Antiqua"/>
        </w:rPr>
        <w:t>Alegó</w:t>
      </w:r>
      <w:r w:rsidR="007E3E10">
        <w:rPr>
          <w:rFonts w:ascii="Book Antiqua" w:hAnsi="Book Antiqua"/>
        </w:rPr>
        <w:t>,</w:t>
      </w:r>
      <w:r w:rsidR="00AD3B3A">
        <w:rPr>
          <w:rFonts w:ascii="Book Antiqua" w:hAnsi="Book Antiqua"/>
        </w:rPr>
        <w:t xml:space="preserve"> que e</w:t>
      </w:r>
      <w:r w:rsidR="002B3215" w:rsidRPr="002B3215">
        <w:rPr>
          <w:rFonts w:ascii="Book Antiqua" w:hAnsi="Book Antiqua"/>
        </w:rPr>
        <w:t>sta distinción no es meramente semántica, sino que tiene repercusiones legales y operacionales sustantivas, ya que los informes de cumplimiento, auditorías y asignaciones de fondos federales exigen uniformidad terminológica y normativa.</w:t>
      </w:r>
    </w:p>
    <w:p w14:paraId="7BC95D3B" w14:textId="091B5E8B" w:rsidR="002B3215" w:rsidRPr="002B3215" w:rsidRDefault="002B3215" w:rsidP="00817805">
      <w:pPr>
        <w:pStyle w:val="NormalWeb"/>
        <w:spacing w:line="276" w:lineRule="auto"/>
        <w:jc w:val="both"/>
        <w:rPr>
          <w:rFonts w:ascii="Book Antiqua" w:hAnsi="Book Antiqua"/>
        </w:rPr>
      </w:pPr>
      <w:r w:rsidRPr="002B3215">
        <w:rPr>
          <w:rFonts w:ascii="Book Antiqua" w:hAnsi="Book Antiqua"/>
        </w:rPr>
        <w:t>Por lo tanto, al analizar el contenido del Proyecto del Senado 423, la ARV reconoc</w:t>
      </w:r>
      <w:r w:rsidR="00FD33F1">
        <w:rPr>
          <w:rFonts w:ascii="Book Antiqua" w:hAnsi="Book Antiqua"/>
        </w:rPr>
        <w:t>ió</w:t>
      </w:r>
      <w:r w:rsidRPr="002B3215">
        <w:rPr>
          <w:rFonts w:ascii="Book Antiqua" w:hAnsi="Book Antiqua"/>
        </w:rPr>
        <w:t xml:space="preserve"> que el mismo contiene disposiciones bien intencionadas en cuanto a visibilizar los derechos de las personas con diversidad funcional y actualizar el lenguaje legislativo. No obstante, expresó reservas significativas respecto a la viabilidad de implementar ciertos cambios propuestos, particularmente los relacionados con la sustitución del término “persona con impedimento” por “persona con diversidad funcional”, lo cual contraviene el marco regulador federal y podría poner en riesgo el cumplimiento normativo y la asignación de fondos federales.</w:t>
      </w:r>
    </w:p>
    <w:p w14:paraId="770A9A30" w14:textId="55853CD3" w:rsidR="002B3215" w:rsidRPr="002B3215" w:rsidRDefault="002B3215" w:rsidP="00817805">
      <w:pPr>
        <w:pStyle w:val="NormalWeb"/>
        <w:spacing w:line="276" w:lineRule="auto"/>
        <w:jc w:val="both"/>
        <w:rPr>
          <w:rFonts w:ascii="Book Antiqua" w:hAnsi="Book Antiqua"/>
        </w:rPr>
      </w:pPr>
      <w:r w:rsidRPr="002B3215">
        <w:rPr>
          <w:rFonts w:ascii="Book Antiqua" w:hAnsi="Book Antiqua"/>
        </w:rPr>
        <w:t xml:space="preserve">A pesar de ello, la ARV destacó que el proyecto incluye aspectos loables, tales como el establecimiento de un registro de datos que incluye información crítica de las personas con impedimentos, lo cual podría ser útil en situaciones de emergencia; la promoción de </w:t>
      </w:r>
      <w:r w:rsidRPr="002B3215">
        <w:rPr>
          <w:rFonts w:ascii="Book Antiqua" w:hAnsi="Book Antiqua"/>
        </w:rPr>
        <w:lastRenderedPageBreak/>
        <w:t>adiestramientos de sensibilización para personal que presta servicios a esta población; y el fortalecimiento del acceso a servicios médicos continuos para personas diagnosticadas durante la niñez con condiciones crónicas. De igual forma, valoró positivamente la disposición sobre el acceso a instalaciones sin barreras arquitectónicas, que refuerza lo ya dispuesto en la Ley ADA y en otras leyes estatales.</w:t>
      </w:r>
    </w:p>
    <w:p w14:paraId="6CCA2A15" w14:textId="77777777" w:rsidR="002B3215" w:rsidRPr="002B3215" w:rsidRDefault="002B3215" w:rsidP="00817805">
      <w:pPr>
        <w:pStyle w:val="NormalWeb"/>
        <w:spacing w:line="276" w:lineRule="auto"/>
        <w:jc w:val="both"/>
        <w:rPr>
          <w:rFonts w:ascii="Book Antiqua" w:hAnsi="Book Antiqua"/>
        </w:rPr>
      </w:pPr>
      <w:r w:rsidRPr="002B3215">
        <w:rPr>
          <w:rFonts w:ascii="Book Antiqua" w:hAnsi="Book Antiqua"/>
        </w:rPr>
        <w:t>Sin embargo, la agencia puntualizó que muchas de estas disposiciones ya están contempladas en el ordenamiento jurídico vigente y forman parte de sus deberes actuales. Por consiguiente, aunque el proyecto aparenta innovar en ciertas áreas, en realidad podría resultar redundante o innecesario desde una perspectiva normativa. Además, recalcó que el marco legal existente ya establece con claridad la responsabilidad gubernamental de garantizar adiestramientos, accesibilidad y prestación de servicios adecuados a esta población.</w:t>
      </w:r>
    </w:p>
    <w:p w14:paraId="22BD5134" w14:textId="4A7AE391" w:rsidR="002B3215" w:rsidRPr="002B3215" w:rsidRDefault="002B3215" w:rsidP="00817805">
      <w:pPr>
        <w:pStyle w:val="NormalWeb"/>
        <w:spacing w:line="276" w:lineRule="auto"/>
        <w:jc w:val="both"/>
        <w:rPr>
          <w:rFonts w:ascii="Book Antiqua" w:hAnsi="Book Antiqua"/>
        </w:rPr>
      </w:pPr>
      <w:r w:rsidRPr="002B3215">
        <w:rPr>
          <w:rFonts w:ascii="Book Antiqua" w:hAnsi="Book Antiqua"/>
        </w:rPr>
        <w:t xml:space="preserve">Otro punto de especial preocupación </w:t>
      </w:r>
      <w:r w:rsidR="001B0224">
        <w:rPr>
          <w:rFonts w:ascii="Book Antiqua" w:hAnsi="Book Antiqua"/>
        </w:rPr>
        <w:t xml:space="preserve">para la ARV </w:t>
      </w:r>
      <w:r w:rsidRPr="002B3215">
        <w:rPr>
          <w:rFonts w:ascii="Book Antiqua" w:hAnsi="Book Antiqua"/>
        </w:rPr>
        <w:t xml:space="preserve">es la imposición de nuevos términos legales en la legislación vigente sin un análisis integral de sus consecuencias operacionales. Tal como indicó la ARV, cualquier modificación del vocabulario oficial podría ocasionar conflictos con los informes de cumplimiento federales y dificultar la coordinación </w:t>
      </w:r>
      <w:proofErr w:type="spellStart"/>
      <w:r w:rsidRPr="002B3215">
        <w:rPr>
          <w:rFonts w:ascii="Book Antiqua" w:hAnsi="Book Antiqua"/>
        </w:rPr>
        <w:t>interagencial</w:t>
      </w:r>
      <w:proofErr w:type="spellEnd"/>
      <w:r w:rsidRPr="002B3215">
        <w:rPr>
          <w:rFonts w:ascii="Book Antiqua" w:hAnsi="Book Antiqua"/>
        </w:rPr>
        <w:t xml:space="preserve"> con otras entidades también regidas por normativas federales. En efecto, sustituir términos normativos sin atender los requisitos de elegibilidad y supervisión establecidos por la </w:t>
      </w:r>
      <w:proofErr w:type="spellStart"/>
      <w:r w:rsidRPr="002B3215">
        <w:rPr>
          <w:rStyle w:val="Emphasis"/>
          <w:rFonts w:ascii="Book Antiqua" w:eastAsiaTheme="majorEastAsia" w:hAnsi="Book Antiqua"/>
        </w:rPr>
        <w:t>Rehabilitation</w:t>
      </w:r>
      <w:proofErr w:type="spellEnd"/>
      <w:r w:rsidRPr="002B3215">
        <w:rPr>
          <w:rStyle w:val="Emphasis"/>
          <w:rFonts w:ascii="Book Antiqua" w:eastAsiaTheme="majorEastAsia" w:hAnsi="Book Antiqua"/>
        </w:rPr>
        <w:t xml:space="preserve"> </w:t>
      </w:r>
      <w:proofErr w:type="spellStart"/>
      <w:r w:rsidRPr="002B3215">
        <w:rPr>
          <w:rStyle w:val="Emphasis"/>
          <w:rFonts w:ascii="Book Antiqua" w:eastAsiaTheme="majorEastAsia" w:hAnsi="Book Antiqua"/>
        </w:rPr>
        <w:t>Services</w:t>
      </w:r>
      <w:proofErr w:type="spellEnd"/>
      <w:r w:rsidRPr="002B3215">
        <w:rPr>
          <w:rStyle w:val="Emphasis"/>
          <w:rFonts w:ascii="Book Antiqua" w:eastAsiaTheme="majorEastAsia" w:hAnsi="Book Antiqua"/>
        </w:rPr>
        <w:t xml:space="preserve"> </w:t>
      </w:r>
      <w:proofErr w:type="spellStart"/>
      <w:r w:rsidRPr="002B3215">
        <w:rPr>
          <w:rStyle w:val="Emphasis"/>
          <w:rFonts w:ascii="Book Antiqua" w:eastAsiaTheme="majorEastAsia" w:hAnsi="Book Antiqua"/>
        </w:rPr>
        <w:t>Administration</w:t>
      </w:r>
      <w:proofErr w:type="spellEnd"/>
      <w:r w:rsidRPr="002B3215">
        <w:rPr>
          <w:rStyle w:val="Emphasis"/>
          <w:rFonts w:ascii="Book Antiqua" w:eastAsiaTheme="majorEastAsia" w:hAnsi="Book Antiqua"/>
        </w:rPr>
        <w:t xml:space="preserve"> (RSA</w:t>
      </w:r>
      <w:r w:rsidR="00B9725A" w:rsidRPr="002B3215">
        <w:rPr>
          <w:rStyle w:val="Emphasis"/>
          <w:rFonts w:ascii="Book Antiqua" w:eastAsiaTheme="majorEastAsia" w:hAnsi="Book Antiqua"/>
        </w:rPr>
        <w:t>)</w:t>
      </w:r>
      <w:r w:rsidR="00B9725A">
        <w:rPr>
          <w:rFonts w:ascii="Book Antiqua" w:hAnsi="Book Antiqua"/>
        </w:rPr>
        <w:t>,</w:t>
      </w:r>
      <w:r w:rsidR="00B9725A" w:rsidRPr="002B3215">
        <w:rPr>
          <w:rFonts w:ascii="Book Antiqua" w:hAnsi="Book Antiqua"/>
        </w:rPr>
        <w:t xml:space="preserve"> entidad</w:t>
      </w:r>
      <w:r w:rsidRPr="002B3215">
        <w:rPr>
          <w:rFonts w:ascii="Book Antiqua" w:hAnsi="Book Antiqua"/>
        </w:rPr>
        <w:t xml:space="preserve"> que monitorea a la ARV a nivel federal</w:t>
      </w:r>
      <w:r w:rsidR="00763E77">
        <w:rPr>
          <w:rFonts w:ascii="Book Antiqua" w:hAnsi="Book Antiqua"/>
        </w:rPr>
        <w:t xml:space="preserve">, </w:t>
      </w:r>
      <w:r w:rsidRPr="002B3215">
        <w:rPr>
          <w:rFonts w:ascii="Book Antiqua" w:hAnsi="Book Antiqua"/>
        </w:rPr>
        <w:t>podría resultar en la pérdida de autonomía programática o incluso de fondos vitales.</w:t>
      </w:r>
    </w:p>
    <w:p w14:paraId="53E10F2E" w14:textId="6D94DAD1" w:rsidR="002B3215" w:rsidRPr="002B3215" w:rsidRDefault="002B3215" w:rsidP="00817805">
      <w:pPr>
        <w:pStyle w:val="NormalWeb"/>
        <w:spacing w:line="276" w:lineRule="auto"/>
        <w:jc w:val="both"/>
        <w:rPr>
          <w:rFonts w:ascii="Book Antiqua" w:hAnsi="Book Antiqua"/>
        </w:rPr>
      </w:pPr>
      <w:r w:rsidRPr="002B3215">
        <w:rPr>
          <w:rFonts w:ascii="Book Antiqua" w:hAnsi="Book Antiqua"/>
        </w:rPr>
        <w:t xml:space="preserve">En términos de política pública, la ARV </w:t>
      </w:r>
      <w:r w:rsidR="00DB41D7">
        <w:rPr>
          <w:rFonts w:ascii="Book Antiqua" w:hAnsi="Book Antiqua"/>
        </w:rPr>
        <w:t>declaró</w:t>
      </w:r>
      <w:r w:rsidR="00B9725A">
        <w:rPr>
          <w:rFonts w:ascii="Book Antiqua" w:hAnsi="Book Antiqua"/>
        </w:rPr>
        <w:t>,</w:t>
      </w:r>
      <w:r w:rsidRPr="002B3215">
        <w:rPr>
          <w:rFonts w:ascii="Book Antiqua" w:hAnsi="Book Antiqua"/>
        </w:rPr>
        <w:t xml:space="preserve"> </w:t>
      </w:r>
      <w:proofErr w:type="gramStart"/>
      <w:r w:rsidRPr="002B3215">
        <w:rPr>
          <w:rFonts w:ascii="Book Antiqua" w:hAnsi="Book Antiqua"/>
        </w:rPr>
        <w:t>que</w:t>
      </w:r>
      <w:proofErr w:type="gramEnd"/>
      <w:r w:rsidR="00B9725A">
        <w:rPr>
          <w:rFonts w:ascii="Book Antiqua" w:hAnsi="Book Antiqua"/>
        </w:rPr>
        <w:t xml:space="preserve"> </w:t>
      </w:r>
      <w:r w:rsidRPr="002B3215">
        <w:rPr>
          <w:rFonts w:ascii="Book Antiqua" w:hAnsi="Book Antiqua"/>
        </w:rPr>
        <w:t>si bien el uso del término “diversidad funcional” puede ser aceptado en contextos informales, educativos o de sensibilización, la política oficial de la agencia debe permanecer atada a los términos legalmente reconocidos. De lo contrario, se comprometería la claridad del proceso de elegibilidad y la uniformidad requerida por los entes federales que supervisan el Programa Estatal de Rehabilitación Vocacional.</w:t>
      </w:r>
    </w:p>
    <w:p w14:paraId="3EC03B06" w14:textId="29DC84BD" w:rsidR="009E04DF" w:rsidRDefault="002B3215" w:rsidP="00817805">
      <w:pPr>
        <w:pStyle w:val="NormalWeb"/>
        <w:spacing w:line="276" w:lineRule="auto"/>
        <w:jc w:val="both"/>
        <w:rPr>
          <w:rFonts w:ascii="Book Antiqua" w:hAnsi="Book Antiqua"/>
          <w:b/>
          <w:bCs/>
        </w:rPr>
      </w:pPr>
      <w:r w:rsidRPr="002B3215">
        <w:rPr>
          <w:rFonts w:ascii="Book Antiqua" w:hAnsi="Book Antiqua"/>
        </w:rPr>
        <w:t>Por último, presentó un recordatorio enfático sobre su compromiso institucional de continuar desarrollando programas de capacitación, adiestramiento y colocación en empleo para personas con impedimentos, en cumplimiento estricto con las leyes estatales y federales vigentes. Agrade</w:t>
      </w:r>
      <w:r w:rsidR="003D6F1D">
        <w:rPr>
          <w:rFonts w:ascii="Book Antiqua" w:hAnsi="Book Antiqua"/>
        </w:rPr>
        <w:t>ció</w:t>
      </w:r>
      <w:r w:rsidRPr="002B3215">
        <w:rPr>
          <w:rFonts w:ascii="Book Antiqua" w:hAnsi="Book Antiqua"/>
        </w:rPr>
        <w:t xml:space="preserve"> la oportunidad de expresarse sobre la medida</w:t>
      </w:r>
      <w:r w:rsidR="00EF0350">
        <w:rPr>
          <w:rFonts w:ascii="Book Antiqua" w:hAnsi="Book Antiqua"/>
        </w:rPr>
        <w:t>. C</w:t>
      </w:r>
      <w:r w:rsidRPr="002B3215">
        <w:rPr>
          <w:rFonts w:ascii="Book Antiqua" w:hAnsi="Book Antiqua"/>
        </w:rPr>
        <w:t xml:space="preserve">oncluyó </w:t>
      </w:r>
      <w:r w:rsidR="00EF0350">
        <w:rPr>
          <w:rFonts w:ascii="Book Antiqua" w:hAnsi="Book Antiqua"/>
        </w:rPr>
        <w:t xml:space="preserve">indicado </w:t>
      </w:r>
      <w:r w:rsidRPr="002B3215">
        <w:rPr>
          <w:rFonts w:ascii="Book Antiqua" w:hAnsi="Book Antiqua"/>
        </w:rPr>
        <w:t xml:space="preserve">que el Proyecto del Senado 423, </w:t>
      </w:r>
      <w:r w:rsidRPr="003D6F1D">
        <w:rPr>
          <w:rStyle w:val="Strong"/>
          <w:rFonts w:ascii="Book Antiqua" w:eastAsiaTheme="majorEastAsia" w:hAnsi="Book Antiqua"/>
          <w:b w:val="0"/>
          <w:bCs w:val="0"/>
        </w:rPr>
        <w:t>aunque contiene disposiciones bien intencionadas</w:t>
      </w:r>
      <w:r w:rsidRPr="003D6F1D">
        <w:rPr>
          <w:rFonts w:ascii="Book Antiqua" w:hAnsi="Book Antiqua"/>
          <w:b/>
          <w:bCs/>
        </w:rPr>
        <w:t xml:space="preserve">, </w:t>
      </w:r>
      <w:r w:rsidRPr="003E3276">
        <w:rPr>
          <w:rFonts w:ascii="Book Antiqua" w:hAnsi="Book Antiqua"/>
        </w:rPr>
        <w:t xml:space="preserve">no </w:t>
      </w:r>
      <w:r w:rsidRPr="003D6F1D">
        <w:rPr>
          <w:rFonts w:ascii="Book Antiqua" w:hAnsi="Book Antiqua"/>
        </w:rPr>
        <w:t>puede ser avalado en su forma actual</w:t>
      </w:r>
      <w:r w:rsidRPr="003D6F1D">
        <w:rPr>
          <w:rFonts w:ascii="Book Antiqua" w:hAnsi="Book Antiqua"/>
          <w:b/>
          <w:bCs/>
        </w:rPr>
        <w:t xml:space="preserve">, </w:t>
      </w:r>
      <w:r w:rsidRPr="003D6F1D">
        <w:rPr>
          <w:rStyle w:val="Strong"/>
          <w:rFonts w:ascii="Book Antiqua" w:eastAsiaTheme="majorEastAsia" w:hAnsi="Book Antiqua"/>
          <w:b w:val="0"/>
          <w:bCs w:val="0"/>
        </w:rPr>
        <w:t xml:space="preserve">por cuanto propone cambios en </w:t>
      </w:r>
      <w:r w:rsidRPr="003D6F1D">
        <w:rPr>
          <w:rStyle w:val="Strong"/>
          <w:rFonts w:ascii="Book Antiqua" w:eastAsiaTheme="majorEastAsia" w:hAnsi="Book Antiqua"/>
          <w:b w:val="0"/>
          <w:bCs w:val="0"/>
        </w:rPr>
        <w:lastRenderedPageBreak/>
        <w:t>la terminología legal que son incompatibles con el marco federal que rige la política pública y la operatividad de la agencia</w:t>
      </w:r>
      <w:r w:rsidRPr="003D6F1D">
        <w:rPr>
          <w:rFonts w:ascii="Book Antiqua" w:hAnsi="Book Antiqua"/>
          <w:b/>
          <w:bCs/>
        </w:rPr>
        <w:t>.</w:t>
      </w:r>
    </w:p>
    <w:p w14:paraId="59442AB6" w14:textId="360D13E3" w:rsidR="002E3A0A" w:rsidRDefault="001E332D" w:rsidP="002E3A0A">
      <w:pPr>
        <w:pStyle w:val="NormalWeb"/>
        <w:spacing w:line="276" w:lineRule="auto"/>
        <w:jc w:val="center"/>
        <w:rPr>
          <w:rFonts w:ascii="Book Antiqua" w:hAnsi="Book Antiqua"/>
          <w:b/>
          <w:bCs/>
        </w:rPr>
      </w:pPr>
      <w:r>
        <w:rPr>
          <w:rFonts w:ascii="Book Antiqua" w:hAnsi="Book Antiqua"/>
          <w:b/>
          <w:bCs/>
        </w:rPr>
        <w:t xml:space="preserve">OFICINA DE </w:t>
      </w:r>
      <w:r w:rsidR="002E3A0A" w:rsidRPr="005375E1">
        <w:rPr>
          <w:rFonts w:ascii="Book Antiqua" w:hAnsi="Book Antiqua"/>
          <w:b/>
          <w:bCs/>
        </w:rPr>
        <w:t>DEFENSOR</w:t>
      </w:r>
      <w:r w:rsidR="002E3A0A">
        <w:rPr>
          <w:rFonts w:ascii="Book Antiqua" w:hAnsi="Book Antiqua"/>
          <w:b/>
          <w:bCs/>
        </w:rPr>
        <w:t>Í</w:t>
      </w:r>
      <w:r w:rsidR="002E3A0A" w:rsidRPr="005375E1">
        <w:rPr>
          <w:rFonts w:ascii="Book Antiqua" w:hAnsi="Book Antiqua"/>
          <w:b/>
          <w:bCs/>
        </w:rPr>
        <w:t>A DE PERSONAS CON IMPEDIMIENTOS</w:t>
      </w:r>
      <w:r w:rsidR="002E3A0A">
        <w:rPr>
          <w:rFonts w:ascii="Book Antiqua" w:hAnsi="Book Antiqua"/>
          <w:b/>
          <w:bCs/>
        </w:rPr>
        <w:t xml:space="preserve"> (DPI)</w:t>
      </w:r>
    </w:p>
    <w:p w14:paraId="2727628F" w14:textId="465DE70D" w:rsidR="002E3A0A" w:rsidRDefault="002E3A0A" w:rsidP="002E3A0A">
      <w:pPr>
        <w:spacing w:line="276" w:lineRule="auto"/>
        <w:jc w:val="both"/>
        <w:rPr>
          <w:rFonts w:ascii="Book Antiqua" w:eastAsia="Calibri" w:hAnsi="Book Antiqua" w:cs="Times New Roman"/>
          <w:kern w:val="2"/>
          <w:sz w:val="24"/>
          <w:szCs w:val="24"/>
          <w:lang w:val="es-ES"/>
          <w14:ligatures w14:val="standardContextual"/>
        </w:rPr>
      </w:pPr>
      <w:r w:rsidRPr="00CE1892">
        <w:rPr>
          <w:rFonts w:ascii="Book Antiqua" w:eastAsia="Calibri" w:hAnsi="Book Antiqua" w:cs="Times New Roman"/>
          <w:kern w:val="2"/>
          <w:sz w:val="24"/>
          <w:szCs w:val="24"/>
          <w:lang w:val="es-ES"/>
          <w14:ligatures w14:val="standardContextual"/>
        </w:rPr>
        <w:t>Esta Ilustre Comisión tuvo la oportunidad de examinar los comentarios presentados por la</w:t>
      </w:r>
      <w:r w:rsidRPr="00CE1892">
        <w:rPr>
          <w:rFonts w:ascii="Book Antiqua" w:eastAsia="Calibri" w:hAnsi="Book Antiqua" w:cs="Times New Roman"/>
          <w:b/>
          <w:bCs/>
          <w:kern w:val="2"/>
          <w:sz w:val="24"/>
          <w:szCs w:val="24"/>
          <w:lang w:val="es-ES"/>
          <w14:ligatures w14:val="standardContextual"/>
        </w:rPr>
        <w:t xml:space="preserve"> </w:t>
      </w:r>
      <w:r w:rsidR="001E332D">
        <w:rPr>
          <w:rFonts w:ascii="Book Antiqua" w:eastAsia="Calibri" w:hAnsi="Book Antiqua" w:cs="Times New Roman"/>
          <w:b/>
          <w:bCs/>
          <w:kern w:val="2"/>
          <w:sz w:val="24"/>
          <w:szCs w:val="24"/>
          <w:lang w:val="es-ES"/>
          <w14:ligatures w14:val="standardContextual"/>
        </w:rPr>
        <w:t xml:space="preserve">Oficina de </w:t>
      </w:r>
      <w:r>
        <w:rPr>
          <w:rFonts w:ascii="Book Antiqua" w:eastAsia="Calibri" w:hAnsi="Book Antiqua" w:cs="Times New Roman"/>
          <w:b/>
          <w:bCs/>
          <w:kern w:val="2"/>
          <w:sz w:val="24"/>
          <w:szCs w:val="24"/>
          <w:lang w:val="es-ES"/>
          <w14:ligatures w14:val="standardContextual"/>
        </w:rPr>
        <w:t>Defensoría de Personas con Impedimentos</w:t>
      </w:r>
      <w:r w:rsidRPr="00CE1892">
        <w:rPr>
          <w:rFonts w:ascii="Book Antiqua" w:eastAsia="Calibri" w:hAnsi="Book Antiqua" w:cs="Times New Roman"/>
          <w:b/>
          <w:bCs/>
          <w:kern w:val="2"/>
          <w:sz w:val="24"/>
          <w:szCs w:val="24"/>
          <w:lang w:val="es-ES"/>
          <w14:ligatures w14:val="standardContextual"/>
        </w:rPr>
        <w:t xml:space="preserve"> </w:t>
      </w:r>
      <w:r>
        <w:rPr>
          <w:rFonts w:ascii="Book Antiqua" w:eastAsia="Calibri" w:hAnsi="Book Antiqua" w:cs="Times New Roman"/>
          <w:b/>
          <w:bCs/>
          <w:kern w:val="2"/>
          <w:sz w:val="24"/>
          <w:szCs w:val="24"/>
          <w:lang w:val="es-ES"/>
          <w14:ligatures w14:val="standardContextual"/>
        </w:rPr>
        <w:t xml:space="preserve">(DPI) </w:t>
      </w:r>
      <w:r w:rsidRPr="00CE1892">
        <w:rPr>
          <w:rFonts w:ascii="Book Antiqua" w:eastAsia="Calibri" w:hAnsi="Book Antiqua" w:cs="Times New Roman"/>
          <w:kern w:val="2"/>
          <w:sz w:val="24"/>
          <w:szCs w:val="24"/>
          <w:lang w:val="es-ES"/>
          <w14:ligatures w14:val="standardContextual"/>
        </w:rPr>
        <w:t xml:space="preserve">quien presentó su Memorial Explicativo por conducto de </w:t>
      </w:r>
      <w:r>
        <w:rPr>
          <w:rFonts w:ascii="Book Antiqua" w:eastAsia="Calibri" w:hAnsi="Book Antiqua" w:cs="Times New Roman"/>
          <w:kern w:val="2"/>
          <w:sz w:val="24"/>
          <w:szCs w:val="24"/>
          <w:lang w:val="es-ES"/>
          <w14:ligatures w14:val="standardContextual"/>
        </w:rPr>
        <w:t>su Defensor Interino</w:t>
      </w:r>
      <w:r w:rsidRPr="00CE1892">
        <w:rPr>
          <w:rFonts w:ascii="Book Antiqua" w:hAnsi="Book Antiqua"/>
          <w:sz w:val="24"/>
          <w:szCs w:val="24"/>
          <w:lang w:val="es-ES"/>
        </w:rPr>
        <w:t>,</w:t>
      </w:r>
      <w:r>
        <w:rPr>
          <w:rFonts w:ascii="Book Antiqua" w:hAnsi="Book Antiqua"/>
          <w:sz w:val="24"/>
          <w:szCs w:val="24"/>
          <w:lang w:val="es-ES"/>
        </w:rPr>
        <w:t xml:space="preserve"> Lcdo.</w:t>
      </w:r>
      <w:r w:rsidRPr="00CE1892">
        <w:rPr>
          <w:rFonts w:ascii="Book Antiqua" w:hAnsi="Book Antiqua"/>
          <w:sz w:val="24"/>
          <w:szCs w:val="24"/>
          <w:lang w:val="es-ES"/>
        </w:rPr>
        <w:t xml:space="preserve"> </w:t>
      </w:r>
      <w:r>
        <w:rPr>
          <w:rFonts w:ascii="Book Antiqua" w:hAnsi="Book Antiqua"/>
          <w:sz w:val="24"/>
          <w:szCs w:val="24"/>
          <w:lang w:val="es-ES"/>
        </w:rPr>
        <w:t>Juan José Troche Villeneuve</w:t>
      </w:r>
      <w:r w:rsidRPr="00CE1892">
        <w:rPr>
          <w:rFonts w:ascii="Book Antiqua" w:hAnsi="Book Antiqua"/>
          <w:sz w:val="24"/>
          <w:szCs w:val="24"/>
          <w:lang w:val="es-ES"/>
        </w:rPr>
        <w:t>.</w:t>
      </w:r>
      <w:r w:rsidRPr="00CE1892">
        <w:rPr>
          <w:rFonts w:ascii="Book Antiqua" w:eastAsia="Calibri" w:hAnsi="Book Antiqua" w:cs="Times New Roman"/>
          <w:kern w:val="2"/>
          <w:sz w:val="24"/>
          <w:szCs w:val="24"/>
          <w:lang w:val="es-ES"/>
          <w14:ligatures w14:val="standardContextual"/>
        </w:rPr>
        <w:t xml:space="preserve"> </w:t>
      </w:r>
    </w:p>
    <w:p w14:paraId="2CFCC4A5" w14:textId="7F7FE1D3" w:rsidR="002E3A0A" w:rsidRPr="00B863EC" w:rsidRDefault="002E3A0A" w:rsidP="002E3A0A">
      <w:pPr>
        <w:pStyle w:val="NormalWeb"/>
        <w:spacing w:line="276" w:lineRule="auto"/>
        <w:jc w:val="both"/>
        <w:rPr>
          <w:rFonts w:ascii="Book Antiqua" w:hAnsi="Book Antiqua"/>
          <w:b/>
          <w:bCs/>
        </w:rPr>
      </w:pPr>
      <w:r>
        <w:rPr>
          <w:rFonts w:ascii="Book Antiqua" w:hAnsi="Book Antiqua"/>
        </w:rPr>
        <w:t>L</w:t>
      </w:r>
      <w:r w:rsidRPr="0018299A">
        <w:rPr>
          <w:rFonts w:ascii="Book Antiqua" w:hAnsi="Book Antiqua"/>
        </w:rPr>
        <w:t>a Oficina de la Defensoría de las Personas con Impedimentos</w:t>
      </w:r>
      <w:r>
        <w:rPr>
          <w:rFonts w:ascii="Book Antiqua" w:hAnsi="Book Antiqua"/>
        </w:rPr>
        <w:t xml:space="preserve"> señaló</w:t>
      </w:r>
      <w:r w:rsidR="001E332D">
        <w:rPr>
          <w:rFonts w:ascii="Book Antiqua" w:hAnsi="Book Antiqua"/>
        </w:rPr>
        <w:t xml:space="preserve">, </w:t>
      </w:r>
      <w:r w:rsidRPr="0018299A">
        <w:rPr>
          <w:rFonts w:ascii="Book Antiqua" w:hAnsi="Book Antiqua"/>
        </w:rPr>
        <w:t>que el Proyecto del Senado 423</w:t>
      </w:r>
      <w:r w:rsidR="001E332D">
        <w:rPr>
          <w:rFonts w:ascii="Book Antiqua" w:hAnsi="Book Antiqua"/>
        </w:rPr>
        <w:t xml:space="preserve"> </w:t>
      </w:r>
      <w:r w:rsidRPr="00224A06">
        <w:rPr>
          <w:rStyle w:val="Strong"/>
          <w:rFonts w:ascii="Book Antiqua" w:eastAsiaTheme="majorEastAsia" w:hAnsi="Book Antiqua"/>
          <w:b w:val="0"/>
          <w:bCs w:val="0"/>
        </w:rPr>
        <w:t>aunque bien intencionado, resulta jurídicamente problemático en su redacción actual</w:t>
      </w:r>
      <w:r w:rsidRPr="0018299A">
        <w:rPr>
          <w:rFonts w:ascii="Book Antiqua" w:hAnsi="Book Antiqua"/>
        </w:rPr>
        <w:t>. El uso inapropiado del término “diversidad funcional” no solo representa una desviación del marco normativo local y federal, sino que podría acarrear consecuencias adversas para la población con impedimentos, al desprotegerlos mediante una clasificación ambigua. Por t</w:t>
      </w:r>
      <w:r>
        <w:rPr>
          <w:rFonts w:ascii="Book Antiqua" w:hAnsi="Book Antiqua"/>
        </w:rPr>
        <w:t>al razón,</w:t>
      </w:r>
      <w:r w:rsidRPr="0018299A">
        <w:rPr>
          <w:rFonts w:ascii="Book Antiqua" w:hAnsi="Book Antiqua"/>
        </w:rPr>
        <w:t xml:space="preserve"> la DPI recom</w:t>
      </w:r>
      <w:r>
        <w:rPr>
          <w:rFonts w:ascii="Book Antiqua" w:hAnsi="Book Antiqua"/>
        </w:rPr>
        <w:t>endó</w:t>
      </w:r>
      <w:r w:rsidRPr="0018299A">
        <w:rPr>
          <w:rFonts w:ascii="Book Antiqua" w:hAnsi="Book Antiqua"/>
        </w:rPr>
        <w:t xml:space="preserve"> que la medida </w:t>
      </w:r>
      <w:r w:rsidRPr="00B863EC">
        <w:rPr>
          <w:rStyle w:val="Strong"/>
          <w:rFonts w:ascii="Book Antiqua" w:eastAsiaTheme="majorEastAsia" w:hAnsi="Book Antiqua"/>
          <w:b w:val="0"/>
          <w:bCs w:val="0"/>
        </w:rPr>
        <w:t>no sea aprobada mientras no se atiendan las objeciones legales y técnicas.</w:t>
      </w:r>
    </w:p>
    <w:p w14:paraId="7810A65C" w14:textId="77777777" w:rsidR="002E3A0A" w:rsidRPr="0018299A" w:rsidRDefault="002E3A0A" w:rsidP="002E3A0A">
      <w:pPr>
        <w:pStyle w:val="NormalWeb"/>
        <w:spacing w:line="276" w:lineRule="auto"/>
        <w:jc w:val="both"/>
        <w:rPr>
          <w:rFonts w:ascii="Book Antiqua" w:hAnsi="Book Antiqua"/>
        </w:rPr>
      </w:pPr>
      <w:r w:rsidRPr="0018299A">
        <w:rPr>
          <w:rFonts w:ascii="Book Antiqua" w:hAnsi="Book Antiqua"/>
        </w:rPr>
        <w:t>Para comenzar, uno de los ejes centrales del análisis de la DPI se centr</w:t>
      </w:r>
      <w:r>
        <w:rPr>
          <w:rFonts w:ascii="Book Antiqua" w:hAnsi="Book Antiqua"/>
        </w:rPr>
        <w:t>ó</w:t>
      </w:r>
      <w:r w:rsidRPr="0018299A">
        <w:rPr>
          <w:rFonts w:ascii="Book Antiqua" w:hAnsi="Book Antiqua"/>
        </w:rPr>
        <w:t xml:space="preserve"> en la </w:t>
      </w:r>
      <w:r w:rsidRPr="004943E8">
        <w:rPr>
          <w:rStyle w:val="Strong"/>
          <w:rFonts w:ascii="Book Antiqua" w:eastAsiaTheme="majorEastAsia" w:hAnsi="Book Antiqua"/>
          <w:b w:val="0"/>
          <w:bCs w:val="0"/>
        </w:rPr>
        <w:t>inadecuada utilización del término “diversidad funcional”</w:t>
      </w:r>
      <w:r w:rsidRPr="0018299A">
        <w:rPr>
          <w:rFonts w:ascii="Book Antiqua" w:hAnsi="Book Antiqua"/>
        </w:rPr>
        <w:t>. Según se señal</w:t>
      </w:r>
      <w:r>
        <w:rPr>
          <w:rFonts w:ascii="Book Antiqua" w:hAnsi="Book Antiqua"/>
        </w:rPr>
        <w:t>ó</w:t>
      </w:r>
      <w:r w:rsidRPr="0018299A">
        <w:rPr>
          <w:rFonts w:ascii="Book Antiqua" w:hAnsi="Book Antiqua"/>
        </w:rPr>
        <w:t xml:space="preserve">, dicho concepto, aunque desarrollado con fines inclusivos en otras jurisdicciones como España, </w:t>
      </w:r>
      <w:r w:rsidRPr="007172DF">
        <w:rPr>
          <w:rStyle w:val="Strong"/>
          <w:rFonts w:ascii="Book Antiqua" w:eastAsiaTheme="majorEastAsia" w:hAnsi="Book Antiqua"/>
          <w:b w:val="0"/>
          <w:bCs w:val="0"/>
        </w:rPr>
        <w:t>no ha sido adoptado ni reconocido formalmente por organismos internacionales, como la Organización Mundial de la Salud (OMS), ni por la legislación federal de los Estados</w:t>
      </w:r>
      <w:r w:rsidRPr="0018299A">
        <w:rPr>
          <w:rStyle w:val="Strong"/>
          <w:rFonts w:ascii="Book Antiqua" w:eastAsiaTheme="majorEastAsia" w:hAnsi="Book Antiqua"/>
        </w:rPr>
        <w:t xml:space="preserve"> </w:t>
      </w:r>
      <w:r w:rsidRPr="0078565B">
        <w:rPr>
          <w:rStyle w:val="Strong"/>
          <w:rFonts w:ascii="Book Antiqua" w:eastAsiaTheme="majorEastAsia" w:hAnsi="Book Antiqua"/>
          <w:b w:val="0"/>
          <w:bCs w:val="0"/>
        </w:rPr>
        <w:t>Unidos</w:t>
      </w:r>
      <w:r w:rsidRPr="0078565B">
        <w:rPr>
          <w:rFonts w:ascii="Book Antiqua" w:hAnsi="Book Antiqua"/>
          <w:b/>
          <w:bCs/>
        </w:rPr>
        <w:t>,</w:t>
      </w:r>
      <w:r w:rsidRPr="0018299A">
        <w:rPr>
          <w:rFonts w:ascii="Book Antiqua" w:hAnsi="Book Antiqua"/>
        </w:rPr>
        <w:t xml:space="preserve"> que rige a Puerto Rico. En este contexto, resalt</w:t>
      </w:r>
      <w:r>
        <w:rPr>
          <w:rFonts w:ascii="Book Antiqua" w:hAnsi="Book Antiqua"/>
        </w:rPr>
        <w:t>ó</w:t>
      </w:r>
      <w:r w:rsidRPr="0018299A">
        <w:rPr>
          <w:rFonts w:ascii="Book Antiqua" w:hAnsi="Book Antiqua"/>
        </w:rPr>
        <w:t xml:space="preserve"> que el informe citado en la exposición de motivos del proyecto fue mal interpretado, pues el documento oficial se titula </w:t>
      </w:r>
      <w:r w:rsidRPr="0018299A">
        <w:rPr>
          <w:rStyle w:val="Emphasis"/>
          <w:rFonts w:ascii="Book Antiqua" w:eastAsiaTheme="majorEastAsia" w:hAnsi="Book Antiqua"/>
        </w:rPr>
        <w:t xml:space="preserve">Global </w:t>
      </w:r>
      <w:proofErr w:type="spellStart"/>
      <w:r w:rsidRPr="0018299A">
        <w:rPr>
          <w:rStyle w:val="Emphasis"/>
          <w:rFonts w:ascii="Book Antiqua" w:eastAsiaTheme="majorEastAsia" w:hAnsi="Book Antiqua"/>
        </w:rPr>
        <w:t>Report</w:t>
      </w:r>
      <w:proofErr w:type="spellEnd"/>
      <w:r w:rsidRPr="0018299A">
        <w:rPr>
          <w:rStyle w:val="Emphasis"/>
          <w:rFonts w:ascii="Book Antiqua" w:eastAsiaTheme="majorEastAsia" w:hAnsi="Book Antiqua"/>
        </w:rPr>
        <w:t xml:space="preserve"> </w:t>
      </w:r>
      <w:proofErr w:type="spellStart"/>
      <w:r w:rsidRPr="0018299A">
        <w:rPr>
          <w:rStyle w:val="Emphasis"/>
          <w:rFonts w:ascii="Book Antiqua" w:eastAsiaTheme="majorEastAsia" w:hAnsi="Book Antiqua"/>
        </w:rPr>
        <w:t>on</w:t>
      </w:r>
      <w:proofErr w:type="spellEnd"/>
      <w:r w:rsidRPr="0018299A">
        <w:rPr>
          <w:rStyle w:val="Emphasis"/>
          <w:rFonts w:ascii="Book Antiqua" w:eastAsiaTheme="majorEastAsia" w:hAnsi="Book Antiqua"/>
        </w:rPr>
        <w:t xml:space="preserve"> </w:t>
      </w:r>
      <w:proofErr w:type="spellStart"/>
      <w:r w:rsidRPr="0018299A">
        <w:rPr>
          <w:rStyle w:val="Emphasis"/>
          <w:rFonts w:ascii="Book Antiqua" w:eastAsiaTheme="majorEastAsia" w:hAnsi="Book Antiqua"/>
        </w:rPr>
        <w:t>Health</w:t>
      </w:r>
      <w:proofErr w:type="spellEnd"/>
      <w:r w:rsidRPr="0018299A">
        <w:rPr>
          <w:rStyle w:val="Emphasis"/>
          <w:rFonts w:ascii="Book Antiqua" w:eastAsiaTheme="majorEastAsia" w:hAnsi="Book Antiqua"/>
        </w:rPr>
        <w:t xml:space="preserve"> </w:t>
      </w:r>
      <w:proofErr w:type="spellStart"/>
      <w:r w:rsidRPr="0018299A">
        <w:rPr>
          <w:rStyle w:val="Emphasis"/>
          <w:rFonts w:ascii="Book Antiqua" w:eastAsiaTheme="majorEastAsia" w:hAnsi="Book Antiqua"/>
        </w:rPr>
        <w:t>Equity</w:t>
      </w:r>
      <w:proofErr w:type="spellEnd"/>
      <w:r w:rsidRPr="0018299A">
        <w:rPr>
          <w:rStyle w:val="Emphasis"/>
          <w:rFonts w:ascii="Book Antiqua" w:eastAsiaTheme="majorEastAsia" w:hAnsi="Book Antiqua"/>
        </w:rPr>
        <w:t xml:space="preserve"> </w:t>
      </w:r>
      <w:proofErr w:type="spellStart"/>
      <w:r w:rsidRPr="0018299A">
        <w:rPr>
          <w:rStyle w:val="Emphasis"/>
          <w:rFonts w:ascii="Book Antiqua" w:eastAsiaTheme="majorEastAsia" w:hAnsi="Book Antiqua"/>
        </w:rPr>
        <w:t>for</w:t>
      </w:r>
      <w:proofErr w:type="spellEnd"/>
      <w:r w:rsidRPr="0018299A">
        <w:rPr>
          <w:rStyle w:val="Emphasis"/>
          <w:rFonts w:ascii="Book Antiqua" w:eastAsiaTheme="majorEastAsia" w:hAnsi="Book Antiqua"/>
        </w:rPr>
        <w:t xml:space="preserve"> </w:t>
      </w:r>
      <w:proofErr w:type="spellStart"/>
      <w:r w:rsidRPr="0018299A">
        <w:rPr>
          <w:rStyle w:val="Emphasis"/>
          <w:rFonts w:ascii="Book Antiqua" w:eastAsiaTheme="majorEastAsia" w:hAnsi="Book Antiqua"/>
        </w:rPr>
        <w:t>Persons</w:t>
      </w:r>
      <w:proofErr w:type="spellEnd"/>
      <w:r w:rsidRPr="0018299A">
        <w:rPr>
          <w:rStyle w:val="Emphasis"/>
          <w:rFonts w:ascii="Book Antiqua" w:eastAsiaTheme="majorEastAsia" w:hAnsi="Book Antiqua"/>
        </w:rPr>
        <w:t xml:space="preserve"> </w:t>
      </w:r>
      <w:proofErr w:type="spellStart"/>
      <w:r w:rsidRPr="0018299A">
        <w:rPr>
          <w:rStyle w:val="Emphasis"/>
          <w:rFonts w:ascii="Book Antiqua" w:eastAsiaTheme="majorEastAsia" w:hAnsi="Book Antiqua"/>
        </w:rPr>
        <w:t>with</w:t>
      </w:r>
      <w:proofErr w:type="spellEnd"/>
      <w:r w:rsidRPr="0018299A">
        <w:rPr>
          <w:rStyle w:val="Emphasis"/>
          <w:rFonts w:ascii="Book Antiqua" w:eastAsiaTheme="majorEastAsia" w:hAnsi="Book Antiqua"/>
        </w:rPr>
        <w:t xml:space="preserve"> </w:t>
      </w:r>
      <w:proofErr w:type="spellStart"/>
      <w:r w:rsidRPr="0018299A">
        <w:rPr>
          <w:rStyle w:val="Emphasis"/>
          <w:rFonts w:ascii="Book Antiqua" w:eastAsiaTheme="majorEastAsia" w:hAnsi="Book Antiqua"/>
        </w:rPr>
        <w:t>Disabilities</w:t>
      </w:r>
      <w:proofErr w:type="spellEnd"/>
      <w:r w:rsidRPr="0018299A">
        <w:rPr>
          <w:rFonts w:ascii="Book Antiqua" w:hAnsi="Book Antiqua"/>
        </w:rPr>
        <w:t>, y no hace referencia alguna a “diversidad funcional” como clasificación jurídica o sanitaria.</w:t>
      </w:r>
    </w:p>
    <w:p w14:paraId="31CB0F02" w14:textId="1E7D4BB7" w:rsidR="002E3A0A" w:rsidRPr="0018299A" w:rsidRDefault="002E3A0A" w:rsidP="002E3A0A">
      <w:pPr>
        <w:pStyle w:val="NormalWeb"/>
        <w:spacing w:line="276" w:lineRule="auto"/>
        <w:jc w:val="both"/>
        <w:rPr>
          <w:rFonts w:ascii="Book Antiqua" w:hAnsi="Book Antiqua"/>
        </w:rPr>
      </w:pPr>
      <w:r w:rsidRPr="0018299A">
        <w:rPr>
          <w:rFonts w:ascii="Book Antiqua" w:hAnsi="Book Antiqua"/>
        </w:rPr>
        <w:t>Además, la DPI destac</w:t>
      </w:r>
      <w:r>
        <w:rPr>
          <w:rFonts w:ascii="Book Antiqua" w:hAnsi="Book Antiqua"/>
        </w:rPr>
        <w:t>ó</w:t>
      </w:r>
      <w:r w:rsidR="001E332D">
        <w:rPr>
          <w:rFonts w:ascii="Book Antiqua" w:hAnsi="Book Antiqua"/>
        </w:rPr>
        <w:t xml:space="preserve">, </w:t>
      </w:r>
      <w:r w:rsidRPr="0018299A">
        <w:rPr>
          <w:rFonts w:ascii="Book Antiqua" w:hAnsi="Book Antiqua"/>
        </w:rPr>
        <w:t xml:space="preserve">que la sustitución del término “persona con impedimento” por “persona con diversidad funcional” </w:t>
      </w:r>
      <w:r w:rsidRPr="00657BB5">
        <w:rPr>
          <w:rStyle w:val="Strong"/>
          <w:rFonts w:ascii="Book Antiqua" w:eastAsiaTheme="majorEastAsia" w:hAnsi="Book Antiqua"/>
          <w:b w:val="0"/>
          <w:bCs w:val="0"/>
        </w:rPr>
        <w:t>implica una modificación conceptual de alto riesgo jurídico</w:t>
      </w:r>
      <w:r w:rsidRPr="00657BB5">
        <w:rPr>
          <w:rFonts w:ascii="Book Antiqua" w:hAnsi="Book Antiqua"/>
          <w:b/>
          <w:bCs/>
        </w:rPr>
        <w:t>,</w:t>
      </w:r>
      <w:r w:rsidRPr="0018299A">
        <w:rPr>
          <w:rFonts w:ascii="Book Antiqua" w:hAnsi="Book Antiqua"/>
        </w:rPr>
        <w:t xml:space="preserve"> al disolver los criterios establecidos por leyes como la Ley 238-2004 (Carta de Derechos de las Personas con Impedimentos), el </w:t>
      </w:r>
      <w:proofErr w:type="spellStart"/>
      <w:r w:rsidRPr="0018299A">
        <w:rPr>
          <w:rFonts w:ascii="Book Antiqua" w:hAnsi="Book Antiqua"/>
        </w:rPr>
        <w:t>Rehabilitation</w:t>
      </w:r>
      <w:proofErr w:type="spellEnd"/>
      <w:r w:rsidRPr="0018299A">
        <w:rPr>
          <w:rFonts w:ascii="Book Antiqua" w:hAnsi="Book Antiqua"/>
        </w:rPr>
        <w:t xml:space="preserve"> </w:t>
      </w:r>
      <w:proofErr w:type="spellStart"/>
      <w:r w:rsidRPr="0018299A">
        <w:rPr>
          <w:rFonts w:ascii="Book Antiqua" w:hAnsi="Book Antiqua"/>
        </w:rPr>
        <w:t>Act</w:t>
      </w:r>
      <w:proofErr w:type="spellEnd"/>
      <w:r w:rsidRPr="0018299A">
        <w:rPr>
          <w:rFonts w:ascii="Book Antiqua" w:hAnsi="Book Antiqua"/>
        </w:rPr>
        <w:t xml:space="preserve"> </w:t>
      </w:r>
      <w:proofErr w:type="spellStart"/>
      <w:r w:rsidRPr="0018299A">
        <w:rPr>
          <w:rFonts w:ascii="Book Antiqua" w:hAnsi="Book Antiqua"/>
        </w:rPr>
        <w:t>of</w:t>
      </w:r>
      <w:proofErr w:type="spellEnd"/>
      <w:r w:rsidRPr="0018299A">
        <w:rPr>
          <w:rFonts w:ascii="Book Antiqua" w:hAnsi="Book Antiqua"/>
        </w:rPr>
        <w:t xml:space="preserve"> 1973, y la </w:t>
      </w:r>
      <w:proofErr w:type="spellStart"/>
      <w:r w:rsidRPr="0018299A">
        <w:rPr>
          <w:rFonts w:ascii="Book Antiqua" w:hAnsi="Book Antiqua"/>
        </w:rPr>
        <w:t>Developmental</w:t>
      </w:r>
      <w:proofErr w:type="spellEnd"/>
      <w:r w:rsidRPr="0018299A">
        <w:rPr>
          <w:rFonts w:ascii="Book Antiqua" w:hAnsi="Book Antiqua"/>
        </w:rPr>
        <w:t xml:space="preserve"> </w:t>
      </w:r>
      <w:proofErr w:type="spellStart"/>
      <w:r w:rsidRPr="0018299A">
        <w:rPr>
          <w:rFonts w:ascii="Book Antiqua" w:hAnsi="Book Antiqua"/>
        </w:rPr>
        <w:t>Disabilities</w:t>
      </w:r>
      <w:proofErr w:type="spellEnd"/>
      <w:r w:rsidRPr="0018299A">
        <w:rPr>
          <w:rFonts w:ascii="Book Antiqua" w:hAnsi="Book Antiqua"/>
        </w:rPr>
        <w:t xml:space="preserve"> </w:t>
      </w:r>
      <w:proofErr w:type="spellStart"/>
      <w:r w:rsidRPr="0018299A">
        <w:rPr>
          <w:rFonts w:ascii="Book Antiqua" w:hAnsi="Book Antiqua"/>
        </w:rPr>
        <w:t>Assistance</w:t>
      </w:r>
      <w:proofErr w:type="spellEnd"/>
      <w:r w:rsidRPr="0018299A">
        <w:rPr>
          <w:rFonts w:ascii="Book Antiqua" w:hAnsi="Book Antiqua"/>
        </w:rPr>
        <w:t xml:space="preserve"> and Bill </w:t>
      </w:r>
      <w:proofErr w:type="spellStart"/>
      <w:r w:rsidRPr="0018299A">
        <w:rPr>
          <w:rFonts w:ascii="Book Antiqua" w:hAnsi="Book Antiqua"/>
        </w:rPr>
        <w:t>of</w:t>
      </w:r>
      <w:proofErr w:type="spellEnd"/>
      <w:r w:rsidRPr="0018299A">
        <w:rPr>
          <w:rFonts w:ascii="Book Antiqua" w:hAnsi="Book Antiqua"/>
        </w:rPr>
        <w:t xml:space="preserve"> </w:t>
      </w:r>
      <w:proofErr w:type="spellStart"/>
      <w:r w:rsidRPr="0018299A">
        <w:rPr>
          <w:rFonts w:ascii="Book Antiqua" w:hAnsi="Book Antiqua"/>
        </w:rPr>
        <w:t>Rights</w:t>
      </w:r>
      <w:proofErr w:type="spellEnd"/>
      <w:r w:rsidRPr="0018299A">
        <w:rPr>
          <w:rFonts w:ascii="Book Antiqua" w:hAnsi="Book Antiqua"/>
        </w:rPr>
        <w:t xml:space="preserve"> </w:t>
      </w:r>
      <w:proofErr w:type="spellStart"/>
      <w:r w:rsidRPr="0018299A">
        <w:rPr>
          <w:rFonts w:ascii="Book Antiqua" w:hAnsi="Book Antiqua"/>
        </w:rPr>
        <w:t>Act</w:t>
      </w:r>
      <w:proofErr w:type="spellEnd"/>
      <w:r w:rsidRPr="0018299A">
        <w:rPr>
          <w:rFonts w:ascii="Book Antiqua" w:hAnsi="Book Antiqua"/>
        </w:rPr>
        <w:t xml:space="preserve"> </w:t>
      </w:r>
      <w:proofErr w:type="spellStart"/>
      <w:r w:rsidRPr="0018299A">
        <w:rPr>
          <w:rFonts w:ascii="Book Antiqua" w:hAnsi="Book Antiqua"/>
        </w:rPr>
        <w:t>of</w:t>
      </w:r>
      <w:proofErr w:type="spellEnd"/>
      <w:r w:rsidRPr="0018299A">
        <w:rPr>
          <w:rFonts w:ascii="Book Antiqua" w:hAnsi="Book Antiqua"/>
        </w:rPr>
        <w:t xml:space="preserve"> 2000. A diferencia de estos cuerpos legales, que exigen una limitación sustancial en actividades importantes de la vida diaria, el término “diversidad funcional” posee un carácter vago y excesivamente abarcador, lo cual podría generar confusión jurídica, debilitando las protecciones específicas de quienes verdaderamente presentan impedimentos documentados.</w:t>
      </w:r>
    </w:p>
    <w:p w14:paraId="560B95AB" w14:textId="40FE97DB" w:rsidR="002E3A0A" w:rsidRPr="0018299A" w:rsidRDefault="002E3A0A" w:rsidP="002E3A0A">
      <w:pPr>
        <w:pStyle w:val="NormalWeb"/>
        <w:spacing w:line="276" w:lineRule="auto"/>
        <w:jc w:val="both"/>
        <w:rPr>
          <w:rFonts w:ascii="Book Antiqua" w:hAnsi="Book Antiqua"/>
        </w:rPr>
      </w:pPr>
      <w:r w:rsidRPr="0018299A">
        <w:rPr>
          <w:rFonts w:ascii="Book Antiqua" w:hAnsi="Book Antiqua"/>
        </w:rPr>
        <w:lastRenderedPageBreak/>
        <w:t>Por otro lado, desde un análisis estrictamente legal, la Defensoría advi</w:t>
      </w:r>
      <w:r>
        <w:rPr>
          <w:rFonts w:ascii="Book Antiqua" w:hAnsi="Book Antiqua"/>
        </w:rPr>
        <w:t>rtió</w:t>
      </w:r>
      <w:r w:rsidRPr="0018299A">
        <w:rPr>
          <w:rFonts w:ascii="Book Antiqua" w:hAnsi="Book Antiqua"/>
        </w:rPr>
        <w:t xml:space="preserve"> que el lenguaje propuesto podría </w:t>
      </w:r>
      <w:r w:rsidRPr="0044433A">
        <w:rPr>
          <w:rStyle w:val="Strong"/>
          <w:rFonts w:ascii="Book Antiqua" w:eastAsiaTheme="majorEastAsia" w:hAnsi="Book Antiqua"/>
          <w:b w:val="0"/>
          <w:bCs w:val="0"/>
        </w:rPr>
        <w:t>violar la cláusula de supremacía contenida en la Constitución de los Estados Unidos</w:t>
      </w:r>
      <w:r w:rsidRPr="0044433A">
        <w:rPr>
          <w:rFonts w:ascii="Book Antiqua" w:hAnsi="Book Antiqua"/>
          <w:b/>
          <w:bCs/>
        </w:rPr>
        <w:t xml:space="preserve">, </w:t>
      </w:r>
      <w:r w:rsidRPr="0018299A">
        <w:rPr>
          <w:rFonts w:ascii="Book Antiqua" w:hAnsi="Book Antiqua"/>
        </w:rPr>
        <w:t xml:space="preserve">al establecer una definición estatal incompatible con definiciones federales previamente ocupadas. </w:t>
      </w:r>
      <w:r>
        <w:rPr>
          <w:rFonts w:ascii="Book Antiqua" w:hAnsi="Book Antiqua"/>
        </w:rPr>
        <w:t xml:space="preserve"> Sustentó</w:t>
      </w:r>
      <w:r w:rsidR="001E332D">
        <w:rPr>
          <w:rFonts w:ascii="Book Antiqua" w:hAnsi="Book Antiqua"/>
        </w:rPr>
        <w:t>,</w:t>
      </w:r>
      <w:r>
        <w:rPr>
          <w:rFonts w:ascii="Book Antiqua" w:hAnsi="Book Antiqua"/>
        </w:rPr>
        <w:t xml:space="preserve"> e</w:t>
      </w:r>
      <w:r w:rsidRPr="0018299A">
        <w:rPr>
          <w:rFonts w:ascii="Book Antiqua" w:hAnsi="Book Antiqua"/>
        </w:rPr>
        <w:t>n efecto</w:t>
      </w:r>
      <w:r w:rsidR="001E332D">
        <w:rPr>
          <w:rFonts w:ascii="Book Antiqua" w:hAnsi="Book Antiqua"/>
        </w:rPr>
        <w:t>,</w:t>
      </w:r>
      <w:r>
        <w:rPr>
          <w:rFonts w:ascii="Book Antiqua" w:hAnsi="Book Antiqua"/>
        </w:rPr>
        <w:t xml:space="preserve"> </w:t>
      </w:r>
      <w:proofErr w:type="gramStart"/>
      <w:r>
        <w:rPr>
          <w:rFonts w:ascii="Book Antiqua" w:hAnsi="Book Antiqua"/>
        </w:rPr>
        <w:t>que</w:t>
      </w:r>
      <w:proofErr w:type="gramEnd"/>
      <w:r w:rsidRPr="0018299A">
        <w:rPr>
          <w:rFonts w:ascii="Book Antiqua" w:hAnsi="Book Antiqua"/>
        </w:rPr>
        <w:t xml:space="preserve"> al intentar redefinir un término con alcance legal federal, como lo es “persona con impedimento” (</w:t>
      </w:r>
      <w:proofErr w:type="spellStart"/>
      <w:r w:rsidRPr="0018299A">
        <w:rPr>
          <w:rStyle w:val="Emphasis"/>
          <w:rFonts w:ascii="Book Antiqua" w:eastAsiaTheme="majorEastAsia" w:hAnsi="Book Antiqua"/>
        </w:rPr>
        <w:t>person</w:t>
      </w:r>
      <w:proofErr w:type="spellEnd"/>
      <w:r w:rsidRPr="0018299A">
        <w:rPr>
          <w:rStyle w:val="Emphasis"/>
          <w:rFonts w:ascii="Book Antiqua" w:eastAsiaTheme="majorEastAsia" w:hAnsi="Book Antiqua"/>
        </w:rPr>
        <w:t xml:space="preserve"> </w:t>
      </w:r>
      <w:proofErr w:type="spellStart"/>
      <w:r w:rsidRPr="0018299A">
        <w:rPr>
          <w:rStyle w:val="Emphasis"/>
          <w:rFonts w:ascii="Book Antiqua" w:eastAsiaTheme="majorEastAsia" w:hAnsi="Book Antiqua"/>
        </w:rPr>
        <w:t>with</w:t>
      </w:r>
      <w:proofErr w:type="spellEnd"/>
      <w:r w:rsidRPr="0018299A">
        <w:rPr>
          <w:rStyle w:val="Emphasis"/>
          <w:rFonts w:ascii="Book Antiqua" w:eastAsiaTheme="majorEastAsia" w:hAnsi="Book Antiqua"/>
        </w:rPr>
        <w:t xml:space="preserve"> </w:t>
      </w:r>
      <w:proofErr w:type="spellStart"/>
      <w:r w:rsidRPr="0018299A">
        <w:rPr>
          <w:rStyle w:val="Emphasis"/>
          <w:rFonts w:ascii="Book Antiqua" w:eastAsiaTheme="majorEastAsia" w:hAnsi="Book Antiqua"/>
        </w:rPr>
        <w:t>disability</w:t>
      </w:r>
      <w:proofErr w:type="spellEnd"/>
      <w:r w:rsidRPr="0018299A">
        <w:rPr>
          <w:rFonts w:ascii="Book Antiqua" w:hAnsi="Book Antiqua"/>
        </w:rPr>
        <w:t>), a través de legislación local, se incurre en un acto que podría ser considerado contrario a derecho por los tribunales y susceptible de impugnación.</w:t>
      </w:r>
    </w:p>
    <w:p w14:paraId="1579A813" w14:textId="399F9D46" w:rsidR="002E3A0A" w:rsidRPr="0018299A" w:rsidRDefault="002E3A0A" w:rsidP="002E3A0A">
      <w:pPr>
        <w:pStyle w:val="NormalWeb"/>
        <w:spacing w:line="276" w:lineRule="auto"/>
        <w:jc w:val="both"/>
        <w:rPr>
          <w:rFonts w:ascii="Book Antiqua" w:hAnsi="Book Antiqua"/>
        </w:rPr>
      </w:pPr>
      <w:r w:rsidRPr="0018299A">
        <w:rPr>
          <w:rFonts w:ascii="Book Antiqua" w:hAnsi="Book Antiqua"/>
        </w:rPr>
        <w:t>De igual manera, la DPI manif</w:t>
      </w:r>
      <w:r>
        <w:rPr>
          <w:rFonts w:ascii="Book Antiqua" w:hAnsi="Book Antiqua"/>
        </w:rPr>
        <w:t>estó</w:t>
      </w:r>
      <w:r w:rsidR="001E332D">
        <w:rPr>
          <w:rFonts w:ascii="Book Antiqua" w:hAnsi="Book Antiqua"/>
        </w:rPr>
        <w:t>,</w:t>
      </w:r>
      <w:r w:rsidRPr="0018299A">
        <w:rPr>
          <w:rFonts w:ascii="Book Antiqua" w:hAnsi="Book Antiqua"/>
        </w:rPr>
        <w:t xml:space="preserve"> que la adopción del término “diversidad funcional” </w:t>
      </w:r>
      <w:r w:rsidRPr="008A3E34">
        <w:rPr>
          <w:rStyle w:val="Strong"/>
          <w:rFonts w:ascii="Book Antiqua" w:eastAsiaTheme="majorEastAsia" w:hAnsi="Book Antiqua"/>
          <w:b w:val="0"/>
          <w:bCs w:val="0"/>
        </w:rPr>
        <w:t>diluye el concepto jurídico necesario para poder establecer acciones afirmativas, programas de protección, o acceso diferenciado a servicios</w:t>
      </w:r>
      <w:r w:rsidRPr="0018299A">
        <w:rPr>
          <w:rFonts w:ascii="Book Antiqua" w:hAnsi="Book Antiqua"/>
        </w:rPr>
        <w:t>.</w:t>
      </w:r>
      <w:r>
        <w:rPr>
          <w:rFonts w:ascii="Book Antiqua" w:hAnsi="Book Antiqua"/>
        </w:rPr>
        <w:t xml:space="preserve"> Alertó que,</w:t>
      </w:r>
      <w:r w:rsidRPr="0018299A">
        <w:rPr>
          <w:rFonts w:ascii="Book Antiqua" w:hAnsi="Book Antiqua"/>
        </w:rPr>
        <w:t xml:space="preserve"> </w:t>
      </w:r>
      <w:r>
        <w:rPr>
          <w:rFonts w:ascii="Book Antiqua" w:hAnsi="Book Antiqua"/>
        </w:rPr>
        <w:t>a</w:t>
      </w:r>
      <w:r w:rsidRPr="0018299A">
        <w:rPr>
          <w:rFonts w:ascii="Book Antiqua" w:hAnsi="Book Antiqua"/>
        </w:rPr>
        <w:t>l ampliar el espectro de personas cobijadas bajo este término, sin criterios médicos o funcionales claros, se corre el riesgo de extender beneficios a personas que no enfrentan limitaciones sustanciales, lo cual resulta en una posible “</w:t>
      </w:r>
      <w:proofErr w:type="spellStart"/>
      <w:r w:rsidRPr="0018299A">
        <w:rPr>
          <w:rFonts w:ascii="Book Antiqua" w:hAnsi="Book Antiqua"/>
        </w:rPr>
        <w:t>hiperinclusión</w:t>
      </w:r>
      <w:proofErr w:type="spellEnd"/>
      <w:r w:rsidRPr="0018299A">
        <w:rPr>
          <w:rFonts w:ascii="Book Antiqua" w:hAnsi="Book Antiqua"/>
        </w:rPr>
        <w:t xml:space="preserve">” legislativa. </w:t>
      </w:r>
      <w:r>
        <w:rPr>
          <w:rFonts w:ascii="Book Antiqua" w:hAnsi="Book Antiqua"/>
        </w:rPr>
        <w:t xml:space="preserve"> Alegó</w:t>
      </w:r>
      <w:r w:rsidR="003E7DB8">
        <w:rPr>
          <w:rFonts w:ascii="Book Antiqua" w:hAnsi="Book Antiqua"/>
        </w:rPr>
        <w:t xml:space="preserve">, </w:t>
      </w:r>
      <w:r>
        <w:rPr>
          <w:rFonts w:ascii="Book Antiqua" w:hAnsi="Book Antiqua"/>
        </w:rPr>
        <w:t>que e</w:t>
      </w:r>
      <w:r w:rsidRPr="0018299A">
        <w:rPr>
          <w:rFonts w:ascii="Book Antiqua" w:hAnsi="Book Antiqua"/>
        </w:rPr>
        <w:t>sta expansión indiscriminada podría socavar los fundamentos de política pública existentes al imponer cargas al sistema sin una base técnica legítima.</w:t>
      </w:r>
    </w:p>
    <w:p w14:paraId="7731AA67" w14:textId="1D27F84E" w:rsidR="002E3A0A" w:rsidRPr="0018299A" w:rsidRDefault="002E3A0A" w:rsidP="002E3A0A">
      <w:pPr>
        <w:pStyle w:val="NormalWeb"/>
        <w:spacing w:line="276" w:lineRule="auto"/>
        <w:jc w:val="both"/>
        <w:rPr>
          <w:rFonts w:ascii="Book Antiqua" w:hAnsi="Book Antiqua"/>
        </w:rPr>
      </w:pPr>
      <w:r w:rsidRPr="0018299A">
        <w:rPr>
          <w:rFonts w:ascii="Book Antiqua" w:hAnsi="Book Antiqua"/>
        </w:rPr>
        <w:t>A pesar de estas críticas de fondo, la Defensoría aclar</w:t>
      </w:r>
      <w:r>
        <w:rPr>
          <w:rFonts w:ascii="Book Antiqua" w:hAnsi="Book Antiqua"/>
        </w:rPr>
        <w:t>ó</w:t>
      </w:r>
      <w:r w:rsidRPr="0018299A">
        <w:rPr>
          <w:rFonts w:ascii="Book Antiqua" w:hAnsi="Book Antiqua"/>
        </w:rPr>
        <w:t xml:space="preserve"> que no se opone al objetivo del proyecto de ampliar el acceso, recopilar datos confiables sobre las necesidades de esta población, y establecer mecanismos para la planificación adecuada de servicios. En particular,</w:t>
      </w:r>
      <w:r>
        <w:rPr>
          <w:rFonts w:ascii="Book Antiqua" w:hAnsi="Book Antiqua"/>
        </w:rPr>
        <w:t xml:space="preserve"> acogió positivamente</w:t>
      </w:r>
      <w:r w:rsidRPr="0018299A">
        <w:rPr>
          <w:rFonts w:ascii="Book Antiqua" w:hAnsi="Book Antiqua"/>
        </w:rPr>
        <w:t xml:space="preserve"> la propuesta de crear </w:t>
      </w:r>
      <w:r w:rsidRPr="00047EEE">
        <w:rPr>
          <w:rFonts w:ascii="Book Antiqua" w:hAnsi="Book Antiqua"/>
        </w:rPr>
        <w:t xml:space="preserve">un </w:t>
      </w:r>
      <w:r w:rsidR="00047EEE">
        <w:rPr>
          <w:rFonts w:ascii="Book Antiqua" w:hAnsi="Book Antiqua"/>
        </w:rPr>
        <w:t>“</w:t>
      </w:r>
      <w:r w:rsidRPr="00047EEE">
        <w:rPr>
          <w:rStyle w:val="Emphasis"/>
          <w:rFonts w:ascii="Book Antiqua" w:eastAsiaTheme="majorEastAsia" w:hAnsi="Book Antiqua"/>
          <w:i w:val="0"/>
          <w:iCs w:val="0"/>
        </w:rPr>
        <w:t>Registro Centralizado de Personas con Impedimentos</w:t>
      </w:r>
      <w:r w:rsidR="00A20971">
        <w:rPr>
          <w:rStyle w:val="Emphasis"/>
          <w:rFonts w:ascii="Book Antiqua" w:eastAsiaTheme="majorEastAsia" w:hAnsi="Book Antiqua"/>
          <w:i w:val="0"/>
          <w:iCs w:val="0"/>
        </w:rPr>
        <w:t>”</w:t>
      </w:r>
      <w:r w:rsidRPr="00047EEE">
        <w:rPr>
          <w:rStyle w:val="Emphasis"/>
          <w:rFonts w:ascii="Book Antiqua" w:eastAsiaTheme="majorEastAsia" w:hAnsi="Book Antiqua"/>
          <w:i w:val="0"/>
          <w:iCs w:val="0"/>
        </w:rPr>
        <w:t>,</w:t>
      </w:r>
      <w:r w:rsidRPr="0018299A">
        <w:rPr>
          <w:rFonts w:ascii="Book Antiqua" w:hAnsi="Book Antiqua"/>
        </w:rPr>
        <w:t xml:space="preserve"> siempre que se emplee la terminología jurídica correcta y compatible con el marco normativo vigente. Por consiguiente, la DPI pro</w:t>
      </w:r>
      <w:r>
        <w:rPr>
          <w:rFonts w:ascii="Book Antiqua" w:hAnsi="Book Antiqua"/>
        </w:rPr>
        <w:t>puso</w:t>
      </w:r>
      <w:r w:rsidRPr="0018299A">
        <w:rPr>
          <w:rFonts w:ascii="Book Antiqua" w:hAnsi="Book Antiqua"/>
        </w:rPr>
        <w:t xml:space="preserve"> una redacción alternativa que sustituya el término “diversidad funcional” por “persona con impedimento”, conforme a las definiciones recogidas en la Ley 238-2004 y la normativa federal aplicable. Asimismo, sugi</w:t>
      </w:r>
      <w:r>
        <w:rPr>
          <w:rFonts w:ascii="Book Antiqua" w:hAnsi="Book Antiqua"/>
        </w:rPr>
        <w:t>rió</w:t>
      </w:r>
      <w:r w:rsidRPr="0018299A">
        <w:rPr>
          <w:rFonts w:ascii="Book Antiqua" w:hAnsi="Book Antiqua"/>
        </w:rPr>
        <w:t xml:space="preserve"> ajustes a varias secciones del proyecto, incluyendo correcciones técnicas como sustituir “idioma braille” por “alfabeto Braille”, y la eliminación de expresiones como “personas </w:t>
      </w:r>
      <w:proofErr w:type="spellStart"/>
      <w:r w:rsidRPr="0018299A">
        <w:rPr>
          <w:rFonts w:ascii="Book Antiqua" w:hAnsi="Book Antiqua"/>
        </w:rPr>
        <w:t>neurodiversas</w:t>
      </w:r>
      <w:proofErr w:type="spellEnd"/>
      <w:r w:rsidRPr="0018299A">
        <w:rPr>
          <w:rFonts w:ascii="Book Antiqua" w:hAnsi="Book Antiqua"/>
        </w:rPr>
        <w:t>” por su falta de reconocimiento legal estandarizado.</w:t>
      </w:r>
    </w:p>
    <w:p w14:paraId="476338E3" w14:textId="77777777" w:rsidR="002E3A0A" w:rsidRDefault="002E3A0A" w:rsidP="002E3A0A">
      <w:pPr>
        <w:pStyle w:val="NormalWeb"/>
        <w:spacing w:line="276" w:lineRule="auto"/>
        <w:jc w:val="both"/>
        <w:rPr>
          <w:rFonts w:ascii="Book Antiqua" w:hAnsi="Book Antiqua"/>
        </w:rPr>
      </w:pPr>
      <w:r w:rsidRPr="0018299A">
        <w:rPr>
          <w:rFonts w:ascii="Book Antiqua" w:hAnsi="Book Antiqua"/>
        </w:rPr>
        <w:t>Más allá de las observaciones lingüísticas y jurídicas, la DPI también enfatiz</w:t>
      </w:r>
      <w:r>
        <w:rPr>
          <w:rFonts w:ascii="Book Antiqua" w:hAnsi="Book Antiqua"/>
        </w:rPr>
        <w:t>ó</w:t>
      </w:r>
      <w:r w:rsidRPr="0018299A">
        <w:rPr>
          <w:rFonts w:ascii="Book Antiqua" w:hAnsi="Book Antiqua"/>
        </w:rPr>
        <w:t xml:space="preserve"> la necesidad de evitar confusiones que puedan surgir al intentar implementar tarjetas de identificación en Braille, cuando en realidad muchas personas con impedimentos visuales no dominan dicho sistema. En su lugar, prop</w:t>
      </w:r>
      <w:r>
        <w:rPr>
          <w:rFonts w:ascii="Book Antiqua" w:hAnsi="Book Antiqua"/>
        </w:rPr>
        <w:t>uso</w:t>
      </w:r>
      <w:r w:rsidRPr="0018299A">
        <w:rPr>
          <w:rFonts w:ascii="Book Antiqua" w:hAnsi="Book Antiqua"/>
        </w:rPr>
        <w:t xml:space="preserve"> explorar soluciones tecnológicas ya legisladas, como las etiquetas parlantes utilizadas en farmacias, bajo la Ley 23-2023.</w:t>
      </w:r>
    </w:p>
    <w:p w14:paraId="789723C5" w14:textId="77777777" w:rsidR="002E3A0A" w:rsidRPr="003D6F1D" w:rsidRDefault="002E3A0A" w:rsidP="00817805">
      <w:pPr>
        <w:pStyle w:val="NormalWeb"/>
        <w:spacing w:line="276" w:lineRule="auto"/>
        <w:jc w:val="both"/>
        <w:rPr>
          <w:rFonts w:ascii="Book Antiqua" w:hAnsi="Book Antiqua"/>
          <w:b/>
          <w:bCs/>
        </w:rPr>
      </w:pPr>
    </w:p>
    <w:p w14:paraId="44389E59" w14:textId="7EC90F72" w:rsidR="00FA249B" w:rsidRPr="00C817ED" w:rsidRDefault="00FA249B" w:rsidP="00FA249B">
      <w:pPr>
        <w:spacing w:after="0" w:line="276" w:lineRule="auto"/>
        <w:jc w:val="center"/>
        <w:rPr>
          <w:rFonts w:ascii="Book Antiqua" w:eastAsia="Times New Roman" w:hAnsi="Book Antiqua" w:cs="Times New Roman"/>
          <w:b/>
          <w:sz w:val="24"/>
          <w:szCs w:val="24"/>
          <w:lang w:val="es-ES"/>
        </w:rPr>
      </w:pPr>
      <w:r w:rsidRPr="00401A03">
        <w:rPr>
          <w:rFonts w:ascii="Book Antiqua" w:eastAsia="Times New Roman" w:hAnsi="Book Antiqua" w:cs="Times New Roman"/>
          <w:b/>
          <w:sz w:val="24"/>
          <w:szCs w:val="24"/>
          <w:lang w:val="es-ES"/>
        </w:rPr>
        <w:lastRenderedPageBreak/>
        <w:t>PLAN DE SALUD MENONITA</w:t>
      </w:r>
      <w:r w:rsidR="00384411">
        <w:rPr>
          <w:rFonts w:ascii="Book Antiqua" w:eastAsia="Times New Roman" w:hAnsi="Book Antiqua" w:cs="Times New Roman"/>
          <w:b/>
          <w:sz w:val="24"/>
          <w:szCs w:val="24"/>
          <w:lang w:val="es-ES"/>
        </w:rPr>
        <w:t xml:space="preserve"> (PSM)</w:t>
      </w:r>
    </w:p>
    <w:p w14:paraId="4B1F82B0" w14:textId="77777777" w:rsidR="00FA249B" w:rsidRPr="001C2565" w:rsidRDefault="00FA249B" w:rsidP="00FA249B">
      <w:pPr>
        <w:pStyle w:val="NormalWeb"/>
        <w:spacing w:line="276" w:lineRule="auto"/>
        <w:jc w:val="both"/>
        <w:rPr>
          <w:rFonts w:ascii="Book Antiqua" w:hAnsi="Book Antiqua"/>
          <w:b/>
          <w:bCs/>
        </w:rPr>
      </w:pPr>
      <w:bookmarkStart w:id="3" w:name="_Hlk200392057"/>
      <w:r w:rsidRPr="00B2740A">
        <w:rPr>
          <w:rFonts w:ascii="Book Antiqua" w:hAnsi="Book Antiqua"/>
          <w:lang w:val="es-ES"/>
        </w:rPr>
        <w:t xml:space="preserve">El </w:t>
      </w:r>
      <w:r w:rsidRPr="00384411">
        <w:rPr>
          <w:rFonts w:ascii="Book Antiqua" w:hAnsi="Book Antiqua"/>
          <w:b/>
          <w:bCs/>
          <w:lang w:val="es-ES"/>
        </w:rPr>
        <w:t>Plan de Salud Menonita (PSM)</w:t>
      </w:r>
      <w:r w:rsidRPr="00B2740A">
        <w:rPr>
          <w:rFonts w:ascii="Book Antiqua" w:hAnsi="Book Antiqua"/>
          <w:lang w:val="es-ES"/>
        </w:rPr>
        <w:t xml:space="preserve"> cursó sus comentarios a esta Distinguida Comisión en contra de la aprobación del </w:t>
      </w:r>
      <w:r>
        <w:rPr>
          <w:rFonts w:ascii="Book Antiqua" w:hAnsi="Book Antiqua"/>
          <w:lang w:val="es-ES"/>
        </w:rPr>
        <w:t>P. del S.</w:t>
      </w:r>
      <w:r w:rsidRPr="00B2740A">
        <w:rPr>
          <w:rFonts w:ascii="Book Antiqua" w:hAnsi="Book Antiqua"/>
          <w:lang w:val="es-ES"/>
        </w:rPr>
        <w:t xml:space="preserve"> 406</w:t>
      </w:r>
      <w:r>
        <w:rPr>
          <w:rFonts w:ascii="Book Antiqua" w:hAnsi="Book Antiqua"/>
          <w:lang w:val="es-ES"/>
        </w:rPr>
        <w:t xml:space="preserve">. El Memorial Explicativo fue </w:t>
      </w:r>
      <w:r w:rsidRPr="00B2740A">
        <w:rPr>
          <w:rFonts w:ascii="Book Antiqua" w:hAnsi="Book Antiqua"/>
          <w:lang w:val="es-ES"/>
        </w:rPr>
        <w:t xml:space="preserve">suscrito por su </w:t>
      </w:r>
      <w:proofErr w:type="gramStart"/>
      <w:r w:rsidRPr="00B2740A">
        <w:rPr>
          <w:rFonts w:ascii="Book Antiqua" w:hAnsi="Book Antiqua"/>
          <w:lang w:val="es-ES"/>
        </w:rPr>
        <w:t>Vicepresidenta</w:t>
      </w:r>
      <w:proofErr w:type="gramEnd"/>
      <w:r w:rsidRPr="00B2740A">
        <w:rPr>
          <w:rFonts w:ascii="Book Antiqua" w:hAnsi="Book Antiqua"/>
          <w:lang w:val="es-ES"/>
        </w:rPr>
        <w:t xml:space="preserve"> Ejecutiva, Nanette Dumont López</w:t>
      </w:r>
      <w:r>
        <w:rPr>
          <w:rFonts w:ascii="Book Antiqua" w:hAnsi="Book Antiqua"/>
          <w:lang w:val="es-ES"/>
        </w:rPr>
        <w:t xml:space="preserve">. </w:t>
      </w:r>
      <w:r w:rsidRPr="00B2740A">
        <w:rPr>
          <w:rFonts w:ascii="Book Antiqua" w:hAnsi="Book Antiqua" w:cs="Arial"/>
        </w:rPr>
        <w:t xml:space="preserve">Señaló, </w:t>
      </w:r>
      <w:bookmarkEnd w:id="3"/>
      <w:r>
        <w:rPr>
          <w:rFonts w:ascii="Book Antiqua" w:hAnsi="Book Antiqua"/>
        </w:rPr>
        <w:t>a</w:t>
      </w:r>
      <w:r w:rsidRPr="0093339F">
        <w:rPr>
          <w:rFonts w:ascii="Book Antiqua" w:hAnsi="Book Antiqua"/>
        </w:rPr>
        <w:t>unque la intención legislativa parece loable y responde a una necesidad genuina de equidad en el acceso a los servicios, P</w:t>
      </w:r>
      <w:r>
        <w:rPr>
          <w:rFonts w:ascii="Book Antiqua" w:hAnsi="Book Antiqua"/>
        </w:rPr>
        <w:t xml:space="preserve">lan de </w:t>
      </w:r>
      <w:r w:rsidRPr="0093339F">
        <w:rPr>
          <w:rFonts w:ascii="Book Antiqua" w:hAnsi="Book Antiqua"/>
        </w:rPr>
        <w:t>S</w:t>
      </w:r>
      <w:r>
        <w:rPr>
          <w:rFonts w:ascii="Book Antiqua" w:hAnsi="Book Antiqua"/>
        </w:rPr>
        <w:t xml:space="preserve">alud </w:t>
      </w:r>
      <w:r w:rsidRPr="0093339F">
        <w:rPr>
          <w:rFonts w:ascii="Book Antiqua" w:hAnsi="Book Antiqua"/>
        </w:rPr>
        <w:t>M</w:t>
      </w:r>
      <w:r>
        <w:rPr>
          <w:rFonts w:ascii="Book Antiqua" w:hAnsi="Book Antiqua"/>
        </w:rPr>
        <w:t>enonita</w:t>
      </w:r>
      <w:r w:rsidRPr="0093339F">
        <w:rPr>
          <w:rFonts w:ascii="Book Antiqua" w:hAnsi="Book Antiqua"/>
        </w:rPr>
        <w:t xml:space="preserve"> expresa</w:t>
      </w:r>
      <w:r>
        <w:rPr>
          <w:rFonts w:ascii="Book Antiqua" w:hAnsi="Book Antiqua"/>
        </w:rPr>
        <w:t xml:space="preserve"> </w:t>
      </w:r>
      <w:r w:rsidRPr="001C2565">
        <w:rPr>
          <w:rStyle w:val="Strong"/>
          <w:rFonts w:ascii="Book Antiqua" w:eastAsiaTheme="majorEastAsia" w:hAnsi="Book Antiqua"/>
          <w:b w:val="0"/>
          <w:bCs w:val="0"/>
        </w:rPr>
        <w:t>no avalar, la aprobación del proyecto sin antes realizar una revisión exhaustiva de su contenido, su impacto presupuestario, y su compatibilidad con las leyes y reglamentos vigentes</w:t>
      </w:r>
      <w:r w:rsidRPr="001C2565">
        <w:rPr>
          <w:rFonts w:ascii="Book Antiqua" w:hAnsi="Book Antiqua"/>
          <w:b/>
          <w:bCs/>
        </w:rPr>
        <w:t>.</w:t>
      </w:r>
    </w:p>
    <w:p w14:paraId="12E58949" w14:textId="70D41132" w:rsidR="00FA249B" w:rsidRPr="0093339F" w:rsidRDefault="003374AB" w:rsidP="00FA249B">
      <w:pPr>
        <w:pStyle w:val="NormalWeb"/>
        <w:spacing w:line="276" w:lineRule="auto"/>
        <w:jc w:val="both"/>
        <w:rPr>
          <w:rFonts w:ascii="Book Antiqua" w:hAnsi="Book Antiqua"/>
        </w:rPr>
      </w:pPr>
      <w:r>
        <w:rPr>
          <w:rFonts w:ascii="Book Antiqua" w:hAnsi="Book Antiqua"/>
        </w:rPr>
        <w:t>D</w:t>
      </w:r>
      <w:r w:rsidR="00FA249B" w:rsidRPr="0093339F">
        <w:rPr>
          <w:rFonts w:ascii="Book Antiqua" w:hAnsi="Book Antiqua"/>
        </w:rPr>
        <w:t>estac</w:t>
      </w:r>
      <w:r w:rsidR="00FA249B">
        <w:rPr>
          <w:rFonts w:ascii="Book Antiqua" w:hAnsi="Book Antiqua"/>
        </w:rPr>
        <w:t>ó</w:t>
      </w:r>
      <w:r>
        <w:rPr>
          <w:rFonts w:ascii="Book Antiqua" w:hAnsi="Book Antiqua"/>
        </w:rPr>
        <w:t>,</w:t>
      </w:r>
      <w:r w:rsidR="00FA249B" w:rsidRPr="0093339F">
        <w:rPr>
          <w:rFonts w:ascii="Book Antiqua" w:hAnsi="Book Antiqua"/>
        </w:rPr>
        <w:t xml:space="preserve"> que el proyecto propone enmiendas a la Ley Orgánica del Departamento de Salud con el objetivo de establecer un Registro Centralizado de Pacientes con Diversidad Funcional Crónica. </w:t>
      </w:r>
      <w:proofErr w:type="gramStart"/>
      <w:r w:rsidR="00FA249B">
        <w:rPr>
          <w:rFonts w:ascii="Book Antiqua" w:hAnsi="Book Antiqua"/>
        </w:rPr>
        <w:t>Esbozó</w:t>
      </w:r>
      <w:r w:rsidR="002304B3">
        <w:rPr>
          <w:rFonts w:ascii="Book Antiqua" w:hAnsi="Book Antiqua"/>
        </w:rPr>
        <w:t xml:space="preserve">, </w:t>
      </w:r>
      <w:r w:rsidR="00FA249B">
        <w:rPr>
          <w:rFonts w:ascii="Book Antiqua" w:hAnsi="Book Antiqua"/>
        </w:rPr>
        <w:t xml:space="preserve"> </w:t>
      </w:r>
      <w:r w:rsidR="002304B3">
        <w:rPr>
          <w:rFonts w:ascii="Book Antiqua" w:hAnsi="Book Antiqua"/>
        </w:rPr>
        <w:t>que</w:t>
      </w:r>
      <w:proofErr w:type="gramEnd"/>
      <w:r w:rsidR="002304B3">
        <w:rPr>
          <w:rFonts w:ascii="Book Antiqua" w:hAnsi="Book Antiqua"/>
        </w:rPr>
        <w:t xml:space="preserve"> a</w:t>
      </w:r>
      <w:r w:rsidR="00FA249B">
        <w:rPr>
          <w:rFonts w:ascii="Book Antiqua" w:hAnsi="Book Antiqua"/>
        </w:rPr>
        <w:t xml:space="preserve"> </w:t>
      </w:r>
      <w:r w:rsidR="00FA249B" w:rsidRPr="0093339F">
        <w:rPr>
          <w:rFonts w:ascii="Book Antiqua" w:hAnsi="Book Antiqua"/>
        </w:rPr>
        <w:t>primera vista, esta medida podría representar un paso positivo hacia la recopilación de datos útiles para la formulación de política pública. No obstante, PSM advirti</w:t>
      </w:r>
      <w:r w:rsidR="00FA249B">
        <w:rPr>
          <w:rFonts w:ascii="Book Antiqua" w:hAnsi="Book Antiqua"/>
        </w:rPr>
        <w:t>ó</w:t>
      </w:r>
      <w:r w:rsidR="002304B3">
        <w:rPr>
          <w:rFonts w:ascii="Book Antiqua" w:hAnsi="Book Antiqua"/>
        </w:rPr>
        <w:t>,</w:t>
      </w:r>
      <w:r w:rsidR="00FA249B" w:rsidRPr="0093339F">
        <w:rPr>
          <w:rFonts w:ascii="Book Antiqua" w:hAnsi="Book Antiqua"/>
        </w:rPr>
        <w:t xml:space="preserve"> </w:t>
      </w:r>
      <w:r w:rsidR="002304B3" w:rsidRPr="0093339F">
        <w:rPr>
          <w:rFonts w:ascii="Book Antiqua" w:hAnsi="Book Antiqua"/>
        </w:rPr>
        <w:t>que para</w:t>
      </w:r>
      <w:r w:rsidR="00FA249B" w:rsidRPr="0093339F">
        <w:rPr>
          <w:rFonts w:ascii="Book Antiqua" w:hAnsi="Book Antiqua"/>
        </w:rPr>
        <w:t xml:space="preserve"> que dicho registro cumpla con los estándares de uniformidad y precisión requeridos, es indispensable que se establezcan guías técnicas claras, particularmente en torno al uso de codificación diagnóstica (ICD-10). De lo contrario, </w:t>
      </w:r>
      <w:r w:rsidR="00FA249B">
        <w:rPr>
          <w:rFonts w:ascii="Book Antiqua" w:hAnsi="Book Antiqua"/>
        </w:rPr>
        <w:t xml:space="preserve">aseveró que </w:t>
      </w:r>
      <w:r w:rsidR="00FA249B" w:rsidRPr="0093339F">
        <w:rPr>
          <w:rFonts w:ascii="Book Antiqua" w:hAnsi="Book Antiqua"/>
        </w:rPr>
        <w:t>el registro corre el riesgo de convertirse en un mecanismo inconsistente y poco confiable, dificultando la identificación precisa de los beneficiarios y afectando la validez de los datos que se utilicen para tomar decisiones administrativas o presupuestarias.</w:t>
      </w:r>
    </w:p>
    <w:p w14:paraId="0AD065DA" w14:textId="71636C26" w:rsidR="00FA249B" w:rsidRPr="0093339F" w:rsidRDefault="00FA249B" w:rsidP="00FA249B">
      <w:pPr>
        <w:pStyle w:val="NormalWeb"/>
        <w:spacing w:line="276" w:lineRule="auto"/>
        <w:jc w:val="both"/>
        <w:rPr>
          <w:rFonts w:ascii="Book Antiqua" w:hAnsi="Book Antiqua"/>
        </w:rPr>
      </w:pPr>
      <w:r w:rsidRPr="0093339F">
        <w:rPr>
          <w:rFonts w:ascii="Book Antiqua" w:hAnsi="Book Antiqua"/>
        </w:rPr>
        <w:t>Del mismo modo,</w:t>
      </w:r>
      <w:r>
        <w:rPr>
          <w:rFonts w:ascii="Book Antiqua" w:hAnsi="Book Antiqua"/>
        </w:rPr>
        <w:t xml:space="preserve"> explicó</w:t>
      </w:r>
      <w:r w:rsidR="002304B3">
        <w:rPr>
          <w:rFonts w:ascii="Book Antiqua" w:hAnsi="Book Antiqua"/>
        </w:rPr>
        <w:t xml:space="preserve">, </w:t>
      </w:r>
      <w:r>
        <w:rPr>
          <w:rFonts w:ascii="Book Antiqua" w:hAnsi="Book Antiqua"/>
        </w:rPr>
        <w:t xml:space="preserve">que </w:t>
      </w:r>
      <w:r w:rsidRPr="0093339F">
        <w:rPr>
          <w:rFonts w:ascii="Book Antiqua" w:hAnsi="Book Antiqua"/>
        </w:rPr>
        <w:t xml:space="preserve">el proyecto propone enmiendas sustanciales a la Ley de la Administración de Seguros de Salud (ASES), a los fines de establecer una “Cubierta Especial para Personas con Diversidad Funcional Crónica”. </w:t>
      </w:r>
      <w:r>
        <w:rPr>
          <w:rFonts w:ascii="Book Antiqua" w:hAnsi="Book Antiqua"/>
        </w:rPr>
        <w:t>Aduj</w:t>
      </w:r>
      <w:r w:rsidR="00B362C0">
        <w:rPr>
          <w:rFonts w:ascii="Book Antiqua" w:hAnsi="Book Antiqua"/>
        </w:rPr>
        <w:t>o,</w:t>
      </w:r>
      <w:r>
        <w:rPr>
          <w:rFonts w:ascii="Book Antiqua" w:hAnsi="Book Antiqua"/>
        </w:rPr>
        <w:t xml:space="preserve"> </w:t>
      </w:r>
      <w:proofErr w:type="gramStart"/>
      <w:r>
        <w:rPr>
          <w:rFonts w:ascii="Book Antiqua" w:hAnsi="Book Antiqua"/>
        </w:rPr>
        <w:t>que</w:t>
      </w:r>
      <w:proofErr w:type="gramEnd"/>
      <w:r w:rsidR="00B362C0">
        <w:rPr>
          <w:rFonts w:ascii="Book Antiqua" w:hAnsi="Book Antiqua"/>
        </w:rPr>
        <w:t xml:space="preserve"> </w:t>
      </w:r>
      <w:r>
        <w:rPr>
          <w:rFonts w:ascii="Book Antiqua" w:hAnsi="Book Antiqua"/>
        </w:rPr>
        <w:t>e</w:t>
      </w:r>
      <w:r w:rsidRPr="0093339F">
        <w:rPr>
          <w:rFonts w:ascii="Book Antiqua" w:hAnsi="Book Antiqua"/>
        </w:rPr>
        <w:t xml:space="preserve">n teoría, </w:t>
      </w:r>
      <w:proofErr w:type="spellStart"/>
      <w:r w:rsidRPr="0093339F">
        <w:rPr>
          <w:rFonts w:ascii="Book Antiqua" w:hAnsi="Book Antiqua"/>
        </w:rPr>
        <w:t>esta</w:t>
      </w:r>
      <w:proofErr w:type="spellEnd"/>
      <w:r w:rsidRPr="0093339F">
        <w:rPr>
          <w:rFonts w:ascii="Book Antiqua" w:hAnsi="Book Antiqua"/>
        </w:rPr>
        <w:t xml:space="preserve"> cubierta ampliaría el acceso directo a servicios médicos especializados sin necesidad de referido, lo que parece, en principio, beneficiar a esta población. Sin embargo, </w:t>
      </w:r>
      <w:r w:rsidR="00384411">
        <w:rPr>
          <w:rFonts w:ascii="Book Antiqua" w:hAnsi="Book Antiqua"/>
        </w:rPr>
        <w:t>refut</w:t>
      </w:r>
      <w:r w:rsidR="00384411">
        <w:t>ó</w:t>
      </w:r>
      <w:r w:rsidR="00B362C0">
        <w:t xml:space="preserve"> </w:t>
      </w:r>
      <w:r w:rsidRPr="0093339F">
        <w:rPr>
          <w:rFonts w:ascii="Book Antiqua" w:hAnsi="Book Antiqua"/>
        </w:rPr>
        <w:t>que esta disposición podría generar efectos contraproducentes</w:t>
      </w:r>
      <w:r>
        <w:rPr>
          <w:rFonts w:ascii="Book Antiqua" w:hAnsi="Book Antiqua"/>
        </w:rPr>
        <w:t>,</w:t>
      </w:r>
      <w:r w:rsidRPr="0093339F">
        <w:rPr>
          <w:rFonts w:ascii="Book Antiqua" w:hAnsi="Book Antiqua"/>
        </w:rPr>
        <w:t xml:space="preserve"> </w:t>
      </w:r>
      <w:r>
        <w:rPr>
          <w:rFonts w:ascii="Book Antiqua" w:hAnsi="Book Antiqua"/>
        </w:rPr>
        <w:t>p</w:t>
      </w:r>
      <w:r w:rsidRPr="0093339F">
        <w:rPr>
          <w:rFonts w:ascii="Book Antiqua" w:hAnsi="Book Antiqua"/>
        </w:rPr>
        <w:t>or ejemplo, ampliar la definición de condiciones que cualifiquen para esta cubierta sin establecer límites claros o criterios clínicos específicos podría sobrecargar innecesariamente el sistema de salud, en especial a los especialistas y subespecialistas, cuya disponibilidad es ya limitada.</w:t>
      </w:r>
      <w:r w:rsidR="00D91D51">
        <w:rPr>
          <w:rFonts w:ascii="Book Antiqua" w:hAnsi="Book Antiqua"/>
        </w:rPr>
        <w:t xml:space="preserve"> </w:t>
      </w:r>
      <w:r w:rsidRPr="0093339F">
        <w:rPr>
          <w:rFonts w:ascii="Book Antiqua" w:hAnsi="Book Antiqua"/>
        </w:rPr>
        <w:t>A</w:t>
      </w:r>
      <w:r>
        <w:rPr>
          <w:rFonts w:ascii="Book Antiqua" w:hAnsi="Book Antiqua"/>
        </w:rPr>
        <w:t>dvirtió</w:t>
      </w:r>
      <w:r w:rsidR="00D91D51">
        <w:rPr>
          <w:rFonts w:ascii="Book Antiqua" w:hAnsi="Book Antiqua"/>
        </w:rPr>
        <w:t>, que</w:t>
      </w:r>
      <w:r w:rsidRPr="0093339F">
        <w:rPr>
          <w:rFonts w:ascii="Book Antiqua" w:hAnsi="Book Antiqua"/>
        </w:rPr>
        <w:t xml:space="preserve"> eliminar el requisito de referido del médico primario o pediatra podría debilitar la función coordinadora de estos profesionales, afectando la continuidad y calidad del tratamiento médico. Por ende,</w:t>
      </w:r>
      <w:r>
        <w:rPr>
          <w:rFonts w:ascii="Book Antiqua" w:hAnsi="Book Antiqua"/>
        </w:rPr>
        <w:t xml:space="preserve"> exhortó</w:t>
      </w:r>
      <w:r w:rsidRPr="0093339F">
        <w:rPr>
          <w:rFonts w:ascii="Book Antiqua" w:hAnsi="Book Antiqua"/>
        </w:rPr>
        <w:t xml:space="preserve"> evaluar el impacto actuarial y clínico que esta medida tendría sobre el Programa Vital y considerar los recursos disponibles antes de proceder a su implementación.</w:t>
      </w:r>
    </w:p>
    <w:p w14:paraId="77E015BD" w14:textId="35108620" w:rsidR="00FA249B" w:rsidRPr="0093339F" w:rsidRDefault="00FA249B" w:rsidP="00FA249B">
      <w:pPr>
        <w:pStyle w:val="NormalWeb"/>
        <w:spacing w:line="276" w:lineRule="auto"/>
        <w:jc w:val="both"/>
        <w:rPr>
          <w:rFonts w:ascii="Book Antiqua" w:hAnsi="Book Antiqua"/>
        </w:rPr>
      </w:pPr>
      <w:r>
        <w:rPr>
          <w:rFonts w:ascii="Book Antiqua" w:hAnsi="Book Antiqua"/>
        </w:rPr>
        <w:lastRenderedPageBreak/>
        <w:t>En cuanto a las</w:t>
      </w:r>
      <w:r w:rsidRPr="0093339F">
        <w:rPr>
          <w:rFonts w:ascii="Book Antiqua" w:hAnsi="Book Antiqua"/>
        </w:rPr>
        <w:t xml:space="preserve"> enmiendas a la Carta de Derechos y Responsabilidades del Paciente, mediante las cuales se propone garantizar la disponibilidad de servicios de interpretación en lenguaje de señas y formatos accesibles como el braille</w:t>
      </w:r>
      <w:r w:rsidR="00D91D51">
        <w:rPr>
          <w:rFonts w:ascii="Book Antiqua" w:hAnsi="Book Antiqua"/>
        </w:rPr>
        <w:t>, pl</w:t>
      </w:r>
      <w:r>
        <w:rPr>
          <w:rFonts w:ascii="Book Antiqua" w:hAnsi="Book Antiqua"/>
        </w:rPr>
        <w:t>anteó</w:t>
      </w:r>
      <w:r w:rsidR="009D33F7">
        <w:rPr>
          <w:rFonts w:ascii="Book Antiqua" w:hAnsi="Book Antiqua"/>
        </w:rPr>
        <w:t>,</w:t>
      </w:r>
      <w:r>
        <w:rPr>
          <w:rFonts w:ascii="Book Antiqua" w:hAnsi="Book Antiqua"/>
        </w:rPr>
        <w:t xml:space="preserve"> que</w:t>
      </w:r>
      <w:r w:rsidR="00D91D51">
        <w:rPr>
          <w:rFonts w:ascii="Book Antiqua" w:hAnsi="Book Antiqua"/>
        </w:rPr>
        <w:t xml:space="preserve"> </w:t>
      </w:r>
      <w:r>
        <w:rPr>
          <w:rFonts w:ascii="Book Antiqua" w:hAnsi="Book Antiqua"/>
        </w:rPr>
        <w:t>a</w:t>
      </w:r>
      <w:r w:rsidRPr="0093339F">
        <w:rPr>
          <w:rFonts w:ascii="Book Antiqua" w:hAnsi="Book Antiqua"/>
        </w:rPr>
        <w:t>unque esta disposición puede parecer innovadora, en realidad, ya existen normativas federales y estatales</w:t>
      </w:r>
      <w:r>
        <w:rPr>
          <w:rFonts w:ascii="Book Antiqua" w:hAnsi="Book Antiqua"/>
        </w:rPr>
        <w:t xml:space="preserve">, </w:t>
      </w:r>
      <w:r w:rsidRPr="0093339F">
        <w:rPr>
          <w:rFonts w:ascii="Book Antiqua" w:hAnsi="Book Antiqua"/>
        </w:rPr>
        <w:t>como la Ley de Rehabilitación de 1973 y la Ley ADA</w:t>
      </w:r>
      <w:r>
        <w:rPr>
          <w:rFonts w:ascii="Book Antiqua" w:hAnsi="Book Antiqua"/>
        </w:rPr>
        <w:t xml:space="preserve">, </w:t>
      </w:r>
      <w:r w:rsidRPr="0093339F">
        <w:rPr>
          <w:rFonts w:ascii="Book Antiqua" w:hAnsi="Book Antiqua"/>
        </w:rPr>
        <w:t>que exigen a los proveedores de servicios de salud adoptar medidas de accesibilidad lingüística y comunicacional. En consecuencia,</w:t>
      </w:r>
      <w:r>
        <w:rPr>
          <w:rFonts w:ascii="Book Antiqua" w:hAnsi="Book Antiqua"/>
        </w:rPr>
        <w:t xml:space="preserve"> resaltó</w:t>
      </w:r>
      <w:r w:rsidR="00AB1E72">
        <w:rPr>
          <w:rFonts w:ascii="Book Antiqua" w:hAnsi="Book Antiqua"/>
        </w:rPr>
        <w:t>,</w:t>
      </w:r>
      <w:r>
        <w:rPr>
          <w:rFonts w:ascii="Book Antiqua" w:hAnsi="Book Antiqua"/>
        </w:rPr>
        <w:t xml:space="preserve"> que </w:t>
      </w:r>
      <w:r w:rsidRPr="0093339F">
        <w:rPr>
          <w:rFonts w:ascii="Book Antiqua" w:hAnsi="Book Antiqua"/>
        </w:rPr>
        <w:t>esta propuesta legislativa podría generar una duplicidad normativa innecesaria</w:t>
      </w:r>
      <w:r w:rsidR="00AB1E72">
        <w:rPr>
          <w:rFonts w:ascii="Book Antiqua" w:hAnsi="Book Antiqua"/>
        </w:rPr>
        <w:t xml:space="preserve"> </w:t>
      </w:r>
      <w:r w:rsidRPr="0093339F">
        <w:rPr>
          <w:rFonts w:ascii="Book Antiqua" w:hAnsi="Book Antiqua"/>
        </w:rPr>
        <w:t>sin añadir nuevas garantías legales sustantivas, y sí, en cambio, complicar el cumplimiento regulatorio al introducir posibles inconsistencias entre los niveles federal y estatal.</w:t>
      </w:r>
    </w:p>
    <w:p w14:paraId="6AAEE0AE" w14:textId="36B106BC" w:rsidR="00FA249B" w:rsidRPr="00DA642D" w:rsidRDefault="00FA249B" w:rsidP="00FA249B">
      <w:pPr>
        <w:pStyle w:val="NormalWeb"/>
        <w:spacing w:line="276" w:lineRule="auto"/>
        <w:jc w:val="both"/>
        <w:rPr>
          <w:rFonts w:ascii="Book Antiqua" w:hAnsi="Book Antiqua"/>
          <w:b/>
          <w:bCs/>
        </w:rPr>
      </w:pPr>
      <w:r w:rsidRPr="0093339F">
        <w:rPr>
          <w:rFonts w:ascii="Book Antiqua" w:hAnsi="Book Antiqua"/>
        </w:rPr>
        <w:t>E</w:t>
      </w:r>
      <w:r>
        <w:rPr>
          <w:rFonts w:ascii="Book Antiqua" w:hAnsi="Book Antiqua"/>
        </w:rPr>
        <w:t>l</w:t>
      </w:r>
      <w:r w:rsidRPr="0093339F">
        <w:rPr>
          <w:rFonts w:ascii="Book Antiqua" w:hAnsi="Book Antiqua"/>
        </w:rPr>
        <w:t xml:space="preserve"> P</w:t>
      </w:r>
      <w:r>
        <w:rPr>
          <w:rFonts w:ascii="Book Antiqua" w:hAnsi="Book Antiqua"/>
        </w:rPr>
        <w:t xml:space="preserve">lan de </w:t>
      </w:r>
      <w:r w:rsidRPr="0093339F">
        <w:rPr>
          <w:rFonts w:ascii="Book Antiqua" w:hAnsi="Book Antiqua"/>
        </w:rPr>
        <w:t>S</w:t>
      </w:r>
      <w:r>
        <w:rPr>
          <w:rFonts w:ascii="Book Antiqua" w:hAnsi="Book Antiqua"/>
        </w:rPr>
        <w:t xml:space="preserve">alud </w:t>
      </w:r>
      <w:r w:rsidRPr="0093339F">
        <w:rPr>
          <w:rFonts w:ascii="Book Antiqua" w:hAnsi="Book Antiqua"/>
        </w:rPr>
        <w:t>M</w:t>
      </w:r>
      <w:r>
        <w:rPr>
          <w:rFonts w:ascii="Book Antiqua" w:hAnsi="Book Antiqua"/>
        </w:rPr>
        <w:t>enonita señaló</w:t>
      </w:r>
      <w:r w:rsidR="00AB1E72">
        <w:rPr>
          <w:rFonts w:ascii="Book Antiqua" w:hAnsi="Book Antiqua"/>
        </w:rPr>
        <w:t>,</w:t>
      </w:r>
      <w:r>
        <w:rPr>
          <w:rFonts w:ascii="Book Antiqua" w:hAnsi="Book Antiqua"/>
        </w:rPr>
        <w:t xml:space="preserve"> que </w:t>
      </w:r>
      <w:r w:rsidRPr="0093339F">
        <w:rPr>
          <w:rFonts w:ascii="Book Antiqua" w:hAnsi="Book Antiqua"/>
        </w:rPr>
        <w:t xml:space="preserve">no se opone al objetivo general del proyecto, el cual busca promover una mayor inclusión y equidad en el acceso a los servicios de salud. No obstante, su oposición se basa en fundamentos técnicos concretos: </w:t>
      </w:r>
      <w:r w:rsidRPr="00DA642D">
        <w:rPr>
          <w:rStyle w:val="Strong"/>
          <w:rFonts w:ascii="Book Antiqua" w:eastAsiaTheme="majorEastAsia" w:hAnsi="Book Antiqua"/>
          <w:b w:val="0"/>
          <w:bCs w:val="0"/>
        </w:rPr>
        <w:t>la falta de claridad en la implementación de algunas disposiciones, el riesgo de distorsionar el balance del sistema de salud mediante la sobreutilización de recursos</w:t>
      </w:r>
      <w:r w:rsidRPr="00DA642D">
        <w:rPr>
          <w:rFonts w:ascii="Book Antiqua" w:hAnsi="Book Antiqua"/>
          <w:b/>
          <w:bCs/>
        </w:rPr>
        <w:t xml:space="preserve">, y </w:t>
      </w:r>
      <w:r w:rsidRPr="00DA642D">
        <w:rPr>
          <w:rStyle w:val="Strong"/>
          <w:rFonts w:ascii="Book Antiqua" w:eastAsiaTheme="majorEastAsia" w:hAnsi="Book Antiqua"/>
          <w:b w:val="0"/>
          <w:bCs w:val="0"/>
        </w:rPr>
        <w:t>la omisión de un análisis actuarial y fiscal que permita proyectar el verdadero impacto de la medida</w:t>
      </w:r>
      <w:r w:rsidRPr="00DA642D">
        <w:rPr>
          <w:rFonts w:ascii="Book Antiqua" w:hAnsi="Book Antiqua"/>
          <w:b/>
          <w:bCs/>
        </w:rPr>
        <w:t>.</w:t>
      </w:r>
    </w:p>
    <w:p w14:paraId="51EE5823" w14:textId="72760D19" w:rsidR="00FA249B" w:rsidRDefault="00FA249B" w:rsidP="00FA249B">
      <w:pPr>
        <w:pStyle w:val="NormalWeb"/>
        <w:spacing w:line="276" w:lineRule="auto"/>
        <w:jc w:val="both"/>
        <w:rPr>
          <w:rFonts w:ascii="Book Antiqua" w:hAnsi="Book Antiqua"/>
        </w:rPr>
      </w:pPr>
      <w:r>
        <w:rPr>
          <w:rFonts w:ascii="Book Antiqua" w:hAnsi="Book Antiqua"/>
        </w:rPr>
        <w:t>C</w:t>
      </w:r>
      <w:r w:rsidRPr="0093339F">
        <w:rPr>
          <w:rFonts w:ascii="Book Antiqua" w:hAnsi="Book Antiqua"/>
        </w:rPr>
        <w:t>oncluy</w:t>
      </w:r>
      <w:r>
        <w:rPr>
          <w:rFonts w:ascii="Book Antiqua" w:hAnsi="Book Antiqua"/>
        </w:rPr>
        <w:t>ó</w:t>
      </w:r>
      <w:r w:rsidR="00AB1E72">
        <w:rPr>
          <w:rFonts w:ascii="Book Antiqua" w:hAnsi="Book Antiqua"/>
        </w:rPr>
        <w:t xml:space="preserve">, </w:t>
      </w:r>
      <w:proofErr w:type="gramStart"/>
      <w:r w:rsidR="00AB1E72">
        <w:rPr>
          <w:rFonts w:ascii="Book Antiqua" w:hAnsi="Book Antiqua"/>
        </w:rPr>
        <w:t>que</w:t>
      </w:r>
      <w:proofErr w:type="gramEnd"/>
      <w:r w:rsidRPr="0093339F">
        <w:rPr>
          <w:rFonts w:ascii="Book Antiqua" w:hAnsi="Book Antiqua"/>
        </w:rPr>
        <w:t xml:space="preserve"> si bien el Proyecto del Senado 423 contiene aspectos positivos desde el punto de vista de la sensibilidad social, su aprobación en la forma actual resultaría problemática</w:t>
      </w:r>
      <w:r>
        <w:rPr>
          <w:rFonts w:ascii="Book Antiqua" w:hAnsi="Book Antiqua"/>
        </w:rPr>
        <w:t>, toda vez que la medida</w:t>
      </w:r>
      <w:r w:rsidRPr="0093339F">
        <w:rPr>
          <w:rFonts w:ascii="Book Antiqua" w:hAnsi="Book Antiqua"/>
        </w:rPr>
        <w:t xml:space="preserve">, aunque bien intencionada, presenta lagunas operativas y conceptuales que podrían afectar la eficiencia del sistema de salud, aumentar costos de forma innecesaria y generar conflictos normativos con disposiciones ya existentes. </w:t>
      </w:r>
    </w:p>
    <w:p w14:paraId="7352F88A" w14:textId="77777777" w:rsidR="00FA249B" w:rsidRDefault="00FA249B" w:rsidP="00FA249B">
      <w:pPr>
        <w:pStyle w:val="NormalWeb"/>
        <w:spacing w:line="276" w:lineRule="auto"/>
        <w:jc w:val="center"/>
        <w:rPr>
          <w:rFonts w:ascii="Book Antiqua" w:hAnsi="Book Antiqua"/>
          <w:b/>
          <w:bCs/>
        </w:rPr>
      </w:pPr>
      <w:r w:rsidRPr="00EF46D5">
        <w:rPr>
          <w:rFonts w:ascii="Book Antiqua" w:hAnsi="Book Antiqua"/>
          <w:b/>
          <w:bCs/>
        </w:rPr>
        <w:t>MMM HOLDINGS, LLC</w:t>
      </w:r>
    </w:p>
    <w:p w14:paraId="5115B134" w14:textId="464566D7" w:rsidR="00FA249B" w:rsidRPr="005F6563" w:rsidRDefault="00FA249B" w:rsidP="00FA249B">
      <w:pPr>
        <w:pStyle w:val="NormalWeb"/>
        <w:spacing w:line="276" w:lineRule="auto"/>
        <w:jc w:val="both"/>
        <w:rPr>
          <w:rFonts w:ascii="Book Antiqua" w:hAnsi="Book Antiqua"/>
        </w:rPr>
      </w:pPr>
      <w:r w:rsidRPr="00F14B34">
        <w:rPr>
          <w:rFonts w:ascii="Book Antiqua" w:hAnsi="Book Antiqua"/>
          <w:b/>
          <w:bCs/>
          <w:lang w:val="es-ES"/>
        </w:rPr>
        <w:t>MMM Holdings, LLC</w:t>
      </w:r>
      <w:r>
        <w:rPr>
          <w:rFonts w:ascii="Book Antiqua" w:hAnsi="Book Antiqua"/>
          <w:b/>
          <w:bCs/>
          <w:lang w:val="es-ES"/>
        </w:rPr>
        <w:t>.</w:t>
      </w:r>
      <w:r w:rsidRPr="00F14B34">
        <w:rPr>
          <w:rFonts w:ascii="Book Antiqua" w:hAnsi="Book Antiqua"/>
          <w:b/>
          <w:bCs/>
          <w:lang w:val="es-ES"/>
        </w:rPr>
        <w:t xml:space="preserve"> </w:t>
      </w:r>
      <w:r w:rsidRPr="001D57B7">
        <w:rPr>
          <w:rFonts w:ascii="Book Antiqua" w:hAnsi="Book Antiqua"/>
          <w:lang w:val="es-ES"/>
        </w:rPr>
        <w:t xml:space="preserve">cursó sus comentarios a esta Distinguida Comisión en contra de la aprobación del P. del S. 423. El Memorial Explicativo fue suscrito por su </w:t>
      </w:r>
      <w:proofErr w:type="gramStart"/>
      <w:r w:rsidRPr="001D57B7">
        <w:rPr>
          <w:rFonts w:ascii="Book Antiqua" w:hAnsi="Book Antiqua"/>
          <w:lang w:val="es-ES"/>
        </w:rPr>
        <w:t>Director</w:t>
      </w:r>
      <w:proofErr w:type="gramEnd"/>
      <w:r w:rsidRPr="001D57B7">
        <w:rPr>
          <w:rFonts w:ascii="Book Antiqua" w:hAnsi="Book Antiqua"/>
          <w:lang w:val="es-ES"/>
        </w:rPr>
        <w:t xml:space="preserve"> Senior, Jonathan A. Bonet Rivera</w:t>
      </w:r>
      <w:r w:rsidR="007146F4">
        <w:rPr>
          <w:rFonts w:ascii="Book Antiqua" w:hAnsi="Book Antiqua"/>
          <w:lang w:val="es-ES"/>
        </w:rPr>
        <w:t>.</w:t>
      </w:r>
      <w:r w:rsidRPr="001D57B7">
        <w:rPr>
          <w:rFonts w:ascii="Book Antiqua" w:hAnsi="Book Antiqua"/>
          <w:lang w:val="es-ES"/>
        </w:rPr>
        <w:t xml:space="preserve"> </w:t>
      </w:r>
      <w:r w:rsidR="007146F4">
        <w:rPr>
          <w:rFonts w:ascii="Book Antiqua" w:hAnsi="Book Antiqua"/>
          <w:lang w:val="es-ES"/>
        </w:rPr>
        <w:t>S</w:t>
      </w:r>
      <w:r w:rsidRPr="005F6563">
        <w:rPr>
          <w:rFonts w:ascii="Book Antiqua" w:hAnsi="Book Antiqua"/>
          <w:lang w:val="es-ES"/>
        </w:rPr>
        <w:t>eñaló</w:t>
      </w:r>
      <w:r w:rsidRPr="005F6563">
        <w:rPr>
          <w:rFonts w:ascii="Book Antiqua" w:hAnsi="Book Antiqua"/>
        </w:rPr>
        <w:t xml:space="preserve">, que resulta imprescindible destacar que MMM </w:t>
      </w:r>
      <w:proofErr w:type="spellStart"/>
      <w:r w:rsidRPr="005F6563">
        <w:rPr>
          <w:rFonts w:ascii="Book Antiqua" w:hAnsi="Book Antiqua"/>
        </w:rPr>
        <w:t>Healthcare</w:t>
      </w:r>
      <w:proofErr w:type="spellEnd"/>
      <w:r w:rsidRPr="005F6563">
        <w:rPr>
          <w:rFonts w:ascii="Book Antiqua" w:hAnsi="Book Antiqua"/>
        </w:rPr>
        <w:t xml:space="preserve">, Inc., una de las subsidiarias principales de MMM Holdings, administra exclusivamente el programa federal Medicare </w:t>
      </w:r>
      <w:proofErr w:type="spellStart"/>
      <w:r w:rsidRPr="005F6563">
        <w:rPr>
          <w:rFonts w:ascii="Book Antiqua" w:hAnsi="Book Antiqua"/>
        </w:rPr>
        <w:t>Advantage</w:t>
      </w:r>
      <w:proofErr w:type="spellEnd"/>
      <w:r w:rsidRPr="005F6563">
        <w:rPr>
          <w:rFonts w:ascii="Book Antiqua" w:hAnsi="Book Antiqua"/>
        </w:rPr>
        <w:t xml:space="preserve">, dirigido a personas de 65 años o más. Por tal razón, </w:t>
      </w:r>
      <w:r w:rsidRPr="00F14B34">
        <w:rPr>
          <w:rStyle w:val="Strong"/>
          <w:rFonts w:ascii="Book Antiqua" w:eastAsiaTheme="majorEastAsia" w:hAnsi="Book Antiqua"/>
          <w:b w:val="0"/>
          <w:bCs w:val="0"/>
        </w:rPr>
        <w:t xml:space="preserve">no </w:t>
      </w:r>
      <w:r w:rsidR="00C368B5">
        <w:rPr>
          <w:rStyle w:val="Strong"/>
          <w:rFonts w:ascii="Book Antiqua" w:eastAsiaTheme="majorEastAsia" w:hAnsi="Book Antiqua"/>
          <w:b w:val="0"/>
          <w:bCs w:val="0"/>
        </w:rPr>
        <w:t xml:space="preserve">le </w:t>
      </w:r>
      <w:r w:rsidRPr="00F14B34">
        <w:rPr>
          <w:rStyle w:val="Strong"/>
          <w:rFonts w:ascii="Book Antiqua" w:eastAsiaTheme="majorEastAsia" w:hAnsi="Book Antiqua"/>
          <w:b w:val="0"/>
          <w:bCs w:val="0"/>
        </w:rPr>
        <w:t>corresponde a MMM asumir una postura directa respecto a las implicaciones de la Sección 6 del proyecto sobre este segmento de beneficiarios</w:t>
      </w:r>
      <w:r w:rsidRPr="005F6563">
        <w:rPr>
          <w:rFonts w:ascii="Book Antiqua" w:hAnsi="Book Antiqua"/>
        </w:rPr>
        <w:t xml:space="preserve">, ya que dicha disposición va dirigida al mercado de seguros comerciales y planes grupales o individuales para personas con diversidad funcional diagnosticadas en la etapa pediátrica o juventud. No obstante, esta limitación de alcance no impide que MMM, en su carácter de operador dentro del sistema de salud pública a través de MMM </w:t>
      </w:r>
      <w:proofErr w:type="spellStart"/>
      <w:r w:rsidRPr="005F6563">
        <w:rPr>
          <w:rFonts w:ascii="Book Antiqua" w:hAnsi="Book Antiqua"/>
        </w:rPr>
        <w:lastRenderedPageBreak/>
        <w:t>Multihealth</w:t>
      </w:r>
      <w:proofErr w:type="spellEnd"/>
      <w:r w:rsidRPr="005F6563">
        <w:rPr>
          <w:rFonts w:ascii="Book Antiqua" w:hAnsi="Book Antiqua"/>
        </w:rPr>
        <w:t>, LLC, ofrezca observaciones pertinentes sobre los posibles efectos de la medida en el contexto del Programa Vital.</w:t>
      </w:r>
    </w:p>
    <w:p w14:paraId="483C0775" w14:textId="2208BB24" w:rsidR="00FA249B" w:rsidRPr="005F6563" w:rsidRDefault="00FA249B" w:rsidP="00FA249B">
      <w:pPr>
        <w:pStyle w:val="NormalWeb"/>
        <w:spacing w:line="276" w:lineRule="auto"/>
        <w:jc w:val="both"/>
        <w:rPr>
          <w:rFonts w:ascii="Book Antiqua" w:hAnsi="Book Antiqua"/>
        </w:rPr>
      </w:pPr>
      <w:r w:rsidRPr="005F6563">
        <w:rPr>
          <w:rFonts w:ascii="Book Antiqua" w:hAnsi="Book Antiqua"/>
        </w:rPr>
        <w:t>En ese sentido, MMM plante</w:t>
      </w:r>
      <w:r>
        <w:rPr>
          <w:rFonts w:ascii="Book Antiqua" w:hAnsi="Book Antiqua"/>
        </w:rPr>
        <w:t>ó</w:t>
      </w:r>
      <w:r w:rsidRPr="005F6563">
        <w:rPr>
          <w:rFonts w:ascii="Book Antiqua" w:hAnsi="Book Antiqua"/>
        </w:rPr>
        <w:t xml:space="preserve"> una serie de </w:t>
      </w:r>
      <w:r w:rsidRPr="00764F51">
        <w:rPr>
          <w:rStyle w:val="Strong"/>
          <w:rFonts w:ascii="Book Antiqua" w:eastAsiaTheme="majorEastAsia" w:hAnsi="Book Antiqua"/>
          <w:b w:val="0"/>
          <w:bCs w:val="0"/>
        </w:rPr>
        <w:t>recomendaciones dirigidas a esta Honorable Comisión para que considere, de manera responsable y técnica, la viabilidad real de implementar la cubierta especial propuesta</w:t>
      </w:r>
      <w:r w:rsidRPr="00764F51">
        <w:rPr>
          <w:rFonts w:ascii="Book Antiqua" w:hAnsi="Book Antiqua"/>
          <w:b/>
          <w:bCs/>
        </w:rPr>
        <w:t xml:space="preserve">. </w:t>
      </w:r>
      <w:r w:rsidRPr="005F6563">
        <w:rPr>
          <w:rFonts w:ascii="Book Antiqua" w:hAnsi="Book Antiqua"/>
        </w:rPr>
        <w:t>Primero, sugi</w:t>
      </w:r>
      <w:r>
        <w:rPr>
          <w:rFonts w:ascii="Book Antiqua" w:hAnsi="Book Antiqua"/>
        </w:rPr>
        <w:t>rió</w:t>
      </w:r>
      <w:r w:rsidRPr="005F6563">
        <w:rPr>
          <w:rFonts w:ascii="Book Antiqua" w:hAnsi="Book Antiqua"/>
        </w:rPr>
        <w:t xml:space="preserve"> que ASES, como organismo responsable de la administración del Plan de Salud del Gobierno</w:t>
      </w:r>
      <w:r>
        <w:rPr>
          <w:rFonts w:ascii="Book Antiqua" w:hAnsi="Book Antiqua"/>
        </w:rPr>
        <w:t>,</w:t>
      </w:r>
      <w:r w:rsidRPr="005F6563">
        <w:rPr>
          <w:rFonts w:ascii="Book Antiqua" w:hAnsi="Book Antiqua"/>
        </w:rPr>
        <w:t xml:space="preserve"> someta a evaluación actuarial la medida, de forma que se pueda proyectar con certeza el impacto económico que podría implicar para el sistema. </w:t>
      </w:r>
      <w:r>
        <w:rPr>
          <w:rFonts w:ascii="Book Antiqua" w:hAnsi="Book Antiqua"/>
        </w:rPr>
        <w:t>Sostuvo</w:t>
      </w:r>
      <w:r w:rsidR="00C73A0F">
        <w:rPr>
          <w:rFonts w:ascii="Book Antiqua" w:hAnsi="Book Antiqua"/>
        </w:rPr>
        <w:t>,</w:t>
      </w:r>
      <w:r>
        <w:rPr>
          <w:rFonts w:ascii="Book Antiqua" w:hAnsi="Book Antiqua"/>
        </w:rPr>
        <w:t xml:space="preserve"> que e</w:t>
      </w:r>
      <w:r w:rsidRPr="005F6563">
        <w:rPr>
          <w:rFonts w:ascii="Book Antiqua" w:hAnsi="Book Antiqua"/>
        </w:rPr>
        <w:t>sta solicitud no es menor, pues la inclusión de nuevas condiciones bajo una cubierta especial, sin criterios clínicos claramente delimitados, podría generar una sobreutilización de los servicios de especialistas, afectando la sostenibilidad de los recursos asignados.</w:t>
      </w:r>
    </w:p>
    <w:p w14:paraId="41F6FF1A" w14:textId="35E17A15" w:rsidR="00FA249B" w:rsidRPr="005F6563" w:rsidRDefault="00FA249B" w:rsidP="00FA249B">
      <w:pPr>
        <w:pStyle w:val="NormalWeb"/>
        <w:spacing w:line="276" w:lineRule="auto"/>
        <w:jc w:val="both"/>
        <w:rPr>
          <w:rFonts w:ascii="Book Antiqua" w:hAnsi="Book Antiqua"/>
        </w:rPr>
      </w:pPr>
      <w:r>
        <w:rPr>
          <w:rFonts w:ascii="Book Antiqua" w:hAnsi="Book Antiqua"/>
        </w:rPr>
        <w:t>Asimismo</w:t>
      </w:r>
      <w:r w:rsidRPr="005F6563">
        <w:rPr>
          <w:rFonts w:ascii="Book Antiqua" w:hAnsi="Book Antiqua"/>
        </w:rPr>
        <w:t>, adv</w:t>
      </w:r>
      <w:r>
        <w:rPr>
          <w:rFonts w:ascii="Book Antiqua" w:hAnsi="Book Antiqua"/>
        </w:rPr>
        <w:t>irtió</w:t>
      </w:r>
      <w:r w:rsidRPr="005F6563">
        <w:rPr>
          <w:rFonts w:ascii="Book Antiqua" w:hAnsi="Book Antiqua"/>
        </w:rPr>
        <w:t xml:space="preserve"> sobre la necesidad de que el Departamento de Salud, como administrador del programa estatal de Medicaid, emita su posición institucional sobre la compatibilidad de esta nueva cubierta con el </w:t>
      </w:r>
      <w:proofErr w:type="spellStart"/>
      <w:r w:rsidRPr="005F6563">
        <w:rPr>
          <w:rStyle w:val="Emphasis"/>
          <w:rFonts w:ascii="Book Antiqua" w:eastAsiaTheme="majorEastAsia" w:hAnsi="Book Antiqua"/>
        </w:rPr>
        <w:t>State</w:t>
      </w:r>
      <w:proofErr w:type="spellEnd"/>
      <w:r w:rsidRPr="005F6563">
        <w:rPr>
          <w:rStyle w:val="Emphasis"/>
          <w:rFonts w:ascii="Book Antiqua" w:eastAsiaTheme="majorEastAsia" w:hAnsi="Book Antiqua"/>
        </w:rPr>
        <w:t xml:space="preserve"> Medicaid Plan</w:t>
      </w:r>
      <w:r w:rsidRPr="005F6563">
        <w:rPr>
          <w:rFonts w:ascii="Book Antiqua" w:hAnsi="Book Antiqua"/>
        </w:rPr>
        <w:t>.</w:t>
      </w:r>
      <w:r>
        <w:rPr>
          <w:rFonts w:ascii="Book Antiqua" w:hAnsi="Book Antiqua"/>
        </w:rPr>
        <w:t xml:space="preserve"> Añadió</w:t>
      </w:r>
      <w:r w:rsidR="00AB1E72">
        <w:rPr>
          <w:rFonts w:ascii="Book Antiqua" w:hAnsi="Book Antiqua"/>
        </w:rPr>
        <w:t>,</w:t>
      </w:r>
      <w:r>
        <w:rPr>
          <w:rFonts w:ascii="Book Antiqua" w:hAnsi="Book Antiqua"/>
        </w:rPr>
        <w:t xml:space="preserve"> que</w:t>
      </w:r>
      <w:r w:rsidRPr="005F6563">
        <w:rPr>
          <w:rFonts w:ascii="Book Antiqua" w:hAnsi="Book Antiqua"/>
        </w:rPr>
        <w:t xml:space="preserve"> </w:t>
      </w:r>
      <w:r>
        <w:rPr>
          <w:rFonts w:ascii="Book Antiqua" w:hAnsi="Book Antiqua"/>
        </w:rPr>
        <w:t>d</w:t>
      </w:r>
      <w:r w:rsidRPr="005F6563">
        <w:rPr>
          <w:rFonts w:ascii="Book Antiqua" w:hAnsi="Book Antiqua"/>
        </w:rPr>
        <w:t>e no evaluarse con detenimiento este aspecto, se corre el riesgo de entrar en conflicto con los parámetros federales que rigen los servicios de salud para la población médico-indigente, generando fricciones legales y administrativas que comprometerían el cumplimiento normativo y la elegibilidad de fondos federales.</w:t>
      </w:r>
    </w:p>
    <w:p w14:paraId="3BA55BFE" w14:textId="1AB02C12" w:rsidR="00FA249B" w:rsidRPr="005F6563" w:rsidRDefault="00FA249B" w:rsidP="00FA249B">
      <w:pPr>
        <w:pStyle w:val="NormalWeb"/>
        <w:spacing w:line="276" w:lineRule="auto"/>
        <w:jc w:val="both"/>
        <w:rPr>
          <w:rFonts w:ascii="Book Antiqua" w:hAnsi="Book Antiqua"/>
        </w:rPr>
      </w:pPr>
      <w:r w:rsidRPr="005F6563">
        <w:rPr>
          <w:rFonts w:ascii="Book Antiqua" w:hAnsi="Book Antiqua"/>
        </w:rPr>
        <w:t>A lo anterior</w:t>
      </w:r>
      <w:r>
        <w:rPr>
          <w:rFonts w:ascii="Book Antiqua" w:hAnsi="Book Antiqua"/>
        </w:rPr>
        <w:t>,</w:t>
      </w:r>
      <w:r w:rsidRPr="005F6563">
        <w:rPr>
          <w:rFonts w:ascii="Book Antiqua" w:hAnsi="Book Antiqua"/>
        </w:rPr>
        <w:t xml:space="preserve"> se suma la preocupación legítima de MMM en torno a la posibilidad de que se promulgue una cubierta especial </w:t>
      </w:r>
      <w:r w:rsidRPr="004A0F2E">
        <w:rPr>
          <w:rStyle w:val="Strong"/>
          <w:rFonts w:ascii="Book Antiqua" w:eastAsiaTheme="majorEastAsia" w:hAnsi="Book Antiqua"/>
          <w:b w:val="0"/>
          <w:bCs w:val="0"/>
        </w:rPr>
        <w:t>sin una definición precisa de las obligaciones contractuales entre aseguradoras y agencias gubernamentales</w:t>
      </w:r>
      <w:r w:rsidRPr="004A0F2E">
        <w:rPr>
          <w:rFonts w:ascii="Book Antiqua" w:hAnsi="Book Antiqua"/>
        </w:rPr>
        <w:t>.</w:t>
      </w:r>
      <w:r w:rsidRPr="004A0F2E">
        <w:rPr>
          <w:rFonts w:ascii="Book Antiqua" w:hAnsi="Book Antiqua"/>
          <w:b/>
          <w:bCs/>
        </w:rPr>
        <w:t xml:space="preserve"> </w:t>
      </w:r>
      <w:r w:rsidRPr="005F6563">
        <w:rPr>
          <w:rFonts w:ascii="Book Antiqua" w:hAnsi="Book Antiqua"/>
        </w:rPr>
        <w:t xml:space="preserve">Tal como indica la ponencia, la implantación de este tipo de beneficios requiere una coordinación detallada entre ASES, las organizaciones de servicios de salud, y las aseguradoras participantes. </w:t>
      </w:r>
      <w:r w:rsidR="00A8364D">
        <w:rPr>
          <w:rFonts w:ascii="Book Antiqua" w:hAnsi="Book Antiqua"/>
        </w:rPr>
        <w:t>Planteó que</w:t>
      </w:r>
      <w:r w:rsidR="00D222E2">
        <w:rPr>
          <w:rFonts w:ascii="Book Antiqua" w:hAnsi="Book Antiqua"/>
        </w:rPr>
        <w:t>,</w:t>
      </w:r>
      <w:r w:rsidR="00A8364D">
        <w:rPr>
          <w:rFonts w:ascii="Book Antiqua" w:hAnsi="Book Antiqua"/>
        </w:rPr>
        <w:t xml:space="preserve"> e</w:t>
      </w:r>
      <w:r w:rsidRPr="005F6563">
        <w:rPr>
          <w:rFonts w:ascii="Book Antiqua" w:hAnsi="Book Antiqua"/>
        </w:rPr>
        <w:t>n ausencia de un marco claro para establecer responsabilidades, mecanismos de pago y procedimientos de control, cualquier intento de implementación podría desembocar en conflictos operacionales y en un acceso desigual a los servicios.</w:t>
      </w:r>
    </w:p>
    <w:p w14:paraId="51C6E70E" w14:textId="3BEBA176" w:rsidR="00FA249B" w:rsidRPr="00F77EE2" w:rsidRDefault="00FA249B" w:rsidP="00FA249B">
      <w:pPr>
        <w:pStyle w:val="NormalWeb"/>
        <w:spacing w:line="276" w:lineRule="auto"/>
        <w:jc w:val="both"/>
        <w:rPr>
          <w:rFonts w:ascii="Book Antiqua" w:hAnsi="Book Antiqua"/>
          <w:b/>
          <w:bCs/>
        </w:rPr>
      </w:pPr>
      <w:r w:rsidRPr="005F6563">
        <w:rPr>
          <w:rFonts w:ascii="Book Antiqua" w:hAnsi="Book Antiqua"/>
        </w:rPr>
        <w:t>No menos</w:t>
      </w:r>
      <w:r w:rsidR="00D222E2">
        <w:rPr>
          <w:rFonts w:ascii="Book Antiqua" w:hAnsi="Book Antiqua"/>
        </w:rPr>
        <w:t xml:space="preserve"> </w:t>
      </w:r>
      <w:r w:rsidRPr="005F6563">
        <w:rPr>
          <w:rFonts w:ascii="Book Antiqua" w:hAnsi="Book Antiqua"/>
        </w:rPr>
        <w:t>importante</w:t>
      </w:r>
      <w:r w:rsidR="00D222E2">
        <w:rPr>
          <w:rFonts w:ascii="Book Antiqua" w:hAnsi="Book Antiqua"/>
        </w:rPr>
        <w:t>,</w:t>
      </w:r>
      <w:r w:rsidRPr="005F6563">
        <w:rPr>
          <w:rFonts w:ascii="Book Antiqua" w:hAnsi="Book Antiqua"/>
        </w:rPr>
        <w:t xml:space="preserve"> resulta la advertencia de MMM sobre la necesidad de considerar la capacidad de red existente para absorber la posible demanda que se generaría con la inclusión de nuevas poblaciones bajo cubiertas especiales. </w:t>
      </w:r>
      <w:r>
        <w:rPr>
          <w:rFonts w:ascii="Book Antiqua" w:hAnsi="Book Antiqua"/>
        </w:rPr>
        <w:t xml:space="preserve"> Expuso</w:t>
      </w:r>
      <w:r w:rsidR="00AB1E72">
        <w:rPr>
          <w:rFonts w:ascii="Book Antiqua" w:hAnsi="Book Antiqua"/>
        </w:rPr>
        <w:t>,</w:t>
      </w:r>
      <w:r>
        <w:rPr>
          <w:rFonts w:ascii="Book Antiqua" w:hAnsi="Book Antiqua"/>
        </w:rPr>
        <w:t xml:space="preserve"> que a</w:t>
      </w:r>
      <w:r w:rsidRPr="005F6563">
        <w:rPr>
          <w:rFonts w:ascii="Book Antiqua" w:hAnsi="Book Antiqua"/>
        </w:rPr>
        <w:t>mpliar el acceso sin ajustar simultáneamente la oferta de servicios médicos especializados</w:t>
      </w:r>
      <w:r>
        <w:rPr>
          <w:rFonts w:ascii="Book Antiqua" w:hAnsi="Book Antiqua"/>
        </w:rPr>
        <w:t>,</w:t>
      </w:r>
      <w:r w:rsidRPr="005F6563">
        <w:rPr>
          <w:rFonts w:ascii="Book Antiqua" w:hAnsi="Book Antiqua"/>
        </w:rPr>
        <w:t xml:space="preserve"> </w:t>
      </w:r>
      <w:r w:rsidRPr="00F77EE2">
        <w:rPr>
          <w:rStyle w:val="Strong"/>
          <w:rFonts w:ascii="Book Antiqua" w:eastAsiaTheme="majorEastAsia" w:hAnsi="Book Antiqua"/>
          <w:b w:val="0"/>
          <w:bCs w:val="0"/>
        </w:rPr>
        <w:t>podría provocar cuellos de botella, demoras en tratamiento, y en última instancia, afectar negativamente a los mismos beneficiarios que se pretende proteger</w:t>
      </w:r>
      <w:r w:rsidRPr="00F77EE2">
        <w:rPr>
          <w:rFonts w:ascii="Book Antiqua" w:hAnsi="Book Antiqua"/>
          <w:b/>
          <w:bCs/>
        </w:rPr>
        <w:t>.</w:t>
      </w:r>
    </w:p>
    <w:p w14:paraId="3FB82A41" w14:textId="1BBDB070" w:rsidR="00FA249B" w:rsidRPr="00FA249B" w:rsidRDefault="00FA249B" w:rsidP="00FA249B">
      <w:pPr>
        <w:pStyle w:val="NormalWeb"/>
        <w:spacing w:line="276" w:lineRule="auto"/>
        <w:jc w:val="both"/>
        <w:rPr>
          <w:rFonts w:ascii="Book Antiqua" w:hAnsi="Book Antiqua"/>
        </w:rPr>
      </w:pPr>
      <w:r w:rsidRPr="005F6563">
        <w:rPr>
          <w:rFonts w:ascii="Book Antiqua" w:hAnsi="Book Antiqua"/>
        </w:rPr>
        <w:lastRenderedPageBreak/>
        <w:t xml:space="preserve">A pesar de las reservas planteadas, </w:t>
      </w:r>
      <w:r w:rsidRPr="00353810">
        <w:rPr>
          <w:rFonts w:ascii="Book Antiqua" w:hAnsi="Book Antiqua"/>
          <w:b/>
          <w:bCs/>
        </w:rPr>
        <w:t>MMM Holdings</w:t>
      </w:r>
      <w:r w:rsidRPr="005F6563">
        <w:rPr>
          <w:rFonts w:ascii="Book Antiqua" w:hAnsi="Book Antiqua"/>
        </w:rPr>
        <w:t xml:space="preserve"> aclar</w:t>
      </w:r>
      <w:r>
        <w:rPr>
          <w:rFonts w:ascii="Book Antiqua" w:hAnsi="Book Antiqua"/>
        </w:rPr>
        <w:t>ó</w:t>
      </w:r>
      <w:r w:rsidR="00AB1E72">
        <w:rPr>
          <w:rFonts w:ascii="Book Antiqua" w:hAnsi="Book Antiqua"/>
        </w:rPr>
        <w:t>,</w:t>
      </w:r>
      <w:r w:rsidRPr="005F6563">
        <w:rPr>
          <w:rFonts w:ascii="Book Antiqua" w:hAnsi="Book Antiqua"/>
        </w:rPr>
        <w:t xml:space="preserve"> que no se opone al espíritu de la medida ni a sus objetivos sociales. Por el contrario, reafirm</w:t>
      </w:r>
      <w:r>
        <w:rPr>
          <w:rFonts w:ascii="Book Antiqua" w:hAnsi="Book Antiqua"/>
        </w:rPr>
        <w:t>ó</w:t>
      </w:r>
      <w:r w:rsidRPr="005F6563">
        <w:rPr>
          <w:rFonts w:ascii="Book Antiqua" w:hAnsi="Book Antiqua"/>
        </w:rPr>
        <w:t xml:space="preserve"> su compromiso con la equidad en salud y con el bienestar de las poblaciones vulnerables en Puerto Rico. Lo que propone, en cambio, es una reflexión pausada y responsable que considere no solo la urgencia social de atender a las personas con diversidad funcional, sino también la necesidad de que las medidas adoptadas sean técnicamente viables, financieramente sostenibles y jurídicamente correctas.</w:t>
      </w:r>
    </w:p>
    <w:p w14:paraId="7D3E4712" w14:textId="163F49B5" w:rsidR="00172761" w:rsidRPr="00B90C2B" w:rsidRDefault="00172761" w:rsidP="00E92A9C">
      <w:pPr>
        <w:spacing w:after="0" w:line="276" w:lineRule="auto"/>
        <w:jc w:val="center"/>
        <w:rPr>
          <w:rFonts w:ascii="Book Antiqua" w:eastAsia="Times New Roman" w:hAnsi="Book Antiqua"/>
          <w:b/>
          <w:sz w:val="24"/>
          <w:szCs w:val="24"/>
          <w:lang w:val="es-ES_tradnl"/>
        </w:rPr>
      </w:pPr>
      <w:r w:rsidRPr="00B90C2B">
        <w:rPr>
          <w:rFonts w:ascii="Book Antiqua" w:eastAsia="Times New Roman" w:hAnsi="Book Antiqua"/>
          <w:b/>
          <w:sz w:val="24"/>
          <w:szCs w:val="24"/>
          <w:lang w:val="es-ES_tradnl"/>
        </w:rPr>
        <w:t>TRIPLE-S MANAGEMENT CORPORATION</w:t>
      </w:r>
    </w:p>
    <w:p w14:paraId="593975A6" w14:textId="77777777" w:rsidR="00172761" w:rsidRPr="00B90C2B" w:rsidRDefault="00172761" w:rsidP="00E92A9C">
      <w:pPr>
        <w:pStyle w:val="NoSpacing"/>
        <w:spacing w:line="276" w:lineRule="auto"/>
        <w:jc w:val="center"/>
        <w:rPr>
          <w:rFonts w:ascii="Book Antiqua" w:hAnsi="Book Antiqua"/>
          <w:szCs w:val="24"/>
          <w:lang w:val="es-ES_tradnl"/>
        </w:rPr>
      </w:pPr>
    </w:p>
    <w:p w14:paraId="13ABD292" w14:textId="77777777" w:rsidR="003B0B36" w:rsidRDefault="00172761" w:rsidP="003B0B36">
      <w:pPr>
        <w:pStyle w:val="NoSpacing"/>
        <w:spacing w:line="276" w:lineRule="auto"/>
        <w:jc w:val="both"/>
        <w:rPr>
          <w:rFonts w:ascii="Book Antiqua" w:hAnsi="Book Antiqua"/>
          <w:lang w:val="es-PR"/>
        </w:rPr>
      </w:pPr>
      <w:r w:rsidRPr="00B90C2B">
        <w:rPr>
          <w:rFonts w:ascii="Book Antiqua" w:eastAsia="Times New Roman" w:hAnsi="Book Antiqua"/>
          <w:bCs/>
          <w:lang w:val="es-PR"/>
        </w:rPr>
        <w:t xml:space="preserve">Recibimos, de igual forma, la ponencia de </w:t>
      </w:r>
      <w:r w:rsidRPr="00B90C2B">
        <w:rPr>
          <w:rFonts w:ascii="Book Antiqua" w:hAnsi="Book Antiqua"/>
          <w:b/>
          <w:bCs/>
          <w:lang w:val="es-PR"/>
        </w:rPr>
        <w:t xml:space="preserve">Triple-S Management </w:t>
      </w:r>
      <w:proofErr w:type="spellStart"/>
      <w:r w:rsidRPr="00B90C2B">
        <w:rPr>
          <w:rFonts w:ascii="Book Antiqua" w:hAnsi="Book Antiqua"/>
          <w:b/>
          <w:bCs/>
          <w:lang w:val="es-PR"/>
        </w:rPr>
        <w:t>Corporation</w:t>
      </w:r>
      <w:proofErr w:type="spellEnd"/>
      <w:r w:rsidRPr="00B90C2B">
        <w:rPr>
          <w:rFonts w:ascii="Book Antiqua" w:hAnsi="Book Antiqua"/>
          <w:lang w:val="es-ES"/>
        </w:rPr>
        <w:t xml:space="preserve"> la cual presentó su memorial explicativo por conducto de su </w:t>
      </w:r>
      <w:proofErr w:type="gramStart"/>
      <w:r w:rsidRPr="00B90C2B">
        <w:rPr>
          <w:rFonts w:ascii="Book Antiqua" w:hAnsi="Book Antiqua"/>
          <w:lang w:val="es-ES"/>
        </w:rPr>
        <w:t>Directora</w:t>
      </w:r>
      <w:proofErr w:type="gramEnd"/>
      <w:r w:rsidRPr="00B90C2B">
        <w:rPr>
          <w:rFonts w:ascii="Book Antiqua" w:hAnsi="Book Antiqua"/>
          <w:lang w:val="es-ES"/>
        </w:rPr>
        <w:t xml:space="preserve"> de Asuntos Gubernamentales y Política Pública, </w:t>
      </w:r>
      <w:proofErr w:type="spellStart"/>
      <w:r w:rsidRPr="00B90C2B">
        <w:rPr>
          <w:rFonts w:ascii="Book Antiqua" w:hAnsi="Book Antiqua"/>
          <w:lang w:val="es-ES"/>
        </w:rPr>
        <w:t>Wildalis</w:t>
      </w:r>
      <w:proofErr w:type="spellEnd"/>
      <w:r w:rsidRPr="00B90C2B">
        <w:rPr>
          <w:rFonts w:ascii="Book Antiqua" w:hAnsi="Book Antiqua"/>
          <w:lang w:val="es-ES"/>
        </w:rPr>
        <w:t xml:space="preserve"> Serra Ortiz, en el cual se expresó en contra de la aprobación de la medida.</w:t>
      </w:r>
      <w:r w:rsidR="003521EB">
        <w:rPr>
          <w:rFonts w:ascii="Book Antiqua" w:hAnsi="Book Antiqua"/>
          <w:lang w:val="es-ES"/>
        </w:rPr>
        <w:t xml:space="preserve"> </w:t>
      </w:r>
      <w:r w:rsidR="00193683" w:rsidRPr="003521EB">
        <w:rPr>
          <w:rFonts w:ascii="Book Antiqua" w:hAnsi="Book Antiqua"/>
          <w:lang w:val="es-PR"/>
        </w:rPr>
        <w:t>Aunque se reconoc</w:t>
      </w:r>
      <w:r w:rsidR="00DB5F45">
        <w:rPr>
          <w:rFonts w:ascii="Book Antiqua" w:hAnsi="Book Antiqua"/>
          <w:lang w:val="es-PR"/>
        </w:rPr>
        <w:t>ió</w:t>
      </w:r>
      <w:r w:rsidR="00193683" w:rsidRPr="003521EB">
        <w:rPr>
          <w:rFonts w:ascii="Book Antiqua" w:hAnsi="Book Antiqua"/>
          <w:lang w:val="es-PR"/>
        </w:rPr>
        <w:t xml:space="preserve"> el valor intrínseco de ampliar los derechos y garantías de la población con diversidad funcional, </w:t>
      </w:r>
      <w:r w:rsidR="00D46D86">
        <w:rPr>
          <w:rFonts w:ascii="Book Antiqua" w:hAnsi="Book Antiqua"/>
          <w:lang w:val="es-PR"/>
        </w:rPr>
        <w:t xml:space="preserve">alertó que </w:t>
      </w:r>
      <w:r w:rsidR="00193683" w:rsidRPr="003521EB">
        <w:rPr>
          <w:rFonts w:ascii="Book Antiqua" w:hAnsi="Book Antiqua"/>
          <w:lang w:val="es-PR"/>
        </w:rPr>
        <w:t>la propuesta contiene múltiples deficiencias estructurales, legales y regulatorias que, de aprobarse, podrían tener repercusiones negativas significativas tanto para el sistema de salud como para la población que se pretende proteger.</w:t>
      </w:r>
    </w:p>
    <w:p w14:paraId="1443AC7D" w14:textId="77777777" w:rsidR="003B0B36" w:rsidRDefault="003B0B36" w:rsidP="003B0B36">
      <w:pPr>
        <w:pStyle w:val="NoSpacing"/>
        <w:spacing w:line="276" w:lineRule="auto"/>
        <w:jc w:val="both"/>
        <w:rPr>
          <w:rFonts w:ascii="Book Antiqua" w:hAnsi="Book Antiqua"/>
          <w:lang w:val="es-PR"/>
        </w:rPr>
      </w:pPr>
    </w:p>
    <w:p w14:paraId="791F4778" w14:textId="41B9E99B" w:rsidR="00193683" w:rsidRPr="003B0B36" w:rsidRDefault="00193683" w:rsidP="003B0B36">
      <w:pPr>
        <w:pStyle w:val="NoSpacing"/>
        <w:spacing w:line="276" w:lineRule="auto"/>
        <w:jc w:val="both"/>
        <w:rPr>
          <w:rFonts w:ascii="Book Antiqua" w:hAnsi="Book Antiqua"/>
          <w:lang w:val="es-ES"/>
        </w:rPr>
      </w:pPr>
      <w:r w:rsidRPr="003B0B36">
        <w:rPr>
          <w:rFonts w:ascii="Book Antiqua" w:hAnsi="Book Antiqua"/>
          <w:lang w:val="es-PR"/>
        </w:rPr>
        <w:t xml:space="preserve">Triple-S </w:t>
      </w:r>
      <w:r w:rsidR="009E04DF" w:rsidRPr="003B0B36">
        <w:rPr>
          <w:rFonts w:ascii="Book Antiqua" w:hAnsi="Book Antiqua"/>
          <w:lang w:val="es-PR"/>
        </w:rPr>
        <w:t xml:space="preserve">alegó, </w:t>
      </w:r>
      <w:r w:rsidRPr="003B0B36">
        <w:rPr>
          <w:rFonts w:ascii="Book Antiqua" w:hAnsi="Book Antiqua"/>
          <w:lang w:val="es-PR"/>
        </w:rPr>
        <w:t>que la medida resulta innecesaria y redundante, ya que gran parte de los asuntos que se pretenden atender mediante esta legislación</w:t>
      </w:r>
      <w:r w:rsidR="00EF7EA4" w:rsidRPr="003B0B36">
        <w:rPr>
          <w:rFonts w:ascii="Book Antiqua" w:hAnsi="Book Antiqua"/>
          <w:lang w:val="es-PR"/>
        </w:rPr>
        <w:t xml:space="preserve">, </w:t>
      </w:r>
      <w:r w:rsidRPr="003B0B36">
        <w:rPr>
          <w:rFonts w:ascii="Book Antiqua" w:hAnsi="Book Antiqua"/>
          <w:lang w:val="es-PR"/>
        </w:rPr>
        <w:t>como la provisión de acomodos razonables, el uso de herramientas tecnológicas accesibles y la garantía de servicios equitativos</w:t>
      </w:r>
      <w:r w:rsidR="00475D01" w:rsidRPr="003B0B36">
        <w:rPr>
          <w:rFonts w:ascii="Book Antiqua" w:hAnsi="Book Antiqua"/>
          <w:lang w:val="es-PR"/>
        </w:rPr>
        <w:t xml:space="preserve">, </w:t>
      </w:r>
      <w:r w:rsidRPr="003B0B36">
        <w:rPr>
          <w:rFonts w:ascii="Book Antiqua" w:hAnsi="Book Antiqua"/>
          <w:lang w:val="es-PR"/>
        </w:rPr>
        <w:t>ya están expresamente regulados por leyes y reglamentos federales de cumplimiento obligatorio, incluyendo:</w:t>
      </w:r>
    </w:p>
    <w:p w14:paraId="4005CBE4" w14:textId="77777777" w:rsidR="00193683" w:rsidRPr="00193683" w:rsidRDefault="00193683" w:rsidP="00817805">
      <w:pPr>
        <w:numPr>
          <w:ilvl w:val="0"/>
          <w:numId w:val="24"/>
        </w:numPr>
        <w:spacing w:before="100" w:beforeAutospacing="1" w:after="100" w:afterAutospacing="1" w:line="276" w:lineRule="auto"/>
        <w:jc w:val="both"/>
        <w:rPr>
          <w:rFonts w:ascii="Book Antiqua" w:eastAsia="Times New Roman" w:hAnsi="Book Antiqua" w:cs="Times New Roman"/>
          <w:sz w:val="24"/>
          <w:szCs w:val="24"/>
          <w:lang w:val="es-PR" w:eastAsia="es-PR"/>
        </w:rPr>
      </w:pPr>
      <w:r w:rsidRPr="00193683">
        <w:rPr>
          <w:rFonts w:ascii="Book Antiqua" w:eastAsia="Times New Roman" w:hAnsi="Book Antiqua" w:cs="Times New Roman"/>
          <w:sz w:val="24"/>
          <w:szCs w:val="24"/>
          <w:lang w:val="es-PR" w:eastAsia="es-PR"/>
        </w:rPr>
        <w:t xml:space="preserve">La </w:t>
      </w:r>
      <w:r w:rsidRPr="00A22AAE">
        <w:rPr>
          <w:rFonts w:ascii="Book Antiqua" w:eastAsia="Times New Roman" w:hAnsi="Book Antiqua" w:cs="Times New Roman"/>
          <w:sz w:val="24"/>
          <w:szCs w:val="24"/>
          <w:lang w:val="es-PR" w:eastAsia="es-PR"/>
        </w:rPr>
        <w:t>Sección 1557 de la Ley Federal de Cuidado de Salud Asequible (</w:t>
      </w:r>
      <w:proofErr w:type="spellStart"/>
      <w:r w:rsidRPr="00A22AAE">
        <w:rPr>
          <w:rFonts w:ascii="Book Antiqua" w:eastAsia="Times New Roman" w:hAnsi="Book Antiqua" w:cs="Times New Roman"/>
          <w:sz w:val="24"/>
          <w:szCs w:val="24"/>
          <w:lang w:val="es-PR" w:eastAsia="es-PR"/>
        </w:rPr>
        <w:t>Affordable</w:t>
      </w:r>
      <w:proofErr w:type="spellEnd"/>
      <w:r w:rsidRPr="00A22AAE">
        <w:rPr>
          <w:rFonts w:ascii="Book Antiqua" w:eastAsia="Times New Roman" w:hAnsi="Book Antiqua" w:cs="Times New Roman"/>
          <w:sz w:val="24"/>
          <w:szCs w:val="24"/>
          <w:lang w:val="es-PR" w:eastAsia="es-PR"/>
        </w:rPr>
        <w:t xml:space="preserve"> Care </w:t>
      </w:r>
      <w:proofErr w:type="spellStart"/>
      <w:r w:rsidRPr="00A22AAE">
        <w:rPr>
          <w:rFonts w:ascii="Book Antiqua" w:eastAsia="Times New Roman" w:hAnsi="Book Antiqua" w:cs="Times New Roman"/>
          <w:sz w:val="24"/>
          <w:szCs w:val="24"/>
          <w:lang w:val="es-PR" w:eastAsia="es-PR"/>
        </w:rPr>
        <w:t>Act</w:t>
      </w:r>
      <w:proofErr w:type="spellEnd"/>
      <w:r w:rsidRPr="00A22AAE">
        <w:rPr>
          <w:rFonts w:ascii="Book Antiqua" w:eastAsia="Times New Roman" w:hAnsi="Book Antiqua" w:cs="Times New Roman"/>
          <w:sz w:val="24"/>
          <w:szCs w:val="24"/>
          <w:lang w:val="es-PR" w:eastAsia="es-PR"/>
        </w:rPr>
        <w:t xml:space="preserve"> – ACA),</w:t>
      </w:r>
      <w:r w:rsidRPr="00193683">
        <w:rPr>
          <w:rFonts w:ascii="Book Antiqua" w:eastAsia="Times New Roman" w:hAnsi="Book Antiqua" w:cs="Times New Roman"/>
          <w:sz w:val="24"/>
          <w:szCs w:val="24"/>
          <w:lang w:val="es-PR" w:eastAsia="es-PR"/>
        </w:rPr>
        <w:t xml:space="preserve"> que prohíbe toda forma de discrimen, incluyendo por motivo de discapacidad, en programas de salud que reciban asistencia financiera federal.</w:t>
      </w:r>
    </w:p>
    <w:p w14:paraId="396BC910" w14:textId="77777777" w:rsidR="00193683" w:rsidRPr="00193683" w:rsidRDefault="00193683" w:rsidP="00817805">
      <w:pPr>
        <w:numPr>
          <w:ilvl w:val="0"/>
          <w:numId w:val="24"/>
        </w:numPr>
        <w:spacing w:before="100" w:beforeAutospacing="1" w:after="100" w:afterAutospacing="1" w:line="276" w:lineRule="auto"/>
        <w:jc w:val="both"/>
        <w:rPr>
          <w:rFonts w:ascii="Book Antiqua" w:eastAsia="Times New Roman" w:hAnsi="Book Antiqua" w:cs="Times New Roman"/>
          <w:sz w:val="24"/>
          <w:szCs w:val="24"/>
          <w:lang w:val="es-PR" w:eastAsia="es-PR"/>
        </w:rPr>
      </w:pPr>
      <w:r w:rsidRPr="00193683">
        <w:rPr>
          <w:rFonts w:ascii="Book Antiqua" w:eastAsia="Times New Roman" w:hAnsi="Book Antiqua" w:cs="Times New Roman"/>
          <w:sz w:val="24"/>
          <w:szCs w:val="24"/>
          <w:lang w:val="es-PR" w:eastAsia="es-PR"/>
        </w:rPr>
        <w:t xml:space="preserve">La </w:t>
      </w:r>
      <w:r w:rsidRPr="00A22AAE">
        <w:rPr>
          <w:rFonts w:ascii="Book Antiqua" w:eastAsia="Times New Roman" w:hAnsi="Book Antiqua" w:cs="Times New Roman"/>
          <w:sz w:val="24"/>
          <w:szCs w:val="24"/>
          <w:lang w:val="es-PR" w:eastAsia="es-PR"/>
        </w:rPr>
        <w:t>Sección 504 de la Ley de Rehabilitación de 1973</w:t>
      </w:r>
      <w:r w:rsidRPr="00193683">
        <w:rPr>
          <w:rFonts w:ascii="Book Antiqua" w:eastAsia="Times New Roman" w:hAnsi="Book Antiqua" w:cs="Times New Roman"/>
          <w:sz w:val="24"/>
          <w:szCs w:val="24"/>
          <w:lang w:val="es-PR" w:eastAsia="es-PR"/>
        </w:rPr>
        <w:t>, que protege a las personas con impedimentos ante cualquier exclusión o denegación de beneficios en programas y actividades con fondos federales.</w:t>
      </w:r>
    </w:p>
    <w:p w14:paraId="770D3F7A" w14:textId="77777777" w:rsidR="00193683" w:rsidRPr="00193683" w:rsidRDefault="00193683" w:rsidP="00817805">
      <w:pPr>
        <w:numPr>
          <w:ilvl w:val="0"/>
          <w:numId w:val="24"/>
        </w:numPr>
        <w:spacing w:before="100" w:beforeAutospacing="1" w:after="100" w:afterAutospacing="1" w:line="276" w:lineRule="auto"/>
        <w:jc w:val="both"/>
        <w:rPr>
          <w:rFonts w:ascii="Book Antiqua" w:eastAsia="Times New Roman" w:hAnsi="Book Antiqua" w:cs="Times New Roman"/>
          <w:sz w:val="24"/>
          <w:szCs w:val="24"/>
          <w:lang w:val="es-PR" w:eastAsia="es-PR"/>
        </w:rPr>
      </w:pPr>
      <w:r w:rsidRPr="00193683">
        <w:rPr>
          <w:rFonts w:ascii="Book Antiqua" w:eastAsia="Times New Roman" w:hAnsi="Book Antiqua" w:cs="Times New Roman"/>
          <w:sz w:val="24"/>
          <w:szCs w:val="24"/>
          <w:lang w:val="es-PR" w:eastAsia="es-PR"/>
        </w:rPr>
        <w:t xml:space="preserve">Reglamentos específicos como el </w:t>
      </w:r>
      <w:r w:rsidRPr="00A22AAE">
        <w:rPr>
          <w:rFonts w:ascii="Book Antiqua" w:eastAsia="Times New Roman" w:hAnsi="Book Antiqua" w:cs="Times New Roman"/>
          <w:sz w:val="24"/>
          <w:szCs w:val="24"/>
          <w:lang w:val="es-PR" w:eastAsia="es-PR"/>
        </w:rPr>
        <w:t>42 CFR § 438.206</w:t>
      </w:r>
      <w:r w:rsidRPr="00193683">
        <w:rPr>
          <w:rFonts w:ascii="Book Antiqua" w:eastAsia="Times New Roman" w:hAnsi="Book Antiqua" w:cs="Times New Roman"/>
          <w:sz w:val="24"/>
          <w:szCs w:val="24"/>
          <w:lang w:val="es-PR" w:eastAsia="es-PR"/>
        </w:rPr>
        <w:t>, que establece la obligación de los contratistas de Medicaid de brindar servicios culturalmente competentes, accesibles física y lingüísticamente, y adaptados a las necesidades de personas con diversidad funcional.</w:t>
      </w:r>
    </w:p>
    <w:p w14:paraId="0D284CBF" w14:textId="79CC1DC4" w:rsidR="00193683" w:rsidRPr="00193683" w:rsidRDefault="009E04DF" w:rsidP="00817805">
      <w:pPr>
        <w:spacing w:before="100" w:beforeAutospacing="1" w:after="100" w:afterAutospacing="1" w:line="276" w:lineRule="auto"/>
        <w:jc w:val="both"/>
        <w:rPr>
          <w:rFonts w:ascii="Book Antiqua" w:eastAsia="Times New Roman" w:hAnsi="Book Antiqua" w:cs="Times New Roman"/>
          <w:sz w:val="24"/>
          <w:szCs w:val="24"/>
          <w:lang w:val="es-PR" w:eastAsia="es-PR"/>
        </w:rPr>
      </w:pPr>
      <w:r>
        <w:rPr>
          <w:rFonts w:ascii="Book Antiqua" w:eastAsia="Times New Roman" w:hAnsi="Book Antiqua" w:cs="Times New Roman"/>
          <w:sz w:val="24"/>
          <w:szCs w:val="24"/>
          <w:lang w:val="es-PR" w:eastAsia="es-PR"/>
        </w:rPr>
        <w:t xml:space="preserve"> Triple- S fundament</w:t>
      </w:r>
      <w:r w:rsidR="00F50296">
        <w:rPr>
          <w:rFonts w:ascii="Book Antiqua" w:eastAsia="Times New Roman" w:hAnsi="Book Antiqua" w:cs="Times New Roman"/>
          <w:sz w:val="24"/>
          <w:szCs w:val="24"/>
          <w:lang w:val="es-PR" w:eastAsia="es-PR"/>
        </w:rPr>
        <w:t>ó</w:t>
      </w:r>
      <w:r>
        <w:rPr>
          <w:rFonts w:ascii="Book Antiqua" w:eastAsia="Times New Roman" w:hAnsi="Book Antiqua" w:cs="Times New Roman"/>
          <w:sz w:val="24"/>
          <w:szCs w:val="24"/>
          <w:lang w:val="es-PR" w:eastAsia="es-PR"/>
        </w:rPr>
        <w:t>, que a</w:t>
      </w:r>
      <w:r w:rsidR="00193683" w:rsidRPr="00193683">
        <w:rPr>
          <w:rFonts w:ascii="Book Antiqua" w:eastAsia="Times New Roman" w:hAnsi="Book Antiqua" w:cs="Times New Roman"/>
          <w:sz w:val="24"/>
          <w:szCs w:val="24"/>
          <w:lang w:val="es-PR" w:eastAsia="es-PR"/>
        </w:rPr>
        <w:t xml:space="preserve"> la luz de este marco jurídico federal preexistente, la aprobación del Proyecto del Senado 423 sin una revisión exhaustiva de compatibilidad </w:t>
      </w:r>
      <w:r w:rsidR="00193683" w:rsidRPr="00193683">
        <w:rPr>
          <w:rFonts w:ascii="Book Antiqua" w:eastAsia="Times New Roman" w:hAnsi="Book Antiqua" w:cs="Times New Roman"/>
          <w:sz w:val="24"/>
          <w:szCs w:val="24"/>
          <w:lang w:val="es-PR" w:eastAsia="es-PR"/>
        </w:rPr>
        <w:lastRenderedPageBreak/>
        <w:t xml:space="preserve">podría acarrear </w:t>
      </w:r>
      <w:r w:rsidR="00193683" w:rsidRPr="00364FA3">
        <w:rPr>
          <w:rFonts w:ascii="Book Antiqua" w:eastAsia="Times New Roman" w:hAnsi="Book Antiqua" w:cs="Times New Roman"/>
          <w:sz w:val="24"/>
          <w:szCs w:val="24"/>
          <w:lang w:val="es-PR" w:eastAsia="es-PR"/>
        </w:rPr>
        <w:t>conflictos normativos y duplicidad de esfuerzos</w:t>
      </w:r>
      <w:r w:rsidR="00193683" w:rsidRPr="00193683">
        <w:rPr>
          <w:rFonts w:ascii="Book Antiqua" w:eastAsia="Times New Roman" w:hAnsi="Book Antiqua" w:cs="Times New Roman"/>
          <w:sz w:val="24"/>
          <w:szCs w:val="24"/>
          <w:lang w:val="es-PR" w:eastAsia="es-PR"/>
        </w:rPr>
        <w:t>, además de crear confusión entre los proveedores y aseguradoras respecto a sus verdaderas obligaciones legales.</w:t>
      </w:r>
      <w:r w:rsidR="00364FA3">
        <w:rPr>
          <w:rFonts w:ascii="Book Antiqua" w:eastAsia="Times New Roman" w:hAnsi="Book Antiqua" w:cs="Times New Roman"/>
          <w:sz w:val="24"/>
          <w:szCs w:val="24"/>
          <w:lang w:val="es-PR" w:eastAsia="es-PR"/>
        </w:rPr>
        <w:t xml:space="preserve"> </w:t>
      </w:r>
      <w:r w:rsidR="00193683" w:rsidRPr="00193683">
        <w:rPr>
          <w:rFonts w:ascii="Book Antiqua" w:eastAsia="Times New Roman" w:hAnsi="Book Antiqua" w:cs="Times New Roman"/>
          <w:sz w:val="24"/>
          <w:szCs w:val="24"/>
          <w:lang w:val="es-PR" w:eastAsia="es-PR"/>
        </w:rPr>
        <w:t>Triple-S explicó</w:t>
      </w:r>
      <w:r w:rsidR="003B0B36">
        <w:rPr>
          <w:rFonts w:ascii="Book Antiqua" w:eastAsia="Times New Roman" w:hAnsi="Book Antiqua" w:cs="Times New Roman"/>
          <w:sz w:val="24"/>
          <w:szCs w:val="24"/>
          <w:lang w:val="es-PR" w:eastAsia="es-PR"/>
        </w:rPr>
        <w:t>,</w:t>
      </w:r>
      <w:r w:rsidR="00193683" w:rsidRPr="00193683">
        <w:rPr>
          <w:rFonts w:ascii="Book Antiqua" w:eastAsia="Times New Roman" w:hAnsi="Book Antiqua" w:cs="Times New Roman"/>
          <w:sz w:val="24"/>
          <w:szCs w:val="24"/>
          <w:lang w:val="es-PR" w:eastAsia="es-PR"/>
        </w:rPr>
        <w:t xml:space="preserve"> que </w:t>
      </w:r>
      <w:r w:rsidR="00193683" w:rsidRPr="00364FA3">
        <w:rPr>
          <w:rFonts w:ascii="Book Antiqua" w:eastAsia="Times New Roman" w:hAnsi="Book Antiqua" w:cs="Times New Roman"/>
          <w:sz w:val="24"/>
          <w:szCs w:val="24"/>
          <w:lang w:val="es-PR" w:eastAsia="es-PR"/>
        </w:rPr>
        <w:t xml:space="preserve">los contratos suscritos entre las aseguradoras y la Administración de Seguros de Salud de Puerto Rico (ASES) </w:t>
      </w:r>
      <w:r w:rsidR="00193683" w:rsidRPr="00193683">
        <w:rPr>
          <w:rFonts w:ascii="Book Antiqua" w:eastAsia="Times New Roman" w:hAnsi="Book Antiqua" w:cs="Times New Roman"/>
          <w:sz w:val="24"/>
          <w:szCs w:val="24"/>
          <w:lang w:val="es-PR" w:eastAsia="es-PR"/>
        </w:rPr>
        <w:t xml:space="preserve">para operar el Plan Vital ya contienen disposiciones contractuales vinculantes que aseguran la protección de la población con diversidad funcional. </w:t>
      </w:r>
      <w:r w:rsidR="00561B00">
        <w:rPr>
          <w:rFonts w:ascii="Book Antiqua" w:eastAsia="Times New Roman" w:hAnsi="Book Antiqua" w:cs="Times New Roman"/>
          <w:sz w:val="24"/>
          <w:szCs w:val="24"/>
          <w:lang w:val="es-PR" w:eastAsia="es-PR"/>
        </w:rPr>
        <w:t>Detalló que e</w:t>
      </w:r>
      <w:r w:rsidR="00193683" w:rsidRPr="00193683">
        <w:rPr>
          <w:rFonts w:ascii="Book Antiqua" w:eastAsia="Times New Roman" w:hAnsi="Book Antiqua" w:cs="Times New Roman"/>
          <w:sz w:val="24"/>
          <w:szCs w:val="24"/>
          <w:lang w:val="es-PR" w:eastAsia="es-PR"/>
        </w:rPr>
        <w:t>stos contratos incluyen:</w:t>
      </w:r>
    </w:p>
    <w:p w14:paraId="5E14E977" w14:textId="77777777" w:rsidR="00193683" w:rsidRPr="00E918AA" w:rsidRDefault="00193683" w:rsidP="00817805">
      <w:pPr>
        <w:numPr>
          <w:ilvl w:val="0"/>
          <w:numId w:val="25"/>
        </w:numPr>
        <w:spacing w:before="100" w:beforeAutospacing="1" w:after="100" w:afterAutospacing="1" w:line="276" w:lineRule="auto"/>
        <w:jc w:val="both"/>
        <w:rPr>
          <w:rFonts w:ascii="Book Antiqua" w:eastAsia="Times New Roman" w:hAnsi="Book Antiqua" w:cs="Times New Roman"/>
          <w:sz w:val="24"/>
          <w:szCs w:val="24"/>
          <w:lang w:val="es-PR" w:eastAsia="es-PR"/>
        </w:rPr>
      </w:pPr>
      <w:r w:rsidRPr="00193683">
        <w:rPr>
          <w:rFonts w:ascii="Book Antiqua" w:eastAsia="Times New Roman" w:hAnsi="Book Antiqua" w:cs="Times New Roman"/>
          <w:sz w:val="24"/>
          <w:szCs w:val="24"/>
          <w:lang w:val="es-PR" w:eastAsia="es-PR"/>
        </w:rPr>
        <w:t xml:space="preserve">La obligación de implementar </w:t>
      </w:r>
      <w:r w:rsidRPr="00E918AA">
        <w:rPr>
          <w:rFonts w:ascii="Book Antiqua" w:eastAsia="Times New Roman" w:hAnsi="Book Antiqua" w:cs="Times New Roman"/>
          <w:sz w:val="24"/>
          <w:szCs w:val="24"/>
          <w:lang w:val="es-PR" w:eastAsia="es-PR"/>
        </w:rPr>
        <w:t>Planes de Competencia Cultural, que abarcan prácticas sensibles al idioma, cultura, género, orientación sexual, identidad de género y diversidad funcional.</w:t>
      </w:r>
    </w:p>
    <w:p w14:paraId="634D6F44" w14:textId="77777777" w:rsidR="00193683" w:rsidRPr="00E918AA" w:rsidRDefault="00193683" w:rsidP="00817805">
      <w:pPr>
        <w:numPr>
          <w:ilvl w:val="0"/>
          <w:numId w:val="25"/>
        </w:numPr>
        <w:spacing w:before="100" w:beforeAutospacing="1" w:after="100" w:afterAutospacing="1" w:line="276" w:lineRule="auto"/>
        <w:jc w:val="both"/>
        <w:rPr>
          <w:rFonts w:ascii="Book Antiqua" w:eastAsia="Times New Roman" w:hAnsi="Book Antiqua" w:cs="Times New Roman"/>
          <w:sz w:val="24"/>
          <w:szCs w:val="24"/>
          <w:lang w:val="es-PR" w:eastAsia="es-PR"/>
        </w:rPr>
      </w:pPr>
      <w:r w:rsidRPr="00E918AA">
        <w:rPr>
          <w:rFonts w:ascii="Book Antiqua" w:eastAsia="Times New Roman" w:hAnsi="Book Antiqua" w:cs="Times New Roman"/>
          <w:sz w:val="24"/>
          <w:szCs w:val="24"/>
          <w:lang w:val="es-PR" w:eastAsia="es-PR"/>
        </w:rPr>
        <w:t>La disponibilidad de servicios de intérpretes para afiliados con limitaciones lingüísticas o sensoriales, sin costo alguno para los beneficiarios.</w:t>
      </w:r>
    </w:p>
    <w:p w14:paraId="2CB27944" w14:textId="77777777" w:rsidR="00193683" w:rsidRPr="00193683" w:rsidRDefault="00193683" w:rsidP="00817805">
      <w:pPr>
        <w:numPr>
          <w:ilvl w:val="0"/>
          <w:numId w:val="25"/>
        </w:numPr>
        <w:spacing w:before="100" w:beforeAutospacing="1" w:after="100" w:afterAutospacing="1" w:line="276" w:lineRule="auto"/>
        <w:jc w:val="both"/>
        <w:rPr>
          <w:rFonts w:ascii="Book Antiqua" w:eastAsia="Times New Roman" w:hAnsi="Book Antiqua" w:cs="Times New Roman"/>
          <w:sz w:val="24"/>
          <w:szCs w:val="24"/>
          <w:lang w:val="es-PR" w:eastAsia="es-PR"/>
        </w:rPr>
      </w:pPr>
      <w:r w:rsidRPr="00E918AA">
        <w:rPr>
          <w:rFonts w:ascii="Book Antiqua" w:eastAsia="Times New Roman" w:hAnsi="Book Antiqua" w:cs="Times New Roman"/>
          <w:sz w:val="24"/>
          <w:szCs w:val="24"/>
          <w:lang w:val="es-PR" w:eastAsia="es-PR"/>
        </w:rPr>
        <w:t>El uso de auxiliares tecnológicos, como TTY</w:t>
      </w:r>
      <w:r w:rsidRPr="00193683">
        <w:rPr>
          <w:rFonts w:ascii="Book Antiqua" w:eastAsia="Times New Roman" w:hAnsi="Book Antiqua" w:cs="Times New Roman"/>
          <w:sz w:val="24"/>
          <w:szCs w:val="24"/>
          <w:lang w:val="es-PR" w:eastAsia="es-PR"/>
        </w:rPr>
        <w:t>/TDY y lenguaje de señas, y la obligación de mantener plataformas digitales accesibles conforme a la normativa del ADA.</w:t>
      </w:r>
    </w:p>
    <w:p w14:paraId="0069A98F" w14:textId="05D703D0" w:rsidR="00193683" w:rsidRPr="00193683" w:rsidRDefault="00193683" w:rsidP="00817805">
      <w:pPr>
        <w:spacing w:before="100" w:beforeAutospacing="1" w:after="100" w:afterAutospacing="1" w:line="276" w:lineRule="auto"/>
        <w:jc w:val="both"/>
        <w:rPr>
          <w:rFonts w:ascii="Book Antiqua" w:eastAsia="Times New Roman" w:hAnsi="Book Antiqua" w:cs="Times New Roman"/>
          <w:sz w:val="24"/>
          <w:szCs w:val="24"/>
          <w:lang w:val="es-PR" w:eastAsia="es-PR"/>
        </w:rPr>
      </w:pPr>
      <w:r w:rsidRPr="00193683">
        <w:rPr>
          <w:rFonts w:ascii="Book Antiqua" w:eastAsia="Times New Roman" w:hAnsi="Book Antiqua" w:cs="Times New Roman"/>
          <w:sz w:val="24"/>
          <w:szCs w:val="24"/>
          <w:lang w:val="es-PR" w:eastAsia="es-PR"/>
        </w:rPr>
        <w:t>Dado lo anterior, Triple</w:t>
      </w:r>
      <w:bookmarkStart w:id="4" w:name="_Hlk200728248"/>
      <w:r w:rsidRPr="00193683">
        <w:rPr>
          <w:rFonts w:ascii="Book Antiqua" w:eastAsia="Times New Roman" w:hAnsi="Book Antiqua" w:cs="Times New Roman"/>
          <w:sz w:val="24"/>
          <w:szCs w:val="24"/>
          <w:lang w:val="es-PR" w:eastAsia="es-PR"/>
        </w:rPr>
        <w:t>-</w:t>
      </w:r>
      <w:bookmarkEnd w:id="4"/>
      <w:r w:rsidRPr="00193683">
        <w:rPr>
          <w:rFonts w:ascii="Book Antiqua" w:eastAsia="Times New Roman" w:hAnsi="Book Antiqua" w:cs="Times New Roman"/>
          <w:sz w:val="24"/>
          <w:szCs w:val="24"/>
          <w:lang w:val="es-PR" w:eastAsia="es-PR"/>
        </w:rPr>
        <w:t xml:space="preserve">S considera que la propuesta legislativa incurre en </w:t>
      </w:r>
      <w:r w:rsidRPr="00E918AA">
        <w:rPr>
          <w:rFonts w:ascii="Book Antiqua" w:eastAsia="Times New Roman" w:hAnsi="Book Antiqua" w:cs="Times New Roman"/>
          <w:sz w:val="24"/>
          <w:szCs w:val="24"/>
          <w:lang w:val="es-PR" w:eastAsia="es-PR"/>
        </w:rPr>
        <w:t>una repetición innecesaria de mandatos ya impuestos por contratos regulados y auditados</w:t>
      </w:r>
      <w:r w:rsidRPr="00193683">
        <w:rPr>
          <w:rFonts w:ascii="Book Antiqua" w:eastAsia="Times New Roman" w:hAnsi="Book Antiqua" w:cs="Times New Roman"/>
          <w:b/>
          <w:bCs/>
          <w:sz w:val="24"/>
          <w:szCs w:val="24"/>
          <w:lang w:val="es-PR" w:eastAsia="es-PR"/>
        </w:rPr>
        <w:t xml:space="preserve"> </w:t>
      </w:r>
      <w:r w:rsidRPr="00E918AA">
        <w:rPr>
          <w:rFonts w:ascii="Book Antiqua" w:eastAsia="Times New Roman" w:hAnsi="Book Antiqua" w:cs="Times New Roman"/>
          <w:sz w:val="24"/>
          <w:szCs w:val="24"/>
          <w:lang w:val="es-PR" w:eastAsia="es-PR"/>
        </w:rPr>
        <w:t>a nivel</w:t>
      </w:r>
      <w:r w:rsidRPr="00193683">
        <w:rPr>
          <w:rFonts w:ascii="Book Antiqua" w:eastAsia="Times New Roman" w:hAnsi="Book Antiqua" w:cs="Times New Roman"/>
          <w:b/>
          <w:bCs/>
          <w:sz w:val="24"/>
          <w:szCs w:val="24"/>
          <w:lang w:val="es-PR" w:eastAsia="es-PR"/>
        </w:rPr>
        <w:t xml:space="preserve"> </w:t>
      </w:r>
      <w:r w:rsidRPr="009843F7">
        <w:rPr>
          <w:rFonts w:ascii="Book Antiqua" w:eastAsia="Times New Roman" w:hAnsi="Book Antiqua" w:cs="Times New Roman"/>
          <w:sz w:val="24"/>
          <w:szCs w:val="24"/>
          <w:lang w:val="es-PR" w:eastAsia="es-PR"/>
        </w:rPr>
        <w:t>federal,</w:t>
      </w:r>
      <w:r w:rsidRPr="00193683">
        <w:rPr>
          <w:rFonts w:ascii="Book Antiqua" w:eastAsia="Times New Roman" w:hAnsi="Book Antiqua" w:cs="Times New Roman"/>
          <w:sz w:val="24"/>
          <w:szCs w:val="24"/>
          <w:lang w:val="es-PR" w:eastAsia="es-PR"/>
        </w:rPr>
        <w:t xml:space="preserve"> lo que genera una situación de sobre regulación que complica la operación de las entidades aseguradoras sin aportar beneficios sustantivos adicionales.</w:t>
      </w:r>
    </w:p>
    <w:p w14:paraId="709A9256" w14:textId="20B9782A" w:rsidR="00193683" w:rsidRPr="00193683" w:rsidRDefault="009E04DF" w:rsidP="00817805">
      <w:pPr>
        <w:spacing w:before="100" w:beforeAutospacing="1" w:after="100" w:afterAutospacing="1" w:line="276" w:lineRule="auto"/>
        <w:jc w:val="both"/>
        <w:rPr>
          <w:rFonts w:ascii="Book Antiqua" w:eastAsia="Times New Roman" w:hAnsi="Book Antiqua" w:cs="Times New Roman"/>
          <w:sz w:val="24"/>
          <w:szCs w:val="24"/>
          <w:lang w:val="es-PR" w:eastAsia="es-PR"/>
        </w:rPr>
      </w:pPr>
      <w:r>
        <w:rPr>
          <w:rFonts w:ascii="Book Antiqua" w:eastAsia="Times New Roman" w:hAnsi="Book Antiqua" w:cs="Times New Roman"/>
          <w:sz w:val="24"/>
          <w:szCs w:val="24"/>
          <w:lang w:val="es-PR" w:eastAsia="es-PR"/>
        </w:rPr>
        <w:t>Triple</w:t>
      </w:r>
      <w:r w:rsidR="003B0B36" w:rsidRPr="00193683">
        <w:rPr>
          <w:rFonts w:ascii="Book Antiqua" w:eastAsia="Times New Roman" w:hAnsi="Book Antiqua" w:cs="Times New Roman"/>
          <w:sz w:val="24"/>
          <w:szCs w:val="24"/>
          <w:lang w:val="es-PR" w:eastAsia="es-PR"/>
        </w:rPr>
        <w:t>-</w:t>
      </w:r>
      <w:r>
        <w:rPr>
          <w:rFonts w:ascii="Book Antiqua" w:eastAsia="Times New Roman" w:hAnsi="Book Antiqua" w:cs="Times New Roman"/>
          <w:sz w:val="24"/>
          <w:szCs w:val="24"/>
          <w:lang w:val="es-PR" w:eastAsia="es-PR"/>
        </w:rPr>
        <w:t xml:space="preserve">S </w:t>
      </w:r>
      <w:r w:rsidR="009843F7">
        <w:rPr>
          <w:rFonts w:ascii="Book Antiqua" w:eastAsia="Times New Roman" w:hAnsi="Book Antiqua" w:cs="Times New Roman"/>
          <w:sz w:val="24"/>
          <w:szCs w:val="24"/>
          <w:lang w:val="es-PR" w:eastAsia="es-PR"/>
        </w:rPr>
        <w:t>enfatizó</w:t>
      </w:r>
      <w:r w:rsidR="003B0B36">
        <w:rPr>
          <w:rFonts w:ascii="Book Antiqua" w:eastAsia="Times New Roman" w:hAnsi="Book Antiqua" w:cs="Times New Roman"/>
          <w:sz w:val="24"/>
          <w:szCs w:val="24"/>
          <w:lang w:val="es-PR" w:eastAsia="es-PR"/>
        </w:rPr>
        <w:t xml:space="preserve">, </w:t>
      </w:r>
      <w:proofErr w:type="gramStart"/>
      <w:r w:rsidR="003B0B36">
        <w:rPr>
          <w:rFonts w:ascii="Book Antiqua" w:eastAsia="Times New Roman" w:hAnsi="Book Antiqua" w:cs="Times New Roman"/>
          <w:sz w:val="24"/>
          <w:szCs w:val="24"/>
          <w:lang w:val="es-PR" w:eastAsia="es-PR"/>
        </w:rPr>
        <w:t>que</w:t>
      </w:r>
      <w:proofErr w:type="gramEnd"/>
      <w:r w:rsidR="009D20EA">
        <w:rPr>
          <w:rFonts w:ascii="Book Antiqua" w:eastAsia="Times New Roman" w:hAnsi="Book Antiqua" w:cs="Times New Roman"/>
          <w:sz w:val="24"/>
          <w:szCs w:val="24"/>
          <w:lang w:val="es-PR" w:eastAsia="es-PR"/>
        </w:rPr>
        <w:t xml:space="preserve"> aunque</w:t>
      </w:r>
      <w:r w:rsidR="00193683" w:rsidRPr="00193683">
        <w:rPr>
          <w:rFonts w:ascii="Book Antiqua" w:eastAsia="Times New Roman" w:hAnsi="Book Antiqua" w:cs="Times New Roman"/>
          <w:sz w:val="24"/>
          <w:szCs w:val="24"/>
          <w:lang w:val="es-PR" w:eastAsia="es-PR"/>
        </w:rPr>
        <w:t xml:space="preserve"> recono</w:t>
      </w:r>
      <w:r>
        <w:rPr>
          <w:rFonts w:ascii="Book Antiqua" w:eastAsia="Times New Roman" w:hAnsi="Book Antiqua" w:cs="Times New Roman"/>
          <w:sz w:val="24"/>
          <w:szCs w:val="24"/>
          <w:lang w:val="es-PR" w:eastAsia="es-PR"/>
        </w:rPr>
        <w:t>ce</w:t>
      </w:r>
      <w:r w:rsidR="00193683" w:rsidRPr="00193683">
        <w:rPr>
          <w:rFonts w:ascii="Book Antiqua" w:eastAsia="Times New Roman" w:hAnsi="Book Antiqua" w:cs="Times New Roman"/>
          <w:sz w:val="24"/>
          <w:szCs w:val="24"/>
          <w:lang w:val="es-PR" w:eastAsia="es-PR"/>
        </w:rPr>
        <w:t xml:space="preserve"> la intención protectora del legislador</w:t>
      </w:r>
      <w:r>
        <w:rPr>
          <w:rFonts w:ascii="Book Antiqua" w:eastAsia="Times New Roman" w:hAnsi="Book Antiqua" w:cs="Times New Roman"/>
          <w:sz w:val="24"/>
          <w:szCs w:val="24"/>
          <w:lang w:val="es-PR" w:eastAsia="es-PR"/>
        </w:rPr>
        <w:t xml:space="preserve">. </w:t>
      </w:r>
      <w:r w:rsidR="00516B0E">
        <w:rPr>
          <w:rFonts w:ascii="Book Antiqua" w:eastAsia="Times New Roman" w:hAnsi="Book Antiqua" w:cs="Times New Roman"/>
          <w:sz w:val="24"/>
          <w:szCs w:val="24"/>
          <w:lang w:val="es-PR" w:eastAsia="es-PR"/>
        </w:rPr>
        <w:t xml:space="preserve">Es la </w:t>
      </w:r>
      <w:r w:rsidR="005A03CC">
        <w:rPr>
          <w:rFonts w:ascii="Book Antiqua" w:eastAsia="Times New Roman" w:hAnsi="Book Antiqua" w:cs="Times New Roman"/>
          <w:sz w:val="24"/>
          <w:szCs w:val="24"/>
          <w:lang w:val="es-PR" w:eastAsia="es-PR"/>
        </w:rPr>
        <w:t>opinión</w:t>
      </w:r>
      <w:r>
        <w:rPr>
          <w:rFonts w:ascii="Book Antiqua" w:eastAsia="Times New Roman" w:hAnsi="Book Antiqua" w:cs="Times New Roman"/>
          <w:sz w:val="24"/>
          <w:szCs w:val="24"/>
          <w:lang w:val="es-PR" w:eastAsia="es-PR"/>
        </w:rPr>
        <w:t xml:space="preserve"> </w:t>
      </w:r>
      <w:r w:rsidR="00193683" w:rsidRPr="00193683">
        <w:rPr>
          <w:rFonts w:ascii="Book Antiqua" w:eastAsia="Times New Roman" w:hAnsi="Book Antiqua" w:cs="Times New Roman"/>
          <w:sz w:val="24"/>
          <w:szCs w:val="24"/>
          <w:lang w:val="es-PR" w:eastAsia="es-PR"/>
        </w:rPr>
        <w:t xml:space="preserve">que el texto de la medida contiene múltiples disposiciones </w:t>
      </w:r>
      <w:r w:rsidR="00193683" w:rsidRPr="00E918AA">
        <w:rPr>
          <w:rFonts w:ascii="Book Antiqua" w:eastAsia="Times New Roman" w:hAnsi="Book Antiqua" w:cs="Times New Roman"/>
          <w:sz w:val="24"/>
          <w:szCs w:val="24"/>
          <w:lang w:val="es-PR" w:eastAsia="es-PR"/>
        </w:rPr>
        <w:t>ambiguas, imprecisas y técnicamente inadecuadas</w:t>
      </w:r>
      <w:r w:rsidR="00193683" w:rsidRPr="00193683">
        <w:rPr>
          <w:rFonts w:ascii="Book Antiqua" w:eastAsia="Times New Roman" w:hAnsi="Book Antiqua" w:cs="Times New Roman"/>
          <w:sz w:val="24"/>
          <w:szCs w:val="24"/>
          <w:lang w:val="es-PR" w:eastAsia="es-PR"/>
        </w:rPr>
        <w:t>, que pueden derivar en interpretaciones arbitrarias o en una aplicación inconsistente. A modo de ejemplo</w:t>
      </w:r>
      <w:r w:rsidR="00A83549">
        <w:rPr>
          <w:rFonts w:ascii="Book Antiqua" w:eastAsia="Times New Roman" w:hAnsi="Book Antiqua" w:cs="Times New Roman"/>
          <w:sz w:val="24"/>
          <w:szCs w:val="24"/>
          <w:lang w:val="es-PR" w:eastAsia="es-PR"/>
        </w:rPr>
        <w:t xml:space="preserve"> resaltó que</w:t>
      </w:r>
      <w:r w:rsidR="00193683" w:rsidRPr="00193683">
        <w:rPr>
          <w:rFonts w:ascii="Book Antiqua" w:eastAsia="Times New Roman" w:hAnsi="Book Antiqua" w:cs="Times New Roman"/>
          <w:sz w:val="24"/>
          <w:szCs w:val="24"/>
          <w:lang w:val="es-PR" w:eastAsia="es-PR"/>
        </w:rPr>
        <w:t>:</w:t>
      </w:r>
    </w:p>
    <w:p w14:paraId="74ECE0B5" w14:textId="77777777" w:rsidR="00193683" w:rsidRPr="00193683" w:rsidRDefault="00193683" w:rsidP="00817805">
      <w:pPr>
        <w:numPr>
          <w:ilvl w:val="0"/>
          <w:numId w:val="26"/>
        </w:numPr>
        <w:spacing w:before="100" w:beforeAutospacing="1" w:after="100" w:afterAutospacing="1" w:line="276" w:lineRule="auto"/>
        <w:jc w:val="both"/>
        <w:rPr>
          <w:rFonts w:ascii="Book Antiqua" w:eastAsia="Times New Roman" w:hAnsi="Book Antiqua" w:cs="Times New Roman"/>
          <w:sz w:val="24"/>
          <w:szCs w:val="24"/>
          <w:lang w:val="es-PR" w:eastAsia="es-PR"/>
        </w:rPr>
      </w:pPr>
      <w:r w:rsidRPr="00193683">
        <w:rPr>
          <w:rFonts w:ascii="Book Antiqua" w:eastAsia="Times New Roman" w:hAnsi="Book Antiqua" w:cs="Times New Roman"/>
          <w:sz w:val="24"/>
          <w:szCs w:val="24"/>
          <w:lang w:val="es-PR" w:eastAsia="es-PR"/>
        </w:rPr>
        <w:t xml:space="preserve">El proyecto propone </w:t>
      </w:r>
      <w:r w:rsidRPr="00FE1DAA">
        <w:rPr>
          <w:rFonts w:ascii="Book Antiqua" w:eastAsia="Times New Roman" w:hAnsi="Book Antiqua" w:cs="Times New Roman"/>
          <w:sz w:val="24"/>
          <w:szCs w:val="24"/>
          <w:lang w:val="es-PR" w:eastAsia="es-PR"/>
        </w:rPr>
        <w:t>proscribir los "referidos irracionales e innecesarios"</w:t>
      </w:r>
      <w:r w:rsidRPr="00193683">
        <w:rPr>
          <w:rFonts w:ascii="Book Antiqua" w:eastAsia="Times New Roman" w:hAnsi="Book Antiqua" w:cs="Times New Roman"/>
          <w:sz w:val="24"/>
          <w:szCs w:val="24"/>
          <w:lang w:val="es-PR" w:eastAsia="es-PR"/>
        </w:rPr>
        <w:t xml:space="preserve"> por parte de aseguradoras, sin definir en términos operativos qué criterios o estándares aplicarían para determinar cuándo un referido cae en esa categoría. Esto introduce un margen de subjetividad que socava la seguridad jurídica de los procesos clínicos y de autorización.</w:t>
      </w:r>
    </w:p>
    <w:p w14:paraId="3E756488" w14:textId="77777777" w:rsidR="00193683" w:rsidRPr="00193683" w:rsidRDefault="00193683" w:rsidP="00817805">
      <w:pPr>
        <w:numPr>
          <w:ilvl w:val="0"/>
          <w:numId w:val="26"/>
        </w:numPr>
        <w:spacing w:before="100" w:beforeAutospacing="1" w:after="100" w:afterAutospacing="1" w:line="276" w:lineRule="auto"/>
        <w:jc w:val="both"/>
        <w:rPr>
          <w:rFonts w:ascii="Book Antiqua" w:eastAsia="Times New Roman" w:hAnsi="Book Antiqua" w:cs="Times New Roman"/>
          <w:sz w:val="24"/>
          <w:szCs w:val="24"/>
          <w:lang w:val="es-PR" w:eastAsia="es-PR"/>
        </w:rPr>
      </w:pPr>
      <w:r w:rsidRPr="00193683">
        <w:rPr>
          <w:rFonts w:ascii="Book Antiqua" w:eastAsia="Times New Roman" w:hAnsi="Book Antiqua" w:cs="Times New Roman"/>
          <w:sz w:val="24"/>
          <w:szCs w:val="24"/>
          <w:lang w:val="es-PR" w:eastAsia="es-PR"/>
        </w:rPr>
        <w:t xml:space="preserve">Se introduce también la exigencia de que los deducibles por servicios de telemedicina sean </w:t>
      </w:r>
      <w:r w:rsidRPr="00FE1DAA">
        <w:rPr>
          <w:rFonts w:ascii="Book Antiqua" w:eastAsia="Times New Roman" w:hAnsi="Book Antiqua" w:cs="Times New Roman"/>
          <w:sz w:val="24"/>
          <w:szCs w:val="24"/>
          <w:lang w:val="es-PR" w:eastAsia="es-PR"/>
        </w:rPr>
        <w:t>“razonables y lícitos”,</w:t>
      </w:r>
      <w:r w:rsidRPr="00193683">
        <w:rPr>
          <w:rFonts w:ascii="Book Antiqua" w:eastAsia="Times New Roman" w:hAnsi="Book Antiqua" w:cs="Times New Roman"/>
          <w:sz w:val="24"/>
          <w:szCs w:val="24"/>
          <w:lang w:val="es-PR" w:eastAsia="es-PR"/>
        </w:rPr>
        <w:t xml:space="preserve"> sin especificar un estándar cuantificable, ni distinguir entre conceptos como copago, coaseguro o deducible. Esta falta de precisión podría inducir a errores de cumplimiento y a controversias contractuales entre asegurados, proveedores y aseguradoras.</w:t>
      </w:r>
    </w:p>
    <w:p w14:paraId="37B06120" w14:textId="0868BEE4" w:rsidR="00193683" w:rsidRPr="00193683" w:rsidRDefault="00193683" w:rsidP="00817805">
      <w:pPr>
        <w:numPr>
          <w:ilvl w:val="0"/>
          <w:numId w:val="26"/>
        </w:numPr>
        <w:spacing w:before="100" w:beforeAutospacing="1" w:after="100" w:afterAutospacing="1" w:line="276" w:lineRule="auto"/>
        <w:jc w:val="both"/>
        <w:rPr>
          <w:rFonts w:ascii="Book Antiqua" w:eastAsia="Times New Roman" w:hAnsi="Book Antiqua" w:cs="Times New Roman"/>
          <w:sz w:val="24"/>
          <w:szCs w:val="24"/>
          <w:lang w:val="es-PR" w:eastAsia="es-PR"/>
        </w:rPr>
      </w:pPr>
      <w:r w:rsidRPr="00193683">
        <w:rPr>
          <w:rFonts w:ascii="Book Antiqua" w:eastAsia="Times New Roman" w:hAnsi="Book Antiqua" w:cs="Times New Roman"/>
          <w:sz w:val="24"/>
          <w:szCs w:val="24"/>
          <w:lang w:val="es-PR" w:eastAsia="es-PR"/>
        </w:rPr>
        <w:t xml:space="preserve">La imposición de </w:t>
      </w:r>
      <w:r w:rsidRPr="00FE1DAA">
        <w:rPr>
          <w:rFonts w:ascii="Book Antiqua" w:eastAsia="Times New Roman" w:hAnsi="Book Antiqua" w:cs="Times New Roman"/>
          <w:sz w:val="24"/>
          <w:szCs w:val="24"/>
          <w:lang w:val="es-PR" w:eastAsia="es-PR"/>
        </w:rPr>
        <w:t xml:space="preserve">espacios privados de espera para personas </w:t>
      </w:r>
      <w:proofErr w:type="spellStart"/>
      <w:r w:rsidRPr="00FE1DAA">
        <w:rPr>
          <w:rFonts w:ascii="Book Antiqua" w:eastAsia="Times New Roman" w:hAnsi="Book Antiqua" w:cs="Times New Roman"/>
          <w:sz w:val="24"/>
          <w:szCs w:val="24"/>
          <w:lang w:val="es-PR" w:eastAsia="es-PR"/>
        </w:rPr>
        <w:t>neurodiversas</w:t>
      </w:r>
      <w:proofErr w:type="spellEnd"/>
      <w:r w:rsidRPr="00FE1DAA">
        <w:rPr>
          <w:rFonts w:ascii="Book Antiqua" w:eastAsia="Times New Roman" w:hAnsi="Book Antiqua" w:cs="Times New Roman"/>
          <w:sz w:val="24"/>
          <w:szCs w:val="24"/>
          <w:lang w:val="es-PR" w:eastAsia="es-PR"/>
        </w:rPr>
        <w:t xml:space="preserve"> o con trastornos sensoriales</w:t>
      </w:r>
      <w:r w:rsidRPr="00193683">
        <w:rPr>
          <w:rFonts w:ascii="Book Antiqua" w:eastAsia="Times New Roman" w:hAnsi="Book Antiqua" w:cs="Times New Roman"/>
          <w:sz w:val="24"/>
          <w:szCs w:val="24"/>
          <w:lang w:val="es-PR" w:eastAsia="es-PR"/>
        </w:rPr>
        <w:t xml:space="preserve"> en todas las instituciones clínicas y centros de salud </w:t>
      </w:r>
      <w:r w:rsidRPr="00193683">
        <w:rPr>
          <w:rFonts w:ascii="Book Antiqua" w:eastAsia="Times New Roman" w:hAnsi="Book Antiqua" w:cs="Times New Roman"/>
          <w:sz w:val="24"/>
          <w:szCs w:val="24"/>
          <w:lang w:val="es-PR" w:eastAsia="es-PR"/>
        </w:rPr>
        <w:lastRenderedPageBreak/>
        <w:t>representa una carga económica significativa, especialmente para pequeños proveedores o instalaciones rurales con recursos limitados. Además, la medida impone sanciones de hasta $5,000 por cada infracción, sin establecer criterios razonables para determinar la “viabilidad” o “posibilidad” de cumplir con la exigencia.</w:t>
      </w:r>
    </w:p>
    <w:p w14:paraId="048AE311" w14:textId="3B227B62" w:rsidR="00193683" w:rsidRPr="00193683" w:rsidRDefault="00193683" w:rsidP="00817805">
      <w:pPr>
        <w:spacing w:before="100" w:beforeAutospacing="1" w:after="100" w:afterAutospacing="1" w:line="276" w:lineRule="auto"/>
        <w:jc w:val="both"/>
        <w:rPr>
          <w:rFonts w:ascii="Book Antiqua" w:eastAsia="Times New Roman" w:hAnsi="Book Antiqua" w:cs="Times New Roman"/>
          <w:sz w:val="24"/>
          <w:szCs w:val="24"/>
          <w:lang w:val="es-PR" w:eastAsia="es-PR"/>
        </w:rPr>
      </w:pPr>
      <w:r w:rsidRPr="00193683">
        <w:rPr>
          <w:rFonts w:ascii="Book Antiqua" w:eastAsia="Times New Roman" w:hAnsi="Book Antiqua" w:cs="Times New Roman"/>
          <w:sz w:val="24"/>
          <w:szCs w:val="24"/>
          <w:lang w:val="es-PR" w:eastAsia="es-PR"/>
        </w:rPr>
        <w:t xml:space="preserve"> </w:t>
      </w:r>
      <w:r w:rsidR="00F4406B">
        <w:rPr>
          <w:rFonts w:ascii="Book Antiqua" w:eastAsia="Times New Roman" w:hAnsi="Book Antiqua" w:cs="Times New Roman"/>
          <w:sz w:val="24"/>
          <w:szCs w:val="24"/>
          <w:lang w:val="es-PR" w:eastAsia="es-PR"/>
        </w:rPr>
        <w:t>Asimismo,</w:t>
      </w:r>
      <w:r w:rsidR="00F4406B" w:rsidRPr="00193683">
        <w:rPr>
          <w:rFonts w:ascii="Book Antiqua" w:eastAsia="Times New Roman" w:hAnsi="Book Antiqua" w:cs="Times New Roman"/>
          <w:sz w:val="24"/>
          <w:szCs w:val="24"/>
          <w:lang w:val="es-PR" w:eastAsia="es-PR"/>
        </w:rPr>
        <w:t xml:space="preserve"> Triple</w:t>
      </w:r>
      <w:r w:rsidRPr="00193683">
        <w:rPr>
          <w:rFonts w:ascii="Book Antiqua" w:eastAsia="Times New Roman" w:hAnsi="Book Antiqua" w:cs="Times New Roman"/>
          <w:sz w:val="24"/>
          <w:szCs w:val="24"/>
          <w:lang w:val="es-PR" w:eastAsia="es-PR"/>
        </w:rPr>
        <w:t>-S alertó</w:t>
      </w:r>
      <w:r w:rsidR="003B0B36">
        <w:rPr>
          <w:rFonts w:ascii="Book Antiqua" w:eastAsia="Times New Roman" w:hAnsi="Book Antiqua" w:cs="Times New Roman"/>
          <w:sz w:val="24"/>
          <w:szCs w:val="24"/>
          <w:lang w:val="es-PR" w:eastAsia="es-PR"/>
        </w:rPr>
        <w:t>,</w:t>
      </w:r>
      <w:r w:rsidRPr="00193683">
        <w:rPr>
          <w:rFonts w:ascii="Book Antiqua" w:eastAsia="Times New Roman" w:hAnsi="Book Antiqua" w:cs="Times New Roman"/>
          <w:sz w:val="24"/>
          <w:szCs w:val="24"/>
          <w:lang w:val="es-PR" w:eastAsia="es-PR"/>
        </w:rPr>
        <w:t xml:space="preserve"> que la aprobación de esta medida podría </w:t>
      </w:r>
      <w:r w:rsidRPr="00F4406B">
        <w:rPr>
          <w:rFonts w:ascii="Book Antiqua" w:eastAsia="Times New Roman" w:hAnsi="Book Antiqua" w:cs="Times New Roman"/>
          <w:sz w:val="24"/>
          <w:szCs w:val="24"/>
          <w:lang w:val="es-PR" w:eastAsia="es-PR"/>
        </w:rPr>
        <w:t>poner en riesgo el cumplimiento federal de Puerto Rico ante los organismos que supervisan el sistema de salud financiado con fondos federales</w:t>
      </w:r>
      <w:r w:rsidRPr="00193683">
        <w:rPr>
          <w:rFonts w:ascii="Book Antiqua" w:eastAsia="Times New Roman" w:hAnsi="Book Antiqua" w:cs="Times New Roman"/>
          <w:sz w:val="24"/>
          <w:szCs w:val="24"/>
          <w:lang w:val="es-PR" w:eastAsia="es-PR"/>
        </w:rPr>
        <w:t xml:space="preserve">, como el CMS. </w:t>
      </w:r>
      <w:r w:rsidR="009F3530">
        <w:rPr>
          <w:rFonts w:ascii="Book Antiqua" w:eastAsia="Times New Roman" w:hAnsi="Book Antiqua" w:cs="Times New Roman"/>
          <w:sz w:val="24"/>
          <w:szCs w:val="24"/>
          <w:lang w:val="es-PR" w:eastAsia="es-PR"/>
        </w:rPr>
        <w:t xml:space="preserve"> Argument</w:t>
      </w:r>
      <w:r w:rsidR="003B0B36">
        <w:rPr>
          <w:rFonts w:ascii="Book Antiqua" w:eastAsia="Times New Roman" w:hAnsi="Book Antiqua" w:cs="Times New Roman"/>
          <w:sz w:val="24"/>
          <w:szCs w:val="24"/>
          <w:lang w:val="es-PR" w:eastAsia="es-PR"/>
        </w:rPr>
        <w:t xml:space="preserve">ó, </w:t>
      </w:r>
      <w:proofErr w:type="gramStart"/>
      <w:r w:rsidR="007B24AB">
        <w:rPr>
          <w:rFonts w:ascii="Book Antiqua" w:eastAsia="Times New Roman" w:hAnsi="Book Antiqua" w:cs="Times New Roman"/>
          <w:sz w:val="24"/>
          <w:szCs w:val="24"/>
          <w:lang w:val="es-PR" w:eastAsia="es-PR"/>
        </w:rPr>
        <w:t>que</w:t>
      </w:r>
      <w:proofErr w:type="gramEnd"/>
      <w:r w:rsidR="003B0B36">
        <w:rPr>
          <w:rFonts w:ascii="Book Antiqua" w:eastAsia="Times New Roman" w:hAnsi="Book Antiqua" w:cs="Times New Roman"/>
          <w:sz w:val="24"/>
          <w:szCs w:val="24"/>
          <w:lang w:val="es-PR" w:eastAsia="es-PR"/>
        </w:rPr>
        <w:t xml:space="preserve"> </w:t>
      </w:r>
      <w:r w:rsidR="009F3530">
        <w:rPr>
          <w:rFonts w:ascii="Book Antiqua" w:eastAsia="Times New Roman" w:hAnsi="Book Antiqua" w:cs="Times New Roman"/>
          <w:sz w:val="24"/>
          <w:szCs w:val="24"/>
          <w:lang w:val="es-PR" w:eastAsia="es-PR"/>
        </w:rPr>
        <w:t>e</w:t>
      </w:r>
      <w:r w:rsidRPr="00193683">
        <w:rPr>
          <w:rFonts w:ascii="Book Antiqua" w:eastAsia="Times New Roman" w:hAnsi="Book Antiqua" w:cs="Times New Roman"/>
          <w:sz w:val="24"/>
          <w:szCs w:val="24"/>
          <w:lang w:val="es-PR" w:eastAsia="es-PR"/>
        </w:rPr>
        <w:t>n la práctica, imponer requisitos estatales que diverjan o contradigan los contratos o regulaciones federales puede llevar a conflictos regulatorios que afecten negativamente el financiamiento, la auditoría o la continuidad operacional de programas vitales como el Plan Vital o Medicare Platino.</w:t>
      </w:r>
    </w:p>
    <w:p w14:paraId="2C0E866F" w14:textId="56CC42BB" w:rsidR="00193683" w:rsidRPr="00193683" w:rsidRDefault="004E2CC6" w:rsidP="00817805">
      <w:pPr>
        <w:spacing w:before="100" w:beforeAutospacing="1" w:after="100" w:afterAutospacing="1" w:line="276" w:lineRule="auto"/>
        <w:jc w:val="both"/>
        <w:rPr>
          <w:rFonts w:ascii="Book Antiqua" w:eastAsia="Times New Roman" w:hAnsi="Book Antiqua" w:cs="Times New Roman"/>
          <w:sz w:val="24"/>
          <w:szCs w:val="24"/>
          <w:lang w:val="es-PR" w:eastAsia="es-PR"/>
        </w:rPr>
      </w:pPr>
      <w:r w:rsidRPr="00193683">
        <w:rPr>
          <w:rFonts w:ascii="Book Antiqua" w:eastAsia="Times New Roman" w:hAnsi="Book Antiqua" w:cs="Times New Roman"/>
          <w:sz w:val="24"/>
          <w:szCs w:val="24"/>
          <w:lang w:val="es-PR" w:eastAsia="es-PR"/>
        </w:rPr>
        <w:t>Igualmente</w:t>
      </w:r>
      <w:r w:rsidR="007B24AB" w:rsidRPr="00193683">
        <w:rPr>
          <w:rFonts w:ascii="Book Antiqua" w:eastAsia="Times New Roman" w:hAnsi="Book Antiqua" w:cs="Times New Roman"/>
          <w:sz w:val="24"/>
          <w:szCs w:val="24"/>
          <w:lang w:val="es-PR" w:eastAsia="es-PR"/>
        </w:rPr>
        <w:t>,</w:t>
      </w:r>
      <w:r w:rsidR="007B24AB">
        <w:rPr>
          <w:rFonts w:ascii="Book Antiqua" w:eastAsia="Times New Roman" w:hAnsi="Book Antiqua" w:cs="Times New Roman"/>
          <w:sz w:val="24"/>
          <w:szCs w:val="24"/>
          <w:lang w:val="es-PR" w:eastAsia="es-PR"/>
        </w:rPr>
        <w:t xml:space="preserve"> expuso que</w:t>
      </w:r>
      <w:r w:rsidR="00193683" w:rsidRPr="00193683">
        <w:rPr>
          <w:rFonts w:ascii="Book Antiqua" w:eastAsia="Times New Roman" w:hAnsi="Book Antiqua" w:cs="Times New Roman"/>
          <w:sz w:val="24"/>
          <w:szCs w:val="24"/>
          <w:lang w:val="es-PR" w:eastAsia="es-PR"/>
        </w:rPr>
        <w:t xml:space="preserve"> la imposición de nuevas cargas reglamentarias o económicas, como las propuestas en este proyecto, sin un análisis de impacto fiscal, puede agravar las condiciones del sistema de salud, que ya enfrenta retos financieros estructurales.</w:t>
      </w:r>
      <w:r w:rsidR="00DB5F5B">
        <w:rPr>
          <w:rFonts w:ascii="Book Antiqua" w:eastAsia="Times New Roman" w:hAnsi="Book Antiqua" w:cs="Times New Roman"/>
          <w:sz w:val="24"/>
          <w:szCs w:val="24"/>
          <w:lang w:val="es-PR" w:eastAsia="es-PR"/>
        </w:rPr>
        <w:t xml:space="preserve"> Sostuvo</w:t>
      </w:r>
      <w:r w:rsidR="007C0ABB">
        <w:rPr>
          <w:rFonts w:ascii="Book Antiqua" w:eastAsia="Times New Roman" w:hAnsi="Book Antiqua" w:cs="Times New Roman"/>
          <w:sz w:val="24"/>
          <w:szCs w:val="24"/>
          <w:lang w:val="es-PR" w:eastAsia="es-PR"/>
        </w:rPr>
        <w:t xml:space="preserve"> que</w:t>
      </w:r>
      <w:r w:rsidR="00193683" w:rsidRPr="00193683">
        <w:rPr>
          <w:rFonts w:ascii="Book Antiqua" w:eastAsia="Times New Roman" w:hAnsi="Book Antiqua" w:cs="Times New Roman"/>
          <w:sz w:val="24"/>
          <w:szCs w:val="24"/>
          <w:lang w:val="es-PR" w:eastAsia="es-PR"/>
        </w:rPr>
        <w:t xml:space="preserve"> </w:t>
      </w:r>
      <w:r w:rsidR="007C0ABB">
        <w:rPr>
          <w:rFonts w:ascii="Book Antiqua" w:eastAsia="Times New Roman" w:hAnsi="Book Antiqua" w:cs="Times New Roman"/>
          <w:sz w:val="24"/>
          <w:szCs w:val="24"/>
          <w:lang w:val="es-PR" w:eastAsia="es-PR"/>
        </w:rPr>
        <w:t>l</w:t>
      </w:r>
      <w:r w:rsidR="00193683" w:rsidRPr="00193683">
        <w:rPr>
          <w:rFonts w:ascii="Book Antiqua" w:eastAsia="Times New Roman" w:hAnsi="Book Antiqua" w:cs="Times New Roman"/>
          <w:sz w:val="24"/>
          <w:szCs w:val="24"/>
          <w:lang w:val="es-PR" w:eastAsia="es-PR"/>
        </w:rPr>
        <w:t>os proveedores podrían verse obligados a reducir su plantilla o limitar servicios para poder cumplir con nuevas exigencias físicas, operacionales o de cumplimiento, lo que irónicamente podría reducir la calidad y disponibilidad de servicios para la misma población que se busca proteger.</w:t>
      </w:r>
    </w:p>
    <w:p w14:paraId="4448218C" w14:textId="79225EB7" w:rsidR="00193683" w:rsidRPr="00193683" w:rsidRDefault="00193683" w:rsidP="00817805">
      <w:pPr>
        <w:spacing w:before="100" w:beforeAutospacing="1" w:after="100" w:afterAutospacing="1" w:line="276" w:lineRule="auto"/>
        <w:jc w:val="both"/>
        <w:rPr>
          <w:rFonts w:ascii="Book Antiqua" w:eastAsia="Times New Roman" w:hAnsi="Book Antiqua" w:cs="Times New Roman"/>
          <w:sz w:val="24"/>
          <w:szCs w:val="24"/>
          <w:lang w:val="es-PR" w:eastAsia="es-PR"/>
        </w:rPr>
      </w:pPr>
      <w:r w:rsidRPr="00193683">
        <w:rPr>
          <w:rFonts w:ascii="Book Antiqua" w:eastAsia="Times New Roman" w:hAnsi="Book Antiqua" w:cs="Times New Roman"/>
          <w:sz w:val="24"/>
          <w:szCs w:val="24"/>
          <w:lang w:val="es-PR" w:eastAsia="es-PR"/>
        </w:rPr>
        <w:t>En virtud de todo lo anterior, Triple-S concluy</w:t>
      </w:r>
      <w:r w:rsidR="00E559BB">
        <w:rPr>
          <w:rFonts w:ascii="Book Antiqua" w:eastAsia="Times New Roman" w:hAnsi="Book Antiqua" w:cs="Times New Roman"/>
          <w:sz w:val="24"/>
          <w:szCs w:val="24"/>
          <w:lang w:val="es-PR" w:eastAsia="es-PR"/>
        </w:rPr>
        <w:t>ó</w:t>
      </w:r>
      <w:r w:rsidR="000A5885">
        <w:rPr>
          <w:rFonts w:ascii="Book Antiqua" w:eastAsia="Times New Roman" w:hAnsi="Book Antiqua" w:cs="Times New Roman"/>
          <w:sz w:val="24"/>
          <w:szCs w:val="24"/>
          <w:lang w:val="es-PR" w:eastAsia="es-PR"/>
        </w:rPr>
        <w:t xml:space="preserve"> emitie</w:t>
      </w:r>
      <w:r w:rsidR="00587F5C">
        <w:rPr>
          <w:rFonts w:ascii="Book Antiqua" w:eastAsia="Times New Roman" w:hAnsi="Book Antiqua" w:cs="Times New Roman"/>
          <w:sz w:val="24"/>
          <w:szCs w:val="24"/>
          <w:lang w:val="es-PR" w:eastAsia="es-PR"/>
        </w:rPr>
        <w:t>ndo</w:t>
      </w:r>
      <w:r w:rsidRPr="00193683">
        <w:rPr>
          <w:rFonts w:ascii="Book Antiqua" w:eastAsia="Times New Roman" w:hAnsi="Book Antiqua" w:cs="Times New Roman"/>
          <w:sz w:val="24"/>
          <w:szCs w:val="24"/>
          <w:lang w:val="es-PR" w:eastAsia="es-PR"/>
        </w:rPr>
        <w:t xml:space="preserve"> una oposición firme a la aprobación del Proyecto del Senado 423 en su forma actual. </w:t>
      </w:r>
      <w:r w:rsidR="00587F5C">
        <w:rPr>
          <w:rFonts w:ascii="Book Antiqua" w:eastAsia="Times New Roman" w:hAnsi="Book Antiqua" w:cs="Times New Roman"/>
          <w:sz w:val="24"/>
          <w:szCs w:val="24"/>
          <w:lang w:val="es-PR" w:eastAsia="es-PR"/>
        </w:rPr>
        <w:t xml:space="preserve"> Destacó</w:t>
      </w:r>
      <w:r w:rsidR="003B0B36">
        <w:rPr>
          <w:rFonts w:ascii="Book Antiqua" w:eastAsia="Times New Roman" w:hAnsi="Book Antiqua" w:cs="Times New Roman"/>
          <w:sz w:val="24"/>
          <w:szCs w:val="24"/>
          <w:lang w:val="es-PR" w:eastAsia="es-PR"/>
        </w:rPr>
        <w:t xml:space="preserve"> </w:t>
      </w:r>
      <w:r w:rsidR="004E2CC6">
        <w:rPr>
          <w:rFonts w:ascii="Book Antiqua" w:eastAsia="Times New Roman" w:hAnsi="Book Antiqua" w:cs="Times New Roman"/>
          <w:sz w:val="24"/>
          <w:szCs w:val="24"/>
          <w:lang w:val="es-PR" w:eastAsia="es-PR"/>
        </w:rPr>
        <w:t>que,</w:t>
      </w:r>
      <w:r w:rsidR="00587F5C">
        <w:rPr>
          <w:rFonts w:ascii="Book Antiqua" w:eastAsia="Times New Roman" w:hAnsi="Book Antiqua" w:cs="Times New Roman"/>
          <w:sz w:val="24"/>
          <w:szCs w:val="24"/>
          <w:lang w:val="es-PR" w:eastAsia="es-PR"/>
        </w:rPr>
        <w:t xml:space="preserve"> a</w:t>
      </w:r>
      <w:r w:rsidRPr="00193683">
        <w:rPr>
          <w:rFonts w:ascii="Book Antiqua" w:eastAsia="Times New Roman" w:hAnsi="Book Antiqua" w:cs="Times New Roman"/>
          <w:sz w:val="24"/>
          <w:szCs w:val="24"/>
          <w:lang w:val="es-PR" w:eastAsia="es-PR"/>
        </w:rPr>
        <w:t>unque la intención de garantizar la dignidad e inclusión de las personas con diversidad funcional es legítima, el proyecto:</w:t>
      </w:r>
    </w:p>
    <w:p w14:paraId="1E3BCDCE" w14:textId="77777777" w:rsidR="00193683" w:rsidRPr="00193683" w:rsidRDefault="00193683" w:rsidP="00817805">
      <w:pPr>
        <w:numPr>
          <w:ilvl w:val="0"/>
          <w:numId w:val="27"/>
        </w:numPr>
        <w:spacing w:before="100" w:beforeAutospacing="1" w:after="100" w:afterAutospacing="1" w:line="276" w:lineRule="auto"/>
        <w:jc w:val="both"/>
        <w:rPr>
          <w:rFonts w:ascii="Book Antiqua" w:eastAsia="Times New Roman" w:hAnsi="Book Antiqua" w:cs="Times New Roman"/>
          <w:sz w:val="24"/>
          <w:szCs w:val="24"/>
          <w:lang w:val="es-PR" w:eastAsia="es-PR"/>
        </w:rPr>
      </w:pPr>
      <w:r w:rsidRPr="00423C3B">
        <w:rPr>
          <w:rFonts w:ascii="Book Antiqua" w:eastAsia="Times New Roman" w:hAnsi="Book Antiqua" w:cs="Times New Roman"/>
          <w:sz w:val="24"/>
          <w:szCs w:val="24"/>
          <w:lang w:val="es-PR" w:eastAsia="es-PR"/>
        </w:rPr>
        <w:t>No armoniza con la legislación federal vigente</w:t>
      </w:r>
      <w:r w:rsidRPr="00193683">
        <w:rPr>
          <w:rFonts w:ascii="Book Antiqua" w:eastAsia="Times New Roman" w:hAnsi="Book Antiqua" w:cs="Times New Roman"/>
          <w:sz w:val="24"/>
          <w:szCs w:val="24"/>
          <w:lang w:val="es-PR" w:eastAsia="es-PR"/>
        </w:rPr>
        <w:t>, que ya atiende extensamente los temas propuestos;</w:t>
      </w:r>
    </w:p>
    <w:p w14:paraId="7753186C" w14:textId="77777777" w:rsidR="00193683" w:rsidRPr="00193683" w:rsidRDefault="00193683" w:rsidP="00817805">
      <w:pPr>
        <w:numPr>
          <w:ilvl w:val="0"/>
          <w:numId w:val="27"/>
        </w:numPr>
        <w:spacing w:before="100" w:beforeAutospacing="1" w:after="100" w:afterAutospacing="1" w:line="276" w:lineRule="auto"/>
        <w:jc w:val="both"/>
        <w:rPr>
          <w:rFonts w:ascii="Book Antiqua" w:eastAsia="Times New Roman" w:hAnsi="Book Antiqua" w:cs="Times New Roman"/>
          <w:sz w:val="24"/>
          <w:szCs w:val="24"/>
          <w:lang w:val="es-PR" w:eastAsia="es-PR"/>
        </w:rPr>
      </w:pPr>
      <w:r w:rsidRPr="00423C3B">
        <w:rPr>
          <w:rFonts w:ascii="Book Antiqua" w:eastAsia="Times New Roman" w:hAnsi="Book Antiqua" w:cs="Times New Roman"/>
          <w:sz w:val="24"/>
          <w:szCs w:val="24"/>
          <w:lang w:val="es-PR" w:eastAsia="es-PR"/>
        </w:rPr>
        <w:t>Contiene ambigüedades normativas</w:t>
      </w:r>
      <w:r w:rsidRPr="00193683">
        <w:rPr>
          <w:rFonts w:ascii="Book Antiqua" w:eastAsia="Times New Roman" w:hAnsi="Book Antiqua" w:cs="Times New Roman"/>
          <w:sz w:val="24"/>
          <w:szCs w:val="24"/>
          <w:lang w:val="es-PR" w:eastAsia="es-PR"/>
        </w:rPr>
        <w:t xml:space="preserve"> que pueden dar paso a arbitrariedades y litigios;</w:t>
      </w:r>
    </w:p>
    <w:p w14:paraId="49DCD71A" w14:textId="77777777" w:rsidR="00193683" w:rsidRPr="00193683" w:rsidRDefault="00193683" w:rsidP="00817805">
      <w:pPr>
        <w:numPr>
          <w:ilvl w:val="0"/>
          <w:numId w:val="27"/>
        </w:numPr>
        <w:spacing w:before="100" w:beforeAutospacing="1" w:after="100" w:afterAutospacing="1" w:line="276" w:lineRule="auto"/>
        <w:jc w:val="both"/>
        <w:rPr>
          <w:rFonts w:ascii="Book Antiqua" w:eastAsia="Times New Roman" w:hAnsi="Book Antiqua" w:cs="Times New Roman"/>
          <w:sz w:val="24"/>
          <w:szCs w:val="24"/>
          <w:lang w:val="es-PR" w:eastAsia="es-PR"/>
        </w:rPr>
      </w:pPr>
      <w:r w:rsidRPr="00423C3B">
        <w:rPr>
          <w:rFonts w:ascii="Book Antiqua" w:eastAsia="Times New Roman" w:hAnsi="Book Antiqua" w:cs="Times New Roman"/>
          <w:sz w:val="24"/>
          <w:szCs w:val="24"/>
          <w:lang w:val="es-PR" w:eastAsia="es-PR"/>
        </w:rPr>
        <w:t>Impone cargas económicas y estructurales adicionales</w:t>
      </w:r>
      <w:r w:rsidRPr="00193683">
        <w:rPr>
          <w:rFonts w:ascii="Book Antiqua" w:eastAsia="Times New Roman" w:hAnsi="Book Antiqua" w:cs="Times New Roman"/>
          <w:sz w:val="24"/>
          <w:szCs w:val="24"/>
          <w:lang w:val="es-PR" w:eastAsia="es-PR"/>
        </w:rPr>
        <w:t xml:space="preserve"> a los proveedores, sin considerar su viabilidad fiscal ni operativa;</w:t>
      </w:r>
    </w:p>
    <w:p w14:paraId="3A81C61A" w14:textId="36F9B44E" w:rsidR="008D4CA0" w:rsidRPr="008D4CA0" w:rsidRDefault="00193683" w:rsidP="008D4CA0">
      <w:pPr>
        <w:numPr>
          <w:ilvl w:val="0"/>
          <w:numId w:val="27"/>
        </w:numPr>
        <w:spacing w:before="100" w:beforeAutospacing="1" w:after="100" w:afterAutospacing="1" w:line="276" w:lineRule="auto"/>
        <w:jc w:val="both"/>
        <w:rPr>
          <w:rFonts w:ascii="Book Antiqua" w:eastAsia="Times New Roman" w:hAnsi="Book Antiqua" w:cs="Times New Roman"/>
          <w:sz w:val="24"/>
          <w:szCs w:val="24"/>
          <w:lang w:val="es-PR" w:eastAsia="es-PR"/>
        </w:rPr>
      </w:pPr>
      <w:r w:rsidRPr="00423C3B">
        <w:rPr>
          <w:rFonts w:ascii="Book Antiqua" w:eastAsia="Times New Roman" w:hAnsi="Book Antiqua" w:cs="Times New Roman"/>
          <w:sz w:val="24"/>
          <w:szCs w:val="24"/>
          <w:lang w:val="es-PR" w:eastAsia="es-PR"/>
        </w:rPr>
        <w:t>Expone al sistema de salud puertorriqueño a riesgos regulatorios y financieros,</w:t>
      </w:r>
      <w:r w:rsidRPr="00193683">
        <w:rPr>
          <w:rFonts w:ascii="Book Antiqua" w:eastAsia="Times New Roman" w:hAnsi="Book Antiqua" w:cs="Times New Roman"/>
          <w:sz w:val="24"/>
          <w:szCs w:val="24"/>
          <w:lang w:val="es-PR" w:eastAsia="es-PR"/>
        </w:rPr>
        <w:t xml:space="preserve"> al crear posibles conflictos con contratos y regulaciones federales.</w:t>
      </w:r>
    </w:p>
    <w:p w14:paraId="4F1C6A97" w14:textId="28E1EA30" w:rsidR="008F4F01" w:rsidRPr="0093339F" w:rsidRDefault="008F4F01" w:rsidP="00817805">
      <w:pPr>
        <w:pStyle w:val="NoSpacing"/>
        <w:spacing w:line="276" w:lineRule="auto"/>
        <w:jc w:val="both"/>
        <w:rPr>
          <w:rFonts w:ascii="Book Antiqua" w:hAnsi="Book Antiqua"/>
          <w:szCs w:val="24"/>
          <w:lang w:val="es-PR"/>
        </w:rPr>
      </w:pPr>
    </w:p>
    <w:p w14:paraId="37F2E48D" w14:textId="77777777" w:rsidR="00FA249B" w:rsidRDefault="00FA249B" w:rsidP="00E6437B">
      <w:pPr>
        <w:pStyle w:val="NoSpacing"/>
        <w:spacing w:line="276" w:lineRule="auto"/>
        <w:jc w:val="center"/>
        <w:rPr>
          <w:rFonts w:ascii="Book Antiqua" w:eastAsia="Times New Roman" w:hAnsi="Book Antiqua"/>
          <w:b/>
          <w:bCs/>
          <w:lang w:val="es-ES_tradnl"/>
        </w:rPr>
      </w:pPr>
    </w:p>
    <w:p w14:paraId="31F575D5" w14:textId="1EB59A73" w:rsidR="008F4F01" w:rsidRDefault="008F4F01" w:rsidP="00E6437B">
      <w:pPr>
        <w:pStyle w:val="NoSpacing"/>
        <w:spacing w:line="276" w:lineRule="auto"/>
        <w:jc w:val="center"/>
        <w:rPr>
          <w:rFonts w:ascii="Book Antiqua" w:eastAsia="Times New Roman" w:hAnsi="Book Antiqua"/>
          <w:b/>
          <w:bCs/>
          <w:lang w:val="es-ES_tradnl"/>
        </w:rPr>
      </w:pPr>
      <w:r w:rsidRPr="008F4F01">
        <w:rPr>
          <w:rFonts w:ascii="Book Antiqua" w:eastAsia="Times New Roman" w:hAnsi="Book Antiqua"/>
          <w:b/>
          <w:bCs/>
          <w:lang w:val="es-ES_tradnl"/>
        </w:rPr>
        <w:lastRenderedPageBreak/>
        <w:t>HALLAZGOS Y RECOMENDACIONES</w:t>
      </w:r>
    </w:p>
    <w:p w14:paraId="590F6484" w14:textId="77777777" w:rsidR="00404F78" w:rsidRDefault="00404F78" w:rsidP="00E6437B">
      <w:pPr>
        <w:pStyle w:val="NoSpacing"/>
        <w:spacing w:line="276" w:lineRule="auto"/>
        <w:jc w:val="center"/>
        <w:rPr>
          <w:rFonts w:ascii="Book Antiqua" w:eastAsia="Times New Roman" w:hAnsi="Book Antiqua"/>
          <w:b/>
          <w:bCs/>
          <w:lang w:val="es-ES_tradnl"/>
        </w:rPr>
      </w:pPr>
    </w:p>
    <w:p w14:paraId="022F1329" w14:textId="5566685C" w:rsidR="00AC476B" w:rsidRDefault="00404F78" w:rsidP="00B5678A">
      <w:pPr>
        <w:pStyle w:val="NoSpacing"/>
        <w:spacing w:line="276" w:lineRule="auto"/>
        <w:jc w:val="both"/>
        <w:rPr>
          <w:rFonts w:ascii="Book Antiqua" w:hAnsi="Book Antiqua"/>
          <w:szCs w:val="24"/>
          <w:lang w:val="es-PR"/>
        </w:rPr>
      </w:pPr>
      <w:r w:rsidRPr="00B5678A">
        <w:rPr>
          <w:rFonts w:ascii="Book Antiqua" w:hAnsi="Book Antiqua"/>
          <w:szCs w:val="24"/>
          <w:lang w:val="es-PR"/>
        </w:rPr>
        <w:t xml:space="preserve">A la luz del análisis efectuado sobre el </w:t>
      </w:r>
      <w:r w:rsidR="00275FBC">
        <w:rPr>
          <w:rFonts w:ascii="Book Antiqua" w:hAnsi="Book Antiqua"/>
          <w:szCs w:val="24"/>
          <w:lang w:val="es-PR"/>
        </w:rPr>
        <w:t>P. del S.</w:t>
      </w:r>
      <w:r w:rsidRPr="00B5678A">
        <w:rPr>
          <w:rFonts w:ascii="Book Antiqua" w:hAnsi="Book Antiqua"/>
          <w:szCs w:val="24"/>
          <w:lang w:val="es-PR"/>
        </w:rPr>
        <w:t xml:space="preserve"> 423, y tras considerar las ponencias presentadas por las principales entidades públicas y privadas con competencia directa en el ámbito de la salud, la rehabilitación y la protección de personas con impedimentos, esta Comisión ha identificado varios hallazgos críticos que deben tomarse en cuenta antes de proseguir con la aprobación de esta medida legislativa. A continuación, se exponen los hallazgos y recomendaciones, estructurados de forma técnica y sustentados en los memoriales evaluados</w:t>
      </w:r>
      <w:r w:rsidR="00AC476B" w:rsidRPr="00B5678A">
        <w:rPr>
          <w:rFonts w:ascii="Book Antiqua" w:hAnsi="Book Antiqua"/>
          <w:szCs w:val="24"/>
          <w:lang w:val="es-PR"/>
        </w:rPr>
        <w:t>.</w:t>
      </w:r>
    </w:p>
    <w:p w14:paraId="7636484C" w14:textId="77777777" w:rsidR="00B5678A" w:rsidRPr="00B5678A" w:rsidRDefault="00B5678A" w:rsidP="00B5678A">
      <w:pPr>
        <w:pStyle w:val="NoSpacing"/>
        <w:spacing w:line="276" w:lineRule="auto"/>
        <w:jc w:val="both"/>
        <w:rPr>
          <w:rFonts w:ascii="Book Antiqua" w:hAnsi="Book Antiqua"/>
          <w:szCs w:val="24"/>
          <w:lang w:val="es-PR"/>
        </w:rPr>
      </w:pPr>
    </w:p>
    <w:p w14:paraId="3DCBE15B" w14:textId="4D39A08F" w:rsidR="00F54DF9" w:rsidRDefault="00404F78" w:rsidP="00B5678A">
      <w:pPr>
        <w:pStyle w:val="NoSpacing"/>
        <w:spacing w:line="276" w:lineRule="auto"/>
        <w:jc w:val="both"/>
        <w:rPr>
          <w:rFonts w:ascii="Book Antiqua" w:hAnsi="Book Antiqua"/>
          <w:szCs w:val="24"/>
          <w:lang w:val="es-PR"/>
        </w:rPr>
      </w:pPr>
      <w:r w:rsidRPr="00B5678A">
        <w:rPr>
          <w:rFonts w:ascii="Book Antiqua" w:hAnsi="Book Antiqua"/>
          <w:szCs w:val="24"/>
          <w:lang w:val="es-PR"/>
        </w:rPr>
        <w:t xml:space="preserve">En primer término, la Administración de Seguros de Salud de Puerto Rico (ASES) expresó que muchos de los elementos incluidos en el proyecto ya forman parte de la estructura operacional del Plan Vital mediante sus contratos con las aseguradoras. Por ejemplo, ASES destacó que la obligación de adiestrar al personal de salud, garantizar accesibilidad y prohibir discrimen ya está contenida en los requisitos contractuales vigentes. De igual manera, la cubierta especial para condiciones complejas, a la que el proyecto pretende extender beneficios, ya </w:t>
      </w:r>
      <w:r w:rsidR="00DF0C02" w:rsidRPr="00B5678A">
        <w:rPr>
          <w:rFonts w:ascii="Book Antiqua" w:hAnsi="Book Antiqua"/>
          <w:szCs w:val="24"/>
          <w:lang w:val="es-PR"/>
        </w:rPr>
        <w:t xml:space="preserve">esta </w:t>
      </w:r>
      <w:r w:rsidRPr="00B5678A">
        <w:rPr>
          <w:rFonts w:ascii="Book Antiqua" w:hAnsi="Book Antiqua"/>
          <w:szCs w:val="24"/>
          <w:lang w:val="es-PR"/>
        </w:rPr>
        <w:t>se contempla para pacientes pediátricos con condiciones específicas. Así las cosas,</w:t>
      </w:r>
      <w:r w:rsidR="00F54DF9" w:rsidRPr="00B5678A">
        <w:rPr>
          <w:rFonts w:ascii="Book Antiqua" w:hAnsi="Book Antiqua"/>
          <w:szCs w:val="24"/>
          <w:lang w:val="es-PR"/>
        </w:rPr>
        <w:t xml:space="preserve"> esta </w:t>
      </w:r>
      <w:r w:rsidR="007C6413">
        <w:rPr>
          <w:rFonts w:ascii="Book Antiqua" w:hAnsi="Book Antiqua"/>
          <w:szCs w:val="24"/>
          <w:lang w:val="es-PR"/>
        </w:rPr>
        <w:t>C</w:t>
      </w:r>
      <w:r w:rsidR="00F54DF9" w:rsidRPr="00B5678A">
        <w:rPr>
          <w:rFonts w:ascii="Book Antiqua" w:hAnsi="Book Antiqua"/>
          <w:szCs w:val="24"/>
          <w:lang w:val="es-PR"/>
        </w:rPr>
        <w:t>omisión coincide con el planteamiento de que</w:t>
      </w:r>
      <w:r w:rsidRPr="00B5678A">
        <w:rPr>
          <w:rFonts w:ascii="Book Antiqua" w:hAnsi="Book Antiqua"/>
          <w:szCs w:val="24"/>
          <w:lang w:val="es-PR"/>
        </w:rPr>
        <w:t xml:space="preserve"> la medida resulta innecesaria y podría duplicar disposiciones contractuales existentes, lo que además dificultaría su fiscalización.</w:t>
      </w:r>
    </w:p>
    <w:p w14:paraId="2A83DEB6" w14:textId="77777777" w:rsidR="00B5678A" w:rsidRPr="00B5678A" w:rsidRDefault="00B5678A" w:rsidP="00B5678A">
      <w:pPr>
        <w:pStyle w:val="NoSpacing"/>
        <w:spacing w:line="276" w:lineRule="auto"/>
        <w:jc w:val="both"/>
        <w:rPr>
          <w:rFonts w:ascii="Book Antiqua" w:hAnsi="Book Antiqua"/>
          <w:szCs w:val="24"/>
          <w:lang w:val="es-PR"/>
        </w:rPr>
      </w:pPr>
    </w:p>
    <w:p w14:paraId="4A558A9E" w14:textId="77777777" w:rsidR="00B5678A" w:rsidRDefault="00404F78" w:rsidP="00B5678A">
      <w:pPr>
        <w:pStyle w:val="NoSpacing"/>
        <w:spacing w:line="276" w:lineRule="auto"/>
        <w:jc w:val="both"/>
        <w:rPr>
          <w:rFonts w:ascii="Book Antiqua" w:hAnsi="Book Antiqua"/>
          <w:szCs w:val="24"/>
          <w:lang w:val="es-PR"/>
        </w:rPr>
      </w:pPr>
      <w:r w:rsidRPr="00B5678A">
        <w:rPr>
          <w:rFonts w:ascii="Book Antiqua" w:hAnsi="Book Antiqua"/>
          <w:szCs w:val="24"/>
          <w:lang w:val="es-PR"/>
        </w:rPr>
        <w:t>Seguidamente, la Oficina del Procurador del Paciente (OPP) reconoció el valor de la intención legislativa, pero advirtió que el lenguaje utilizado es jurídicamente problemático. En particular, se objetó la utilización del término “diversidad funcional” en lugar del término normativamente reconocido “persona con impedimento”. La OPP destacó que el uso de terminología no contemplada en la ley vigente puede generar interpretaciones conflictivas y poner en riesgo la coherencia normativa, proponiendo en su lugar que se respeten los términos consagrados en la Ley 238-2004.</w:t>
      </w:r>
    </w:p>
    <w:p w14:paraId="6B752D58" w14:textId="603C4CD0" w:rsidR="00AC476B" w:rsidRDefault="00404F78" w:rsidP="00B5678A">
      <w:pPr>
        <w:pStyle w:val="NoSpacing"/>
        <w:spacing w:line="276" w:lineRule="auto"/>
        <w:jc w:val="both"/>
        <w:rPr>
          <w:rFonts w:ascii="Book Antiqua" w:hAnsi="Book Antiqua"/>
          <w:szCs w:val="24"/>
          <w:lang w:val="es-PR"/>
        </w:rPr>
      </w:pPr>
      <w:r w:rsidRPr="00B5678A">
        <w:rPr>
          <w:rFonts w:ascii="Book Antiqua" w:hAnsi="Book Antiqua"/>
          <w:szCs w:val="24"/>
          <w:lang w:val="es-PR"/>
        </w:rPr>
        <w:br/>
        <w:t>Por su parte, la Administración de Rehabilitación Vocacional (ARV) expresó preocupaciones técnicas significativas. Aunque se solidariza con el propósito de proteger los derechos de la población con impedimentos, enfati</w:t>
      </w:r>
      <w:r w:rsidR="00AF3F0B" w:rsidRPr="00B5678A">
        <w:rPr>
          <w:rFonts w:ascii="Book Antiqua" w:hAnsi="Book Antiqua"/>
          <w:szCs w:val="24"/>
          <w:lang w:val="es-PR"/>
        </w:rPr>
        <w:t>z</w:t>
      </w:r>
      <w:r w:rsidR="00A95F2E">
        <w:rPr>
          <w:rFonts w:ascii="Book Antiqua" w:hAnsi="Book Antiqua"/>
          <w:szCs w:val="24"/>
          <w:lang w:val="es-PR"/>
        </w:rPr>
        <w:t>ó</w:t>
      </w:r>
      <w:r w:rsidRPr="00B5678A">
        <w:rPr>
          <w:rFonts w:ascii="Book Antiqua" w:hAnsi="Book Antiqua"/>
          <w:szCs w:val="24"/>
          <w:lang w:val="es-PR"/>
        </w:rPr>
        <w:t xml:space="preserve"> que el uso de terminología no congruente con los estatutos federales podría acarrear la pérdida de fondos y la inelegibilidad de servicios. La ARV explicó que la elegibilidad para los programas federales de rehabilitación vocacional se basa en criterios clínicos establecidos por el Código de Reglamentos Federales (CFR) y que cualquier desviación en el lenguaje legal podría tener repercusiones en la operación programática y fiscal de la agencia.</w:t>
      </w:r>
      <w:r w:rsidRPr="00B5678A">
        <w:rPr>
          <w:rFonts w:ascii="Book Antiqua" w:hAnsi="Book Antiqua"/>
          <w:szCs w:val="24"/>
          <w:lang w:val="es-PR"/>
        </w:rPr>
        <w:br/>
      </w:r>
      <w:r w:rsidRPr="00B5678A">
        <w:rPr>
          <w:rFonts w:ascii="Book Antiqua" w:hAnsi="Book Antiqua"/>
          <w:szCs w:val="24"/>
          <w:lang w:val="es-PR"/>
        </w:rPr>
        <w:lastRenderedPageBreak/>
        <w:br/>
        <w:t xml:space="preserve">De igual forma, la Defensoría de las Personas con Impedimentos (DPI) emitió una postura crítica. Esta entidad resaltó que sustituir el término “persona con impedimento” por “persona con diversidad funcional” podría crear una nueva categoría jurídica sin definición clínica, lo que potencialmente desprotege a las personas actualmente amparadas bajo legislación vigente. Además, se enfatizó que muchas de las garantías que propone la medida ya están contempladas en leyes estatales y federales, incluyendo la </w:t>
      </w:r>
      <w:r w:rsidRPr="00B5678A">
        <w:rPr>
          <w:rFonts w:ascii="Book Antiqua" w:hAnsi="Book Antiqua"/>
          <w:i/>
          <w:iCs/>
          <w:szCs w:val="24"/>
          <w:lang w:val="es-PR"/>
        </w:rPr>
        <w:t>ADA</w:t>
      </w:r>
      <w:r w:rsidRPr="00B5678A">
        <w:rPr>
          <w:rFonts w:ascii="Book Antiqua" w:hAnsi="Book Antiqua"/>
          <w:szCs w:val="24"/>
          <w:lang w:val="es-PR"/>
        </w:rPr>
        <w:t xml:space="preserve"> y el </w:t>
      </w:r>
      <w:proofErr w:type="spellStart"/>
      <w:r w:rsidRPr="00B5678A">
        <w:rPr>
          <w:rFonts w:ascii="Book Antiqua" w:hAnsi="Book Antiqua"/>
          <w:i/>
          <w:iCs/>
          <w:szCs w:val="24"/>
          <w:lang w:val="es-PR"/>
        </w:rPr>
        <w:t>Rehabilitation</w:t>
      </w:r>
      <w:proofErr w:type="spellEnd"/>
      <w:r w:rsidRPr="00B5678A">
        <w:rPr>
          <w:rFonts w:ascii="Book Antiqua" w:hAnsi="Book Antiqua"/>
          <w:i/>
          <w:iCs/>
          <w:szCs w:val="24"/>
          <w:lang w:val="es-PR"/>
        </w:rPr>
        <w:t xml:space="preserve"> </w:t>
      </w:r>
      <w:proofErr w:type="spellStart"/>
      <w:r w:rsidRPr="00B5678A">
        <w:rPr>
          <w:rFonts w:ascii="Book Antiqua" w:hAnsi="Book Antiqua"/>
          <w:i/>
          <w:iCs/>
          <w:szCs w:val="24"/>
          <w:lang w:val="es-PR"/>
        </w:rPr>
        <w:t>Act</w:t>
      </w:r>
      <w:proofErr w:type="spellEnd"/>
      <w:r w:rsidRPr="00B5678A">
        <w:rPr>
          <w:rFonts w:ascii="Book Antiqua" w:hAnsi="Book Antiqua"/>
          <w:szCs w:val="24"/>
          <w:lang w:val="es-PR"/>
        </w:rPr>
        <w:t>.</w:t>
      </w:r>
    </w:p>
    <w:p w14:paraId="14E04962" w14:textId="77777777" w:rsidR="00B5678A" w:rsidRPr="00B5678A" w:rsidRDefault="00B5678A" w:rsidP="00B5678A">
      <w:pPr>
        <w:pStyle w:val="NoSpacing"/>
        <w:spacing w:line="276" w:lineRule="auto"/>
        <w:jc w:val="both"/>
        <w:rPr>
          <w:rFonts w:ascii="Book Antiqua" w:hAnsi="Book Antiqua"/>
          <w:szCs w:val="24"/>
          <w:lang w:val="es-PR"/>
        </w:rPr>
      </w:pPr>
    </w:p>
    <w:p w14:paraId="5388C866" w14:textId="7E70C795" w:rsidR="00AC476B" w:rsidRDefault="00404F78" w:rsidP="00B5678A">
      <w:pPr>
        <w:pStyle w:val="NoSpacing"/>
        <w:spacing w:line="276" w:lineRule="auto"/>
        <w:jc w:val="both"/>
        <w:rPr>
          <w:rFonts w:ascii="Book Antiqua" w:hAnsi="Book Antiqua"/>
          <w:szCs w:val="24"/>
          <w:lang w:val="es-PR"/>
        </w:rPr>
      </w:pPr>
      <w:r w:rsidRPr="00B5678A">
        <w:rPr>
          <w:rFonts w:ascii="Book Antiqua" w:hAnsi="Book Antiqua"/>
          <w:szCs w:val="24"/>
          <w:lang w:val="es-PR"/>
        </w:rPr>
        <w:t xml:space="preserve">En lo concerniente al sector asegurador, la Asociación de Compañías de Seguros de Puerto Rico (ACODESE), Triple-S, MMM Holdings y Plan de Salud Menonita coincidieron en que la medida carece de precisión técnica, incurre en </w:t>
      </w:r>
      <w:proofErr w:type="spellStart"/>
      <w:r w:rsidRPr="00B5678A">
        <w:rPr>
          <w:rFonts w:ascii="Book Antiqua" w:hAnsi="Book Antiqua"/>
          <w:szCs w:val="24"/>
          <w:lang w:val="es-PR"/>
        </w:rPr>
        <w:t>sobre-regulación</w:t>
      </w:r>
      <w:proofErr w:type="spellEnd"/>
      <w:r w:rsidRPr="00B5678A">
        <w:rPr>
          <w:rFonts w:ascii="Book Antiqua" w:hAnsi="Book Antiqua"/>
          <w:szCs w:val="24"/>
          <w:lang w:val="es-PR"/>
        </w:rPr>
        <w:t xml:space="preserve"> y podría generar distorsiones en la implementación de servicios médicos. En términos específicos, Triple-S expresó que el proyecto impone requisitos onerosos y ambiguos que afectarían el cumplimiento con normas federales</w:t>
      </w:r>
      <w:r w:rsidR="00BE2E88" w:rsidRPr="00B5678A">
        <w:rPr>
          <w:rFonts w:ascii="Book Antiqua" w:hAnsi="Book Antiqua"/>
          <w:szCs w:val="24"/>
          <w:lang w:val="es-PR"/>
        </w:rPr>
        <w:t>.</w:t>
      </w:r>
      <w:r w:rsidRPr="00B5678A">
        <w:rPr>
          <w:rFonts w:ascii="Book Antiqua" w:hAnsi="Book Antiqua"/>
          <w:szCs w:val="24"/>
          <w:lang w:val="es-PR"/>
        </w:rPr>
        <w:t xml:space="preserve"> MMM Holdings, por su parte, destacó que la creación de nuevas cubiertas especiales requeriría una evaluación actuarial rigurosa, en especial para no comprometer la viabilidad del Plan Vital. De igual forma, Plan de Salud Menonita alertó sobre la posible sobreutilización de recursos especializados si se amplía sin control la elegibilidad a cubiertas especiales, lo cual podría colapsar los canales de acceso a especialistas.</w:t>
      </w:r>
    </w:p>
    <w:p w14:paraId="75B318EF" w14:textId="77777777" w:rsidR="00B5678A" w:rsidRPr="00B5678A" w:rsidRDefault="00B5678A" w:rsidP="00B5678A">
      <w:pPr>
        <w:pStyle w:val="NoSpacing"/>
        <w:spacing w:line="276" w:lineRule="auto"/>
        <w:jc w:val="both"/>
        <w:rPr>
          <w:rFonts w:ascii="Book Antiqua" w:hAnsi="Book Antiqua"/>
          <w:szCs w:val="24"/>
          <w:lang w:val="es-PR"/>
        </w:rPr>
      </w:pPr>
    </w:p>
    <w:p w14:paraId="1CCA7C89" w14:textId="7D5ADD9E" w:rsidR="00404F78" w:rsidRDefault="00404F78" w:rsidP="00B5678A">
      <w:pPr>
        <w:pStyle w:val="NoSpacing"/>
        <w:spacing w:line="276" w:lineRule="auto"/>
        <w:jc w:val="both"/>
        <w:rPr>
          <w:rFonts w:ascii="Book Antiqua" w:hAnsi="Book Antiqua"/>
          <w:szCs w:val="24"/>
          <w:lang w:val="es-PR"/>
        </w:rPr>
      </w:pPr>
      <w:r w:rsidRPr="00B5678A">
        <w:rPr>
          <w:rFonts w:ascii="Book Antiqua" w:hAnsi="Book Antiqua"/>
          <w:szCs w:val="24"/>
          <w:lang w:val="es-PR"/>
        </w:rPr>
        <w:t xml:space="preserve">En conclusión, aunque el </w:t>
      </w:r>
      <w:r w:rsidR="00FA3A09">
        <w:rPr>
          <w:rFonts w:ascii="Book Antiqua" w:hAnsi="Book Antiqua"/>
          <w:szCs w:val="24"/>
          <w:lang w:val="es-PR"/>
        </w:rPr>
        <w:t>P. del S.</w:t>
      </w:r>
      <w:r w:rsidRPr="00B5678A">
        <w:rPr>
          <w:rFonts w:ascii="Book Antiqua" w:hAnsi="Book Antiqua"/>
          <w:szCs w:val="24"/>
          <w:lang w:val="es-PR"/>
        </w:rPr>
        <w:t xml:space="preserve"> 423 tiene una motivación social loable, su redacción actual es jurídicamente deficiente, técnicamente imprecisa y fiscalmente riesgosa. Por consiguiente, esta Comisión recomienda que no se apruebe la medida tal como está redactada y, en su lugar, se propicie una mesa de diálogo </w:t>
      </w:r>
      <w:proofErr w:type="spellStart"/>
      <w:r w:rsidRPr="00B5678A">
        <w:rPr>
          <w:rFonts w:ascii="Book Antiqua" w:hAnsi="Book Antiqua"/>
          <w:szCs w:val="24"/>
          <w:lang w:val="es-PR"/>
        </w:rPr>
        <w:t>interagencial</w:t>
      </w:r>
      <w:proofErr w:type="spellEnd"/>
      <w:r w:rsidRPr="00B5678A">
        <w:rPr>
          <w:rFonts w:ascii="Book Antiqua" w:hAnsi="Book Antiqua"/>
          <w:szCs w:val="24"/>
          <w:lang w:val="es-PR"/>
        </w:rPr>
        <w:t xml:space="preserve"> para armonizar los objetivos sociales con las realidades regulatorias y presupuestarias del sistema de salud puertorriqueño.</w:t>
      </w:r>
    </w:p>
    <w:p w14:paraId="451A23CF" w14:textId="77777777" w:rsidR="00B5678A" w:rsidRPr="00B5678A" w:rsidRDefault="00B5678A" w:rsidP="00B5678A">
      <w:pPr>
        <w:pStyle w:val="NoSpacing"/>
        <w:spacing w:line="276" w:lineRule="auto"/>
        <w:jc w:val="both"/>
        <w:rPr>
          <w:rFonts w:ascii="Book Antiqua" w:hAnsi="Book Antiqua"/>
          <w:szCs w:val="24"/>
          <w:lang w:val="es-PR"/>
        </w:rPr>
      </w:pPr>
    </w:p>
    <w:p w14:paraId="1F186046" w14:textId="21FACCD6" w:rsidR="00404F78" w:rsidRDefault="00D97399" w:rsidP="00B5678A">
      <w:pPr>
        <w:pStyle w:val="NoSpacing"/>
        <w:spacing w:line="276" w:lineRule="auto"/>
        <w:jc w:val="both"/>
        <w:rPr>
          <w:rFonts w:ascii="Book Antiqua" w:hAnsi="Book Antiqua"/>
          <w:szCs w:val="24"/>
          <w:lang w:val="es-PR"/>
        </w:rPr>
      </w:pPr>
      <w:r w:rsidRPr="00B5678A">
        <w:rPr>
          <w:rFonts w:ascii="Book Antiqua" w:hAnsi="Book Antiqua"/>
          <w:szCs w:val="24"/>
          <w:lang w:val="es-PR"/>
        </w:rPr>
        <w:t>Tras un</w:t>
      </w:r>
      <w:r w:rsidR="00404F78" w:rsidRPr="00B5678A">
        <w:rPr>
          <w:rFonts w:ascii="Book Antiqua" w:hAnsi="Book Antiqua"/>
          <w:szCs w:val="24"/>
          <w:lang w:val="es-PR"/>
        </w:rPr>
        <w:t xml:space="preserve"> análisis exhaustivo del </w:t>
      </w:r>
      <w:r w:rsidR="00B32F58">
        <w:rPr>
          <w:rFonts w:ascii="Book Antiqua" w:hAnsi="Book Antiqua"/>
          <w:szCs w:val="24"/>
          <w:lang w:val="es-PR"/>
        </w:rPr>
        <w:t>P. del S.</w:t>
      </w:r>
      <w:r w:rsidR="00404F78" w:rsidRPr="00B5678A">
        <w:rPr>
          <w:rFonts w:ascii="Book Antiqua" w:hAnsi="Book Antiqua"/>
          <w:szCs w:val="24"/>
          <w:lang w:val="es-PR"/>
        </w:rPr>
        <w:t xml:space="preserve"> 423 y de las ponencias presentadas por las principales entidades del sistema de salud, resulta evidente que, si bien la medida responde a una intención loable de ampliar derechos y garantizar la equidad para las personas con impedimentos, su formulación actual presenta múltiples deficiencias jurídicas, técnicas y operacionales. Diversos organismos, incluyendo ASES, la Oficina del Procurador del Paciente, ACODESE, la Administración de Rehabilitación Vocacional, la Oficina de la Defensoría de las Personas con Impedimentos, Triple-S, MMM Holdings y el Plan de Salud Menonita, coinciden en señalar que el uso de terminología no reconocida a nivel federal, la duplicación de disposiciones ya existentes, la ausencia de criterios </w:t>
      </w:r>
      <w:r w:rsidR="00404F78" w:rsidRPr="00B5678A">
        <w:rPr>
          <w:rFonts w:ascii="Book Antiqua" w:hAnsi="Book Antiqua"/>
          <w:szCs w:val="24"/>
          <w:lang w:val="es-PR"/>
        </w:rPr>
        <w:lastRenderedPageBreak/>
        <w:t>técnicos claros, y la omisión de un análisis fiscal integral</w:t>
      </w:r>
      <w:r w:rsidR="00BC78F0" w:rsidRPr="00B5678A">
        <w:rPr>
          <w:rFonts w:ascii="Book Antiqua" w:hAnsi="Book Antiqua"/>
          <w:szCs w:val="24"/>
          <w:lang w:val="es-PR"/>
        </w:rPr>
        <w:t xml:space="preserve"> </w:t>
      </w:r>
      <w:r w:rsidR="00404F78" w:rsidRPr="00B5678A">
        <w:rPr>
          <w:rFonts w:ascii="Book Antiqua" w:hAnsi="Book Antiqua"/>
          <w:szCs w:val="24"/>
          <w:lang w:val="es-PR"/>
        </w:rPr>
        <w:t>hacen inviable la implementación efectiva del proyecto</w:t>
      </w:r>
      <w:r w:rsidR="006C7AE4" w:rsidRPr="00B5678A">
        <w:rPr>
          <w:rFonts w:ascii="Book Antiqua" w:hAnsi="Book Antiqua"/>
          <w:szCs w:val="24"/>
          <w:lang w:val="es-PR"/>
        </w:rPr>
        <w:t>.</w:t>
      </w:r>
    </w:p>
    <w:p w14:paraId="252A69B0" w14:textId="77777777" w:rsidR="00B5678A" w:rsidRPr="00B5678A" w:rsidRDefault="00B5678A" w:rsidP="00B5678A">
      <w:pPr>
        <w:pStyle w:val="NoSpacing"/>
        <w:spacing w:line="276" w:lineRule="auto"/>
        <w:jc w:val="both"/>
        <w:rPr>
          <w:rFonts w:ascii="Book Antiqua" w:hAnsi="Book Antiqua"/>
          <w:szCs w:val="24"/>
          <w:lang w:val="es-PR"/>
        </w:rPr>
      </w:pPr>
    </w:p>
    <w:p w14:paraId="2304453E" w14:textId="52C83CE9" w:rsidR="00044471" w:rsidRPr="00401A03" w:rsidRDefault="00426A07" w:rsidP="00401A03">
      <w:pPr>
        <w:spacing w:after="0" w:line="276" w:lineRule="auto"/>
        <w:jc w:val="center"/>
        <w:rPr>
          <w:rFonts w:ascii="Book Antiqua" w:eastAsia="Times New Roman" w:hAnsi="Book Antiqua" w:cs="Times New Roman"/>
          <w:b/>
          <w:sz w:val="24"/>
          <w:szCs w:val="24"/>
          <w:lang w:val="es-ES"/>
        </w:rPr>
      </w:pPr>
      <w:r w:rsidRPr="00401A03">
        <w:rPr>
          <w:rFonts w:ascii="Book Antiqua" w:eastAsia="Times New Roman" w:hAnsi="Book Antiqua" w:cs="Times New Roman"/>
          <w:b/>
          <w:sz w:val="24"/>
          <w:szCs w:val="24"/>
          <w:lang w:val="es-ES"/>
        </w:rPr>
        <w:t>CONCLUSIÓN</w:t>
      </w:r>
    </w:p>
    <w:bookmarkEnd w:id="1"/>
    <w:p w14:paraId="7B6999A3" w14:textId="77777777" w:rsidR="00044471" w:rsidRPr="00401A03" w:rsidRDefault="00044471" w:rsidP="00401A03">
      <w:pPr>
        <w:spacing w:after="0" w:line="276" w:lineRule="auto"/>
        <w:jc w:val="center"/>
        <w:rPr>
          <w:rFonts w:ascii="Book Antiqua" w:eastAsia="Times New Roman" w:hAnsi="Book Antiqua" w:cs="Times New Roman"/>
          <w:b/>
          <w:sz w:val="24"/>
          <w:szCs w:val="24"/>
          <w:lang w:val="es-ES"/>
        </w:rPr>
      </w:pPr>
    </w:p>
    <w:p w14:paraId="3F5D92D6" w14:textId="2BA7D71D" w:rsidR="00AC628E" w:rsidRPr="00401A03" w:rsidRDefault="00AC628E" w:rsidP="00401A03">
      <w:pPr>
        <w:spacing w:after="0" w:line="276" w:lineRule="auto"/>
        <w:jc w:val="both"/>
        <w:rPr>
          <w:rFonts w:ascii="Book Antiqua" w:eastAsia="Times New Roman" w:hAnsi="Book Antiqua"/>
          <w:sz w:val="24"/>
          <w:szCs w:val="24"/>
          <w:lang w:val="es-ES_tradnl"/>
        </w:rPr>
      </w:pPr>
      <w:r w:rsidRPr="00401A03">
        <w:rPr>
          <w:rFonts w:ascii="Book Antiqua" w:eastAsia="Times New Roman" w:hAnsi="Book Antiqua"/>
          <w:b/>
          <w:sz w:val="24"/>
          <w:szCs w:val="24"/>
          <w:lang w:val="es-PR"/>
        </w:rPr>
        <w:t>POR TODO LO ANTES EXPUESTO</w:t>
      </w:r>
      <w:r w:rsidRPr="00401A03">
        <w:rPr>
          <w:rFonts w:ascii="Book Antiqua" w:eastAsia="Times New Roman" w:hAnsi="Book Antiqua"/>
          <w:sz w:val="24"/>
          <w:szCs w:val="24"/>
          <w:lang w:val="es-PR"/>
        </w:rPr>
        <w:t xml:space="preserve">, </w:t>
      </w:r>
      <w:r w:rsidRPr="00401A03">
        <w:rPr>
          <w:rFonts w:ascii="Book Antiqua" w:eastAsia="Times New Roman" w:hAnsi="Book Antiqua"/>
          <w:sz w:val="24"/>
          <w:szCs w:val="24"/>
          <w:lang w:val="es-ES_tradnl"/>
        </w:rPr>
        <w:t>la Comisión de Salud del Senado de Puerto Rico</w:t>
      </w:r>
      <w:r w:rsidRPr="00401A03">
        <w:rPr>
          <w:rFonts w:ascii="Book Antiqua" w:eastAsia="Times New Roman" w:hAnsi="Book Antiqua"/>
          <w:sz w:val="24"/>
          <w:szCs w:val="24"/>
          <w:lang w:val="es-PR"/>
        </w:rPr>
        <w:t xml:space="preserve">, </w:t>
      </w:r>
      <w:r w:rsidR="003C0D98" w:rsidRPr="00401A03">
        <w:rPr>
          <w:rFonts w:ascii="Book Antiqua" w:eastAsia="Times New Roman" w:hAnsi="Book Antiqua"/>
          <w:sz w:val="24"/>
          <w:szCs w:val="24"/>
          <w:lang w:val="es-PR"/>
        </w:rPr>
        <w:t xml:space="preserve">luego de la consideración correspondiente, tiene a bien someter a este Alto Cuerpo su </w:t>
      </w:r>
      <w:r w:rsidR="003C0D98" w:rsidRPr="00401A03">
        <w:rPr>
          <w:rFonts w:ascii="Book Antiqua" w:eastAsia="Times New Roman" w:hAnsi="Book Antiqua"/>
          <w:b/>
          <w:bCs/>
          <w:sz w:val="24"/>
          <w:szCs w:val="24"/>
          <w:lang w:val="es-PR"/>
        </w:rPr>
        <w:t>Informe Negativo</w:t>
      </w:r>
      <w:r w:rsidR="003C0D98" w:rsidRPr="00401A03">
        <w:rPr>
          <w:rFonts w:ascii="Book Antiqua" w:eastAsia="Times New Roman" w:hAnsi="Book Antiqua"/>
          <w:sz w:val="24"/>
          <w:szCs w:val="24"/>
          <w:lang w:val="es-PR"/>
        </w:rPr>
        <w:t xml:space="preserve"> sobre el </w:t>
      </w:r>
      <w:r w:rsidR="003C0D98" w:rsidRPr="00401A03">
        <w:rPr>
          <w:rFonts w:ascii="Book Antiqua" w:eastAsia="Times New Roman" w:hAnsi="Book Antiqua"/>
          <w:b/>
          <w:bCs/>
          <w:sz w:val="24"/>
          <w:szCs w:val="24"/>
          <w:lang w:val="es-PR"/>
        </w:rPr>
        <w:t xml:space="preserve">P. del S. </w:t>
      </w:r>
      <w:r w:rsidR="001A5991">
        <w:rPr>
          <w:rFonts w:ascii="Book Antiqua" w:eastAsia="Times New Roman" w:hAnsi="Book Antiqua"/>
          <w:b/>
          <w:bCs/>
          <w:sz w:val="24"/>
          <w:szCs w:val="24"/>
          <w:lang w:val="es-PR"/>
        </w:rPr>
        <w:t>423</w:t>
      </w:r>
      <w:r w:rsidR="003C0D98" w:rsidRPr="00401A03">
        <w:rPr>
          <w:rFonts w:ascii="Book Antiqua" w:eastAsia="Times New Roman" w:hAnsi="Book Antiqua"/>
          <w:sz w:val="24"/>
          <w:szCs w:val="24"/>
          <w:lang w:val="es-PR"/>
        </w:rPr>
        <w:t>, No Recomendando su aprobación</w:t>
      </w:r>
      <w:r w:rsidR="00A66397" w:rsidRPr="00401A03">
        <w:rPr>
          <w:rFonts w:ascii="Book Antiqua" w:eastAsia="Times New Roman" w:hAnsi="Book Antiqua"/>
          <w:b/>
          <w:sz w:val="24"/>
          <w:szCs w:val="24"/>
          <w:lang w:val="es-PR"/>
        </w:rPr>
        <w:t xml:space="preserve">. </w:t>
      </w:r>
    </w:p>
    <w:p w14:paraId="31D6ADD0" w14:textId="77777777" w:rsidR="00044471" w:rsidRPr="00401A03" w:rsidRDefault="00044471" w:rsidP="00401A03">
      <w:pPr>
        <w:pStyle w:val="NoSpacing"/>
        <w:spacing w:line="276" w:lineRule="auto"/>
        <w:rPr>
          <w:rFonts w:ascii="Book Antiqua" w:hAnsi="Book Antiqua"/>
          <w:szCs w:val="24"/>
          <w:lang w:val="es-ES_tradnl"/>
        </w:rPr>
      </w:pPr>
    </w:p>
    <w:p w14:paraId="1914FB0A" w14:textId="7A8CD043" w:rsidR="00E22516" w:rsidRPr="00401A03" w:rsidRDefault="00E22516" w:rsidP="00401A03">
      <w:pPr>
        <w:spacing w:after="0" w:line="276" w:lineRule="auto"/>
        <w:jc w:val="both"/>
        <w:rPr>
          <w:rFonts w:ascii="Book Antiqua" w:eastAsia="Batang" w:hAnsi="Book Antiqua" w:cs="Times New Roman"/>
          <w:sz w:val="24"/>
          <w:szCs w:val="24"/>
          <w:lang w:val="es-ES"/>
        </w:rPr>
      </w:pPr>
      <w:r w:rsidRPr="00401A03">
        <w:rPr>
          <w:rFonts w:ascii="Book Antiqua" w:eastAsia="Batang" w:hAnsi="Book Antiqua" w:cs="Times New Roman"/>
          <w:sz w:val="24"/>
          <w:szCs w:val="24"/>
          <w:lang w:val="es-ES"/>
        </w:rPr>
        <w:t>Respetuosamente sometido,</w:t>
      </w:r>
    </w:p>
    <w:p w14:paraId="4D291429" w14:textId="77777777" w:rsidR="00A37E22" w:rsidRDefault="00A37E22" w:rsidP="00401A03">
      <w:pPr>
        <w:spacing w:after="0" w:line="276" w:lineRule="auto"/>
        <w:jc w:val="both"/>
        <w:rPr>
          <w:rFonts w:ascii="Book Antiqua" w:eastAsia="Batang" w:hAnsi="Book Antiqua" w:cs="Times New Roman"/>
          <w:sz w:val="24"/>
          <w:szCs w:val="24"/>
          <w:lang w:val="es-ES"/>
        </w:rPr>
      </w:pPr>
    </w:p>
    <w:p w14:paraId="143D636A" w14:textId="77777777" w:rsidR="007C03BA" w:rsidRPr="00401A03" w:rsidRDefault="007C03BA" w:rsidP="00401A03">
      <w:pPr>
        <w:spacing w:after="0" w:line="276" w:lineRule="auto"/>
        <w:jc w:val="both"/>
        <w:rPr>
          <w:rFonts w:ascii="Book Antiqua" w:eastAsia="Batang" w:hAnsi="Book Antiqua" w:cs="Times New Roman"/>
          <w:sz w:val="24"/>
          <w:szCs w:val="24"/>
          <w:lang w:val="es-ES"/>
        </w:rPr>
      </w:pPr>
    </w:p>
    <w:p w14:paraId="31524E0F" w14:textId="77777777" w:rsidR="009244DB" w:rsidRPr="00401A03" w:rsidRDefault="009244DB" w:rsidP="00401A03">
      <w:pPr>
        <w:spacing w:after="0" w:line="276" w:lineRule="auto"/>
        <w:jc w:val="both"/>
        <w:rPr>
          <w:rFonts w:ascii="Book Antiqua" w:eastAsia="Batang" w:hAnsi="Book Antiqua" w:cs="Times New Roman"/>
          <w:sz w:val="24"/>
          <w:szCs w:val="24"/>
          <w:lang w:val="es-ES"/>
        </w:rPr>
      </w:pPr>
    </w:p>
    <w:p w14:paraId="54EF6A93" w14:textId="149E1B37" w:rsidR="00E22516" w:rsidRPr="00401A03" w:rsidRDefault="00AC628E" w:rsidP="00401A03">
      <w:pPr>
        <w:spacing w:after="0" w:line="276" w:lineRule="auto"/>
        <w:jc w:val="both"/>
        <w:outlineLvl w:val="0"/>
        <w:rPr>
          <w:rFonts w:ascii="Book Antiqua" w:eastAsia="Batang" w:hAnsi="Book Antiqua" w:cs="Times New Roman"/>
          <w:b/>
          <w:sz w:val="24"/>
          <w:szCs w:val="24"/>
          <w:lang w:val="es-ES"/>
        </w:rPr>
      </w:pPr>
      <w:r w:rsidRPr="00401A03">
        <w:rPr>
          <w:rFonts w:ascii="Book Antiqua" w:eastAsia="Batang" w:hAnsi="Book Antiqua" w:cs="Times New Roman"/>
          <w:b/>
          <w:sz w:val="24"/>
          <w:szCs w:val="24"/>
          <w:lang w:val="es-ES"/>
        </w:rPr>
        <w:t>Juan Oscar Morales</w:t>
      </w:r>
      <w:r w:rsidR="008E2C15" w:rsidRPr="00401A03">
        <w:rPr>
          <w:rFonts w:ascii="Book Antiqua" w:eastAsia="Batang" w:hAnsi="Book Antiqua" w:cs="Times New Roman"/>
          <w:b/>
          <w:sz w:val="24"/>
          <w:szCs w:val="24"/>
          <w:lang w:val="es-ES"/>
        </w:rPr>
        <w:t xml:space="preserve"> Rodríguez</w:t>
      </w:r>
    </w:p>
    <w:p w14:paraId="7FD86F3A" w14:textId="77777777" w:rsidR="00E22516" w:rsidRPr="00401A03" w:rsidRDefault="00E22516" w:rsidP="00401A03">
      <w:pPr>
        <w:spacing w:after="0" w:line="276" w:lineRule="auto"/>
        <w:jc w:val="both"/>
        <w:rPr>
          <w:rFonts w:ascii="Book Antiqua" w:eastAsia="Batang" w:hAnsi="Book Antiqua" w:cs="Times New Roman"/>
          <w:sz w:val="24"/>
          <w:szCs w:val="24"/>
          <w:lang w:val="es-ES"/>
        </w:rPr>
      </w:pPr>
      <w:r w:rsidRPr="00401A03">
        <w:rPr>
          <w:rFonts w:ascii="Book Antiqua" w:eastAsia="Batang" w:hAnsi="Book Antiqua" w:cs="Times New Roman"/>
          <w:sz w:val="24"/>
          <w:szCs w:val="24"/>
          <w:lang w:val="es-ES"/>
        </w:rPr>
        <w:t>Presidente</w:t>
      </w:r>
    </w:p>
    <w:p w14:paraId="4CA30EE5" w14:textId="57FAFAB7" w:rsidR="00A2416A" w:rsidRPr="00401A03" w:rsidRDefault="00E22516" w:rsidP="00401A03">
      <w:pPr>
        <w:spacing w:after="0" w:line="276" w:lineRule="auto"/>
        <w:jc w:val="both"/>
        <w:rPr>
          <w:rFonts w:ascii="Book Antiqua" w:eastAsia="Batang" w:hAnsi="Book Antiqua" w:cs="Times New Roman"/>
          <w:sz w:val="24"/>
          <w:szCs w:val="24"/>
          <w:lang w:val="es-ES_tradnl"/>
        </w:rPr>
      </w:pPr>
      <w:r w:rsidRPr="00401A03">
        <w:rPr>
          <w:rFonts w:ascii="Book Antiqua" w:eastAsia="Batang" w:hAnsi="Book Antiqua" w:cs="Times New Roman"/>
          <w:sz w:val="24"/>
          <w:szCs w:val="24"/>
          <w:lang w:val="es-ES"/>
        </w:rPr>
        <w:t xml:space="preserve">Comisión de </w:t>
      </w:r>
      <w:r w:rsidR="00AC628E" w:rsidRPr="00401A03">
        <w:rPr>
          <w:rFonts w:ascii="Book Antiqua" w:eastAsia="Batang" w:hAnsi="Book Antiqua" w:cs="Times New Roman"/>
          <w:sz w:val="24"/>
          <w:szCs w:val="24"/>
          <w:lang w:val="es-ES"/>
        </w:rPr>
        <w:t>Salud</w:t>
      </w:r>
    </w:p>
    <w:sectPr w:rsidR="00A2416A" w:rsidRPr="00401A03" w:rsidSect="00426A07">
      <w:headerReference w:type="even" r:id="rId12"/>
      <w:headerReference w:type="default" r:id="rId13"/>
      <w:footerReference w:type="default" r:id="rId14"/>
      <w:pgSz w:w="12240" w:h="15840" w:code="1"/>
      <w:pgMar w:top="1440" w:right="1440" w:bottom="1440"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17CB00" w14:textId="77777777" w:rsidR="002D1E83" w:rsidRDefault="002D1E83" w:rsidP="00426A07">
      <w:pPr>
        <w:spacing w:after="0" w:line="240" w:lineRule="auto"/>
      </w:pPr>
      <w:r>
        <w:separator/>
      </w:r>
    </w:p>
  </w:endnote>
  <w:endnote w:type="continuationSeparator" w:id="0">
    <w:p w14:paraId="571147FC" w14:textId="77777777" w:rsidR="002D1E83" w:rsidRDefault="002D1E83" w:rsidP="00426A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D255E1" w14:textId="7B857101" w:rsidR="00245CF4" w:rsidRDefault="00245CF4">
    <w:pPr>
      <w:pStyle w:val="Footer"/>
      <w:jc w:val="right"/>
    </w:pPr>
  </w:p>
  <w:p w14:paraId="65329F6B" w14:textId="77777777" w:rsidR="00245CF4" w:rsidRDefault="00245C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EB094E" w14:textId="77777777" w:rsidR="002D1E83" w:rsidRDefault="002D1E83" w:rsidP="00426A07">
      <w:pPr>
        <w:spacing w:after="0" w:line="240" w:lineRule="auto"/>
      </w:pPr>
      <w:r>
        <w:separator/>
      </w:r>
    </w:p>
  </w:footnote>
  <w:footnote w:type="continuationSeparator" w:id="0">
    <w:p w14:paraId="27867015" w14:textId="77777777" w:rsidR="002D1E83" w:rsidRDefault="002D1E83" w:rsidP="00426A0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EDC170" w14:textId="77777777" w:rsidR="00970C8D" w:rsidRDefault="0076193A">
    <w:pPr>
      <w:pStyle w:val="Header"/>
    </w:pPr>
    <w:r>
      <w:rPr>
        <w:noProof/>
      </w:rPr>
      <mc:AlternateContent>
        <mc:Choice Requires="wps">
          <w:drawing>
            <wp:anchor distT="0" distB="0" distL="114300" distR="114300" simplePos="0" relativeHeight="251659264" behindDoc="1" locked="0" layoutInCell="0" allowOverlap="1" wp14:anchorId="5BF11A9A" wp14:editId="4B966B66">
              <wp:simplePos x="0" y="0"/>
              <wp:positionH relativeFrom="margin">
                <wp:align>center</wp:align>
              </wp:positionH>
              <wp:positionV relativeFrom="margin">
                <wp:align>center</wp:align>
              </wp:positionV>
              <wp:extent cx="5985510" cy="2393950"/>
              <wp:effectExtent l="0" t="1524000" r="0" b="137795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985510" cy="239395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1403D97" w14:textId="77777777" w:rsidR="00970C8D" w:rsidRDefault="0076193A" w:rsidP="00F65B1B">
                          <w:pPr>
                            <w:pStyle w:val="Title"/>
                            <w:spacing w:after="0"/>
                            <w:jc w:val="center"/>
                          </w:pPr>
                          <w:r>
                            <w:rPr>
                              <w:color w:val="C0C0C0"/>
                              <w:sz w:val="2"/>
                              <w:szCs w:val="2"/>
                              <w14:textFill>
                                <w14:solidFill>
                                  <w14:srgbClr w14:val="C0C0C0">
                                    <w14:alpha w14:val="50000"/>
                                  </w14:srgbClr>
                                </w14:solidFill>
                              </w14:textFill>
                            </w:rPr>
                            <w:t>DRAFT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5BF11A9A" id="_x0000_t202" coordsize="21600,21600" o:spt="202" path="m,l,21600r21600,l21600,xe">
              <v:stroke joinstyle="miter"/>
              <v:path gradientshapeok="t" o:connecttype="rect"/>
            </v:shapetype>
            <v:shape id="Text Box 3" o:spid="_x0000_s1026" type="#_x0000_t202" style="position:absolute;margin-left:0;margin-top:0;width:471.3pt;height:188.5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" o:allowincell="f" filled="f" stroked="f">
              <v:stroke joinstyle="round"/>
              <o:lock v:ext="edit" shapetype="t"/>
              <v:textbox style="mso-fit-shape-to-text:t">
                <w:txbxContent>
                  <w:p w14:paraId="41403D97" w14:textId="77777777" w:rsidR="00970C8D" w:rsidRDefault="0076193A" w:rsidP="00F65B1B">
                    <w:pPr>
                      <w:pStyle w:val="Title"/>
                      <w:spacing w:after="0"/>
                      <w:jc w:val="center"/>
                    </w:pPr>
                    <w:r>
                      <w:rPr>
                        <w:color w:val="C0C0C0"/>
                        <w:sz w:val="2"/>
                        <w:szCs w:val="2"/>
                        <w14:textFill>
                          <w14:solidFill>
                            <w14:srgbClr w14:val="C0C0C0">
                              <w14:alpha w14:val="50000"/>
                            </w14:srgbClr>
                          </w14:solidFill>
                        </w14:textFill>
                      </w:rPr>
                      <w:t>DRAFT</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89993308"/>
      <w:docPartObj>
        <w:docPartGallery w:val="Page Numbers (Top of Page)"/>
        <w:docPartUnique/>
      </w:docPartObj>
    </w:sdtPr>
    <w:sdtEndPr>
      <w:rPr>
        <w:noProof/>
      </w:rPr>
    </w:sdtEndPr>
    <w:sdtContent>
      <w:p w14:paraId="51342AA9" w14:textId="3C48D19A" w:rsidR="00EA3604" w:rsidRPr="001C09CB" w:rsidRDefault="00EA3604">
        <w:pPr>
          <w:pStyle w:val="Header"/>
          <w:jc w:val="right"/>
          <w:rPr>
            <w:lang w:val="es-PR"/>
          </w:rPr>
        </w:pPr>
        <w:r>
          <w:fldChar w:fldCharType="begin"/>
        </w:r>
        <w:r w:rsidRPr="001C09CB">
          <w:rPr>
            <w:lang w:val="es-PR"/>
          </w:rPr>
          <w:instrText xml:space="preserve"> PAGE   \* MERGEFORMAT </w:instrText>
        </w:r>
        <w:r>
          <w:fldChar w:fldCharType="separate"/>
        </w:r>
        <w:r w:rsidRPr="001C09CB">
          <w:rPr>
            <w:noProof/>
            <w:lang w:val="es-PR"/>
          </w:rPr>
          <w:t>2</w:t>
        </w:r>
        <w:r>
          <w:rPr>
            <w:noProof/>
          </w:rPr>
          <w:fldChar w:fldCharType="end"/>
        </w:r>
      </w:p>
    </w:sdtContent>
  </w:sdt>
  <w:p w14:paraId="54EE4132" w14:textId="6B7B94F7" w:rsidR="00E22516" w:rsidRPr="00EE5266" w:rsidRDefault="00EA3604" w:rsidP="00DC6814">
    <w:pPr>
      <w:pStyle w:val="Header"/>
      <w:rPr>
        <w:rFonts w:ascii="Book Antiqua" w:hAnsi="Book Antiqua" w:cs="Arial"/>
        <w:b/>
        <w:bCs/>
        <w:sz w:val="20"/>
        <w:szCs w:val="20"/>
        <w:lang w:val="es-419"/>
      </w:rPr>
    </w:pPr>
    <w:r w:rsidRPr="00EE5266">
      <w:rPr>
        <w:rFonts w:ascii="Book Antiqua" w:hAnsi="Book Antiqua" w:cs="Arial"/>
        <w:b/>
        <w:bCs/>
        <w:sz w:val="20"/>
        <w:szCs w:val="20"/>
        <w:lang w:val="es-419"/>
      </w:rPr>
      <w:t xml:space="preserve">Comisión de </w:t>
    </w:r>
    <w:r w:rsidR="00EA7611">
      <w:rPr>
        <w:rFonts w:ascii="Book Antiqua" w:hAnsi="Book Antiqua" w:cs="Arial"/>
        <w:b/>
        <w:bCs/>
        <w:sz w:val="20"/>
        <w:szCs w:val="20"/>
        <w:lang w:val="es-419"/>
      </w:rPr>
      <w:t>Salud</w:t>
    </w:r>
  </w:p>
  <w:p w14:paraId="236588BC" w14:textId="5DC1750E" w:rsidR="00EE5266" w:rsidRPr="00EE5266" w:rsidRDefault="00EA3604" w:rsidP="00FE470B">
    <w:pPr>
      <w:pStyle w:val="Header"/>
      <w:pBdr>
        <w:bottom w:val="single" w:sz="12" w:space="1" w:color="auto"/>
      </w:pBdr>
      <w:rPr>
        <w:rFonts w:ascii="Book Antiqua" w:hAnsi="Book Antiqua" w:cs="Arial"/>
        <w:b/>
        <w:bCs/>
        <w:sz w:val="20"/>
        <w:szCs w:val="20"/>
        <w:lang w:val="es-419"/>
      </w:rPr>
    </w:pPr>
    <w:r w:rsidRPr="00EE5266">
      <w:rPr>
        <w:rFonts w:ascii="Book Antiqua" w:hAnsi="Book Antiqua" w:cs="Arial"/>
        <w:b/>
        <w:bCs/>
        <w:sz w:val="20"/>
        <w:szCs w:val="20"/>
        <w:lang w:val="es-419"/>
      </w:rPr>
      <w:t xml:space="preserve">Informe </w:t>
    </w:r>
    <w:r w:rsidR="00E84CA7">
      <w:rPr>
        <w:rFonts w:ascii="Book Antiqua" w:hAnsi="Book Antiqua" w:cs="Arial"/>
        <w:b/>
        <w:bCs/>
        <w:sz w:val="20"/>
        <w:szCs w:val="20"/>
        <w:lang w:val="es-419"/>
      </w:rPr>
      <w:t>Nega</w:t>
    </w:r>
    <w:r w:rsidRPr="00EE5266">
      <w:rPr>
        <w:rFonts w:ascii="Book Antiqua" w:hAnsi="Book Antiqua" w:cs="Arial"/>
        <w:b/>
        <w:bCs/>
        <w:sz w:val="20"/>
        <w:szCs w:val="20"/>
        <w:lang w:val="es-419"/>
      </w:rPr>
      <w:t xml:space="preserve">tivo del Proyecto </w:t>
    </w:r>
    <w:r w:rsidR="00E84CA7">
      <w:rPr>
        <w:rFonts w:ascii="Book Antiqua" w:hAnsi="Book Antiqua" w:cs="Arial"/>
        <w:b/>
        <w:bCs/>
        <w:sz w:val="20"/>
        <w:szCs w:val="20"/>
        <w:lang w:val="es-419"/>
      </w:rPr>
      <w:t xml:space="preserve">del Senado </w:t>
    </w:r>
    <w:r w:rsidR="00FE470B">
      <w:rPr>
        <w:rFonts w:ascii="Book Antiqua" w:hAnsi="Book Antiqua" w:cs="Arial"/>
        <w:b/>
        <w:bCs/>
        <w:sz w:val="20"/>
        <w:szCs w:val="20"/>
        <w:lang w:val="es-419"/>
      </w:rPr>
      <w:t>4</w:t>
    </w:r>
    <w:r w:rsidR="009039EF">
      <w:rPr>
        <w:rFonts w:ascii="Book Antiqua" w:hAnsi="Book Antiqua" w:cs="Arial"/>
        <w:b/>
        <w:bCs/>
        <w:sz w:val="20"/>
        <w:szCs w:val="20"/>
        <w:lang w:val="es-419"/>
      </w:rPr>
      <w:t>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4F66665"/>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ED942F23"/>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3255BB3"/>
    <w:multiLevelType w:val="hybridMultilevel"/>
    <w:tmpl w:val="424A8E16"/>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 w15:restartNumberingAfterBreak="0">
    <w:nsid w:val="05565D7E"/>
    <w:multiLevelType w:val="multilevel"/>
    <w:tmpl w:val="35904AB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6CC7336"/>
    <w:multiLevelType w:val="hybridMultilevel"/>
    <w:tmpl w:val="8062CD48"/>
    <w:lvl w:ilvl="0" w:tplc="D3388BB8">
      <w:start w:val="1"/>
      <w:numFmt w:val="lowerRoman"/>
      <w:lvlText w:val="%1."/>
      <w:lvlJc w:val="left"/>
      <w:pPr>
        <w:ind w:left="1080" w:hanging="720"/>
      </w:pPr>
      <w:rPr>
        <w:rFonts w:hint="default"/>
        <w:b/>
        <w:bCs/>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5" w15:restartNumberingAfterBreak="0">
    <w:nsid w:val="06D30028"/>
    <w:multiLevelType w:val="hybridMultilevel"/>
    <w:tmpl w:val="4EA2FC4E"/>
    <w:lvl w:ilvl="0" w:tplc="1BBEBE2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07847698"/>
    <w:multiLevelType w:val="multilevel"/>
    <w:tmpl w:val="CBFE87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515003B"/>
    <w:multiLevelType w:val="hybridMultilevel"/>
    <w:tmpl w:val="7840BD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3180CE9"/>
    <w:multiLevelType w:val="hybridMultilevel"/>
    <w:tmpl w:val="2BC22F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4CA0554"/>
    <w:multiLevelType w:val="hybridMultilevel"/>
    <w:tmpl w:val="0F42CCC4"/>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0" w15:restartNumberingAfterBreak="0">
    <w:nsid w:val="24D11B7D"/>
    <w:multiLevelType w:val="multilevel"/>
    <w:tmpl w:val="93BE7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E954D1D"/>
    <w:multiLevelType w:val="hybridMultilevel"/>
    <w:tmpl w:val="0B4019EC"/>
    <w:lvl w:ilvl="0" w:tplc="04090017">
      <w:start w:val="1"/>
      <w:numFmt w:val="lowerLetter"/>
      <w:lvlText w:val="%1)"/>
      <w:lvlJc w:val="left"/>
      <w:pPr>
        <w:ind w:left="1800" w:hanging="360"/>
      </w:p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15:restartNumberingAfterBreak="0">
    <w:nsid w:val="2F6C7A49"/>
    <w:multiLevelType w:val="hybridMultilevel"/>
    <w:tmpl w:val="A7722B6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5512FD6"/>
    <w:multiLevelType w:val="multilevel"/>
    <w:tmpl w:val="ACF847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A2B3B19"/>
    <w:multiLevelType w:val="multilevel"/>
    <w:tmpl w:val="C6B0099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1BC1D2C"/>
    <w:multiLevelType w:val="hybridMultilevel"/>
    <w:tmpl w:val="7A104948"/>
    <w:lvl w:ilvl="0" w:tplc="FFFFFFFF">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468063DF"/>
    <w:multiLevelType w:val="hybridMultilevel"/>
    <w:tmpl w:val="2B1C16AC"/>
    <w:lvl w:ilvl="0" w:tplc="04090001">
      <w:start w:val="1"/>
      <w:numFmt w:val="bullet"/>
      <w:lvlText w:val=""/>
      <w:lvlJc w:val="left"/>
      <w:pPr>
        <w:ind w:left="1425" w:hanging="360"/>
      </w:pPr>
      <w:rPr>
        <w:rFonts w:ascii="Symbol" w:hAnsi="Symbol" w:hint="default"/>
      </w:rPr>
    </w:lvl>
    <w:lvl w:ilvl="1" w:tplc="FFFFFFFF" w:tentative="1">
      <w:start w:val="1"/>
      <w:numFmt w:val="bullet"/>
      <w:lvlText w:val="o"/>
      <w:lvlJc w:val="left"/>
      <w:pPr>
        <w:ind w:left="2145" w:hanging="360"/>
      </w:pPr>
      <w:rPr>
        <w:rFonts w:ascii="Courier New" w:hAnsi="Courier New" w:cs="Courier New" w:hint="default"/>
      </w:rPr>
    </w:lvl>
    <w:lvl w:ilvl="2" w:tplc="FFFFFFFF" w:tentative="1">
      <w:start w:val="1"/>
      <w:numFmt w:val="bullet"/>
      <w:lvlText w:val=""/>
      <w:lvlJc w:val="left"/>
      <w:pPr>
        <w:ind w:left="2865" w:hanging="360"/>
      </w:pPr>
      <w:rPr>
        <w:rFonts w:ascii="Wingdings" w:hAnsi="Wingdings" w:hint="default"/>
      </w:rPr>
    </w:lvl>
    <w:lvl w:ilvl="3" w:tplc="FFFFFFFF" w:tentative="1">
      <w:start w:val="1"/>
      <w:numFmt w:val="bullet"/>
      <w:lvlText w:val=""/>
      <w:lvlJc w:val="left"/>
      <w:pPr>
        <w:ind w:left="3585" w:hanging="360"/>
      </w:pPr>
      <w:rPr>
        <w:rFonts w:ascii="Symbol" w:hAnsi="Symbol" w:hint="default"/>
      </w:rPr>
    </w:lvl>
    <w:lvl w:ilvl="4" w:tplc="FFFFFFFF" w:tentative="1">
      <w:start w:val="1"/>
      <w:numFmt w:val="bullet"/>
      <w:lvlText w:val="o"/>
      <w:lvlJc w:val="left"/>
      <w:pPr>
        <w:ind w:left="4305" w:hanging="360"/>
      </w:pPr>
      <w:rPr>
        <w:rFonts w:ascii="Courier New" w:hAnsi="Courier New" w:cs="Courier New" w:hint="default"/>
      </w:rPr>
    </w:lvl>
    <w:lvl w:ilvl="5" w:tplc="FFFFFFFF" w:tentative="1">
      <w:start w:val="1"/>
      <w:numFmt w:val="bullet"/>
      <w:lvlText w:val=""/>
      <w:lvlJc w:val="left"/>
      <w:pPr>
        <w:ind w:left="5025" w:hanging="360"/>
      </w:pPr>
      <w:rPr>
        <w:rFonts w:ascii="Wingdings" w:hAnsi="Wingdings" w:hint="default"/>
      </w:rPr>
    </w:lvl>
    <w:lvl w:ilvl="6" w:tplc="FFFFFFFF" w:tentative="1">
      <w:start w:val="1"/>
      <w:numFmt w:val="bullet"/>
      <w:lvlText w:val=""/>
      <w:lvlJc w:val="left"/>
      <w:pPr>
        <w:ind w:left="5745" w:hanging="360"/>
      </w:pPr>
      <w:rPr>
        <w:rFonts w:ascii="Symbol" w:hAnsi="Symbol" w:hint="default"/>
      </w:rPr>
    </w:lvl>
    <w:lvl w:ilvl="7" w:tplc="FFFFFFFF" w:tentative="1">
      <w:start w:val="1"/>
      <w:numFmt w:val="bullet"/>
      <w:lvlText w:val="o"/>
      <w:lvlJc w:val="left"/>
      <w:pPr>
        <w:ind w:left="6465" w:hanging="360"/>
      </w:pPr>
      <w:rPr>
        <w:rFonts w:ascii="Courier New" w:hAnsi="Courier New" w:cs="Courier New" w:hint="default"/>
      </w:rPr>
    </w:lvl>
    <w:lvl w:ilvl="8" w:tplc="FFFFFFFF" w:tentative="1">
      <w:start w:val="1"/>
      <w:numFmt w:val="bullet"/>
      <w:lvlText w:val=""/>
      <w:lvlJc w:val="left"/>
      <w:pPr>
        <w:ind w:left="7185" w:hanging="360"/>
      </w:pPr>
      <w:rPr>
        <w:rFonts w:ascii="Wingdings" w:hAnsi="Wingdings" w:hint="default"/>
      </w:rPr>
    </w:lvl>
  </w:abstractNum>
  <w:abstractNum w:abstractNumId="17" w15:restartNumberingAfterBreak="0">
    <w:nsid w:val="49BE4D4E"/>
    <w:multiLevelType w:val="multilevel"/>
    <w:tmpl w:val="BFEE8D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0C16BA8"/>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57507226"/>
    <w:multiLevelType w:val="multilevel"/>
    <w:tmpl w:val="E0B8B0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C7F47F4"/>
    <w:multiLevelType w:val="multilevel"/>
    <w:tmpl w:val="9B6E3A82"/>
    <w:lvl w:ilvl="0">
      <w:start w:val="1"/>
      <w:numFmt w:val="decimal"/>
      <w:lvlText w:val="%1."/>
      <w:lvlJc w:val="left"/>
      <w:pPr>
        <w:tabs>
          <w:tab w:val="num" w:pos="720"/>
        </w:tabs>
        <w:ind w:left="720" w:hanging="360"/>
      </w:pPr>
      <w:rPr>
        <w:i w:val="0"/>
        <w:iCs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04A4E0D"/>
    <w:multiLevelType w:val="hybridMultilevel"/>
    <w:tmpl w:val="3F840534"/>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2" w15:restartNumberingAfterBreak="0">
    <w:nsid w:val="61F25D9D"/>
    <w:multiLevelType w:val="hybridMultilevel"/>
    <w:tmpl w:val="96688B66"/>
    <w:lvl w:ilvl="0" w:tplc="0E9A9B0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700656A4"/>
    <w:multiLevelType w:val="hybridMultilevel"/>
    <w:tmpl w:val="5EA68B5C"/>
    <w:lvl w:ilvl="0" w:tplc="F29AC16C">
      <w:start w:val="1"/>
      <w:numFmt w:val="upperLetter"/>
      <w:pStyle w:val="TOC2"/>
      <w:lvlText w:val="%1."/>
      <w:lvlJc w:val="left"/>
      <w:pPr>
        <w:ind w:left="81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3EE480B"/>
    <w:multiLevelType w:val="multilevel"/>
    <w:tmpl w:val="FF6C6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4C16820"/>
    <w:multiLevelType w:val="hybridMultilevel"/>
    <w:tmpl w:val="E9EA6134"/>
    <w:lvl w:ilvl="0" w:tplc="1E782BE8">
      <w:start w:val="3"/>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79BF714A"/>
    <w:multiLevelType w:val="multilevel"/>
    <w:tmpl w:val="E8082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54750484">
    <w:abstractNumId w:val="20"/>
  </w:num>
  <w:num w:numId="2" w16cid:durableId="2020693400">
    <w:abstractNumId w:val="3"/>
  </w:num>
  <w:num w:numId="3" w16cid:durableId="587807769">
    <w:abstractNumId w:val="10"/>
  </w:num>
  <w:num w:numId="4" w16cid:durableId="965046320">
    <w:abstractNumId w:val="7"/>
  </w:num>
  <w:num w:numId="5" w16cid:durableId="96758950">
    <w:abstractNumId w:val="24"/>
  </w:num>
  <w:num w:numId="6" w16cid:durableId="1647588523">
    <w:abstractNumId w:val="26"/>
  </w:num>
  <w:num w:numId="7" w16cid:durableId="1210799447">
    <w:abstractNumId w:val="14"/>
  </w:num>
  <w:num w:numId="8" w16cid:durableId="1791895634">
    <w:abstractNumId w:val="2"/>
  </w:num>
  <w:num w:numId="9" w16cid:durableId="1404450626">
    <w:abstractNumId w:val="9"/>
  </w:num>
  <w:num w:numId="10" w16cid:durableId="935551925">
    <w:abstractNumId w:val="21"/>
  </w:num>
  <w:num w:numId="11" w16cid:durableId="424886447">
    <w:abstractNumId w:val="12"/>
  </w:num>
  <w:num w:numId="12" w16cid:durableId="554779046">
    <w:abstractNumId w:val="11"/>
  </w:num>
  <w:num w:numId="13" w16cid:durableId="455175204">
    <w:abstractNumId w:val="23"/>
  </w:num>
  <w:num w:numId="14" w16cid:durableId="1158619295">
    <w:abstractNumId w:val="8"/>
  </w:num>
  <w:num w:numId="15" w16cid:durableId="1450509039">
    <w:abstractNumId w:val="15"/>
  </w:num>
  <w:num w:numId="16" w16cid:durableId="718361071">
    <w:abstractNumId w:val="16"/>
  </w:num>
  <w:num w:numId="17" w16cid:durableId="925260546">
    <w:abstractNumId w:val="4"/>
  </w:num>
  <w:num w:numId="18" w16cid:durableId="569732124">
    <w:abstractNumId w:val="18"/>
  </w:num>
  <w:num w:numId="19" w16cid:durableId="1324552432">
    <w:abstractNumId w:val="0"/>
  </w:num>
  <w:num w:numId="20" w16cid:durableId="1767071627">
    <w:abstractNumId w:val="1"/>
  </w:num>
  <w:num w:numId="21" w16cid:durableId="618604823">
    <w:abstractNumId w:val="22"/>
  </w:num>
  <w:num w:numId="22" w16cid:durableId="1771046815">
    <w:abstractNumId w:val="25"/>
  </w:num>
  <w:num w:numId="23" w16cid:durableId="1263612944">
    <w:abstractNumId w:val="5"/>
  </w:num>
  <w:num w:numId="24" w16cid:durableId="1904026777">
    <w:abstractNumId w:val="6"/>
  </w:num>
  <w:num w:numId="25" w16cid:durableId="950480890">
    <w:abstractNumId w:val="17"/>
  </w:num>
  <w:num w:numId="26" w16cid:durableId="795678011">
    <w:abstractNumId w:val="19"/>
  </w:num>
  <w:num w:numId="27" w16cid:durableId="212869992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readOnly" w:enforcement="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6A07"/>
    <w:rsid w:val="000048C6"/>
    <w:rsid w:val="00014A81"/>
    <w:rsid w:val="00014B9B"/>
    <w:rsid w:val="00015445"/>
    <w:rsid w:val="00017655"/>
    <w:rsid w:val="00017C97"/>
    <w:rsid w:val="000220F0"/>
    <w:rsid w:val="000230D3"/>
    <w:rsid w:val="0002358E"/>
    <w:rsid w:val="00026916"/>
    <w:rsid w:val="0002692C"/>
    <w:rsid w:val="00027F4E"/>
    <w:rsid w:val="00033288"/>
    <w:rsid w:val="000366A7"/>
    <w:rsid w:val="00042970"/>
    <w:rsid w:val="00044471"/>
    <w:rsid w:val="00047EEE"/>
    <w:rsid w:val="00050C02"/>
    <w:rsid w:val="00052747"/>
    <w:rsid w:val="000554ED"/>
    <w:rsid w:val="00055781"/>
    <w:rsid w:val="000576AE"/>
    <w:rsid w:val="00064341"/>
    <w:rsid w:val="00064CB7"/>
    <w:rsid w:val="0006511B"/>
    <w:rsid w:val="00066964"/>
    <w:rsid w:val="00067918"/>
    <w:rsid w:val="00067EAD"/>
    <w:rsid w:val="000713DF"/>
    <w:rsid w:val="00071C7B"/>
    <w:rsid w:val="00081DCB"/>
    <w:rsid w:val="00082C3E"/>
    <w:rsid w:val="0008359E"/>
    <w:rsid w:val="0008420D"/>
    <w:rsid w:val="00086FE2"/>
    <w:rsid w:val="0009185C"/>
    <w:rsid w:val="00094A5C"/>
    <w:rsid w:val="000A1AC1"/>
    <w:rsid w:val="000A4AF4"/>
    <w:rsid w:val="000A5288"/>
    <w:rsid w:val="000A5885"/>
    <w:rsid w:val="000B7421"/>
    <w:rsid w:val="000C3BE1"/>
    <w:rsid w:val="000C6862"/>
    <w:rsid w:val="000D3206"/>
    <w:rsid w:val="000D6D51"/>
    <w:rsid w:val="000E0F05"/>
    <w:rsid w:val="000E3382"/>
    <w:rsid w:val="000E360A"/>
    <w:rsid w:val="000F067D"/>
    <w:rsid w:val="000F532D"/>
    <w:rsid w:val="000F5DDF"/>
    <w:rsid w:val="000F5F3D"/>
    <w:rsid w:val="000F61BA"/>
    <w:rsid w:val="000F650E"/>
    <w:rsid w:val="000F6AC7"/>
    <w:rsid w:val="00101BCE"/>
    <w:rsid w:val="00102103"/>
    <w:rsid w:val="00107E83"/>
    <w:rsid w:val="001138DC"/>
    <w:rsid w:val="001139CD"/>
    <w:rsid w:val="00114466"/>
    <w:rsid w:val="00115431"/>
    <w:rsid w:val="00115B27"/>
    <w:rsid w:val="00121C66"/>
    <w:rsid w:val="001242A1"/>
    <w:rsid w:val="00131CEE"/>
    <w:rsid w:val="001352A6"/>
    <w:rsid w:val="00136FCB"/>
    <w:rsid w:val="00141233"/>
    <w:rsid w:val="00141BA2"/>
    <w:rsid w:val="00143AE3"/>
    <w:rsid w:val="00143F4A"/>
    <w:rsid w:val="001459C5"/>
    <w:rsid w:val="001477F9"/>
    <w:rsid w:val="00152180"/>
    <w:rsid w:val="001523B0"/>
    <w:rsid w:val="001545FB"/>
    <w:rsid w:val="00154DDE"/>
    <w:rsid w:val="0015585C"/>
    <w:rsid w:val="0016187F"/>
    <w:rsid w:val="0016252B"/>
    <w:rsid w:val="00163B7A"/>
    <w:rsid w:val="001665C8"/>
    <w:rsid w:val="00171190"/>
    <w:rsid w:val="00172761"/>
    <w:rsid w:val="00173401"/>
    <w:rsid w:val="001746A0"/>
    <w:rsid w:val="001752C0"/>
    <w:rsid w:val="00177335"/>
    <w:rsid w:val="0017797D"/>
    <w:rsid w:val="0018213E"/>
    <w:rsid w:val="00182681"/>
    <w:rsid w:val="001826A5"/>
    <w:rsid w:val="0018299A"/>
    <w:rsid w:val="00187045"/>
    <w:rsid w:val="00191D0D"/>
    <w:rsid w:val="00193683"/>
    <w:rsid w:val="001A06EB"/>
    <w:rsid w:val="001A2329"/>
    <w:rsid w:val="001A55D0"/>
    <w:rsid w:val="001A5991"/>
    <w:rsid w:val="001A6016"/>
    <w:rsid w:val="001A65CA"/>
    <w:rsid w:val="001B0224"/>
    <w:rsid w:val="001B774C"/>
    <w:rsid w:val="001B7A9B"/>
    <w:rsid w:val="001B7B07"/>
    <w:rsid w:val="001C09CB"/>
    <w:rsid w:val="001C1C6A"/>
    <w:rsid w:val="001C2565"/>
    <w:rsid w:val="001C3557"/>
    <w:rsid w:val="001C5297"/>
    <w:rsid w:val="001D046A"/>
    <w:rsid w:val="001D5432"/>
    <w:rsid w:val="001D57B7"/>
    <w:rsid w:val="001E28D8"/>
    <w:rsid w:val="001E3271"/>
    <w:rsid w:val="001E332D"/>
    <w:rsid w:val="001E3665"/>
    <w:rsid w:val="001E6943"/>
    <w:rsid w:val="001E723F"/>
    <w:rsid w:val="001F617C"/>
    <w:rsid w:val="00202B89"/>
    <w:rsid w:val="00205268"/>
    <w:rsid w:val="0020612D"/>
    <w:rsid w:val="002079B6"/>
    <w:rsid w:val="00211C12"/>
    <w:rsid w:val="002129CF"/>
    <w:rsid w:val="00217114"/>
    <w:rsid w:val="00217225"/>
    <w:rsid w:val="002200AA"/>
    <w:rsid w:val="0022079A"/>
    <w:rsid w:val="00222105"/>
    <w:rsid w:val="00224A06"/>
    <w:rsid w:val="002304B3"/>
    <w:rsid w:val="0023195A"/>
    <w:rsid w:val="002339D2"/>
    <w:rsid w:val="00233CEF"/>
    <w:rsid w:val="00234C7C"/>
    <w:rsid w:val="002359BE"/>
    <w:rsid w:val="002404D8"/>
    <w:rsid w:val="00243B3C"/>
    <w:rsid w:val="00243BBA"/>
    <w:rsid w:val="002445D7"/>
    <w:rsid w:val="0024506B"/>
    <w:rsid w:val="0024559D"/>
    <w:rsid w:val="00245CF4"/>
    <w:rsid w:val="0024719A"/>
    <w:rsid w:val="002506A7"/>
    <w:rsid w:val="0026287E"/>
    <w:rsid w:val="00264CF4"/>
    <w:rsid w:val="002667B9"/>
    <w:rsid w:val="002709D3"/>
    <w:rsid w:val="00271566"/>
    <w:rsid w:val="00271E66"/>
    <w:rsid w:val="00272742"/>
    <w:rsid w:val="0027499A"/>
    <w:rsid w:val="00275FBC"/>
    <w:rsid w:val="00282A21"/>
    <w:rsid w:val="0028500A"/>
    <w:rsid w:val="002A5D29"/>
    <w:rsid w:val="002A6515"/>
    <w:rsid w:val="002A68F3"/>
    <w:rsid w:val="002B0ADE"/>
    <w:rsid w:val="002B1B54"/>
    <w:rsid w:val="002B3215"/>
    <w:rsid w:val="002B3D3E"/>
    <w:rsid w:val="002B58BF"/>
    <w:rsid w:val="002B5A7A"/>
    <w:rsid w:val="002B6A98"/>
    <w:rsid w:val="002B7C37"/>
    <w:rsid w:val="002C3E32"/>
    <w:rsid w:val="002D1E83"/>
    <w:rsid w:val="002D2B1C"/>
    <w:rsid w:val="002D2EE2"/>
    <w:rsid w:val="002D53C6"/>
    <w:rsid w:val="002D6109"/>
    <w:rsid w:val="002D77D7"/>
    <w:rsid w:val="002E0CB5"/>
    <w:rsid w:val="002E2C05"/>
    <w:rsid w:val="002E3A0A"/>
    <w:rsid w:val="002E4F91"/>
    <w:rsid w:val="002E5603"/>
    <w:rsid w:val="002E6CB6"/>
    <w:rsid w:val="002E7D29"/>
    <w:rsid w:val="002F295E"/>
    <w:rsid w:val="002F3586"/>
    <w:rsid w:val="0030144D"/>
    <w:rsid w:val="0030296E"/>
    <w:rsid w:val="00303724"/>
    <w:rsid w:val="00304053"/>
    <w:rsid w:val="00305FAE"/>
    <w:rsid w:val="00307357"/>
    <w:rsid w:val="00311229"/>
    <w:rsid w:val="003144C1"/>
    <w:rsid w:val="00314684"/>
    <w:rsid w:val="003164F9"/>
    <w:rsid w:val="00317106"/>
    <w:rsid w:val="00321787"/>
    <w:rsid w:val="0033571E"/>
    <w:rsid w:val="003374AB"/>
    <w:rsid w:val="00344ADE"/>
    <w:rsid w:val="00346213"/>
    <w:rsid w:val="003521EB"/>
    <w:rsid w:val="00353810"/>
    <w:rsid w:val="00354DC8"/>
    <w:rsid w:val="00361147"/>
    <w:rsid w:val="00364E2E"/>
    <w:rsid w:val="00364FA3"/>
    <w:rsid w:val="0036586B"/>
    <w:rsid w:val="0036586D"/>
    <w:rsid w:val="003660A2"/>
    <w:rsid w:val="003825FF"/>
    <w:rsid w:val="0038402F"/>
    <w:rsid w:val="00384411"/>
    <w:rsid w:val="00385D57"/>
    <w:rsid w:val="00387848"/>
    <w:rsid w:val="0038786D"/>
    <w:rsid w:val="00391E44"/>
    <w:rsid w:val="00393A60"/>
    <w:rsid w:val="003974DB"/>
    <w:rsid w:val="003A065C"/>
    <w:rsid w:val="003A0B89"/>
    <w:rsid w:val="003A26B2"/>
    <w:rsid w:val="003A5967"/>
    <w:rsid w:val="003A6B27"/>
    <w:rsid w:val="003A788F"/>
    <w:rsid w:val="003A7D08"/>
    <w:rsid w:val="003B0B36"/>
    <w:rsid w:val="003B3CE5"/>
    <w:rsid w:val="003B4DB9"/>
    <w:rsid w:val="003C0D98"/>
    <w:rsid w:val="003C2347"/>
    <w:rsid w:val="003C23D9"/>
    <w:rsid w:val="003C33A6"/>
    <w:rsid w:val="003C3881"/>
    <w:rsid w:val="003C591E"/>
    <w:rsid w:val="003D1330"/>
    <w:rsid w:val="003D176A"/>
    <w:rsid w:val="003D6F1D"/>
    <w:rsid w:val="003E0AB6"/>
    <w:rsid w:val="003E3276"/>
    <w:rsid w:val="003E49CC"/>
    <w:rsid w:val="003E49DB"/>
    <w:rsid w:val="003E7DB8"/>
    <w:rsid w:val="003F1DE3"/>
    <w:rsid w:val="003F3AFE"/>
    <w:rsid w:val="003F44A8"/>
    <w:rsid w:val="003F47A7"/>
    <w:rsid w:val="003F74C6"/>
    <w:rsid w:val="00401A03"/>
    <w:rsid w:val="004023BD"/>
    <w:rsid w:val="00404F78"/>
    <w:rsid w:val="00415FC3"/>
    <w:rsid w:val="004171FC"/>
    <w:rsid w:val="00423C3B"/>
    <w:rsid w:val="00425A6B"/>
    <w:rsid w:val="00426A07"/>
    <w:rsid w:val="004335F5"/>
    <w:rsid w:val="00440B79"/>
    <w:rsid w:val="00441E2B"/>
    <w:rsid w:val="00443B96"/>
    <w:rsid w:val="0044433A"/>
    <w:rsid w:val="00445C3E"/>
    <w:rsid w:val="00447817"/>
    <w:rsid w:val="00461317"/>
    <w:rsid w:val="0047020E"/>
    <w:rsid w:val="00470DF4"/>
    <w:rsid w:val="00473585"/>
    <w:rsid w:val="00475D01"/>
    <w:rsid w:val="0047762C"/>
    <w:rsid w:val="0048565B"/>
    <w:rsid w:val="004864ED"/>
    <w:rsid w:val="004943E8"/>
    <w:rsid w:val="0049564E"/>
    <w:rsid w:val="004A0375"/>
    <w:rsid w:val="004A0F2E"/>
    <w:rsid w:val="004A124E"/>
    <w:rsid w:val="004A7330"/>
    <w:rsid w:val="004A749E"/>
    <w:rsid w:val="004B2DB0"/>
    <w:rsid w:val="004B3D9A"/>
    <w:rsid w:val="004B45C5"/>
    <w:rsid w:val="004B5BC0"/>
    <w:rsid w:val="004B6507"/>
    <w:rsid w:val="004B6CAC"/>
    <w:rsid w:val="004C05F2"/>
    <w:rsid w:val="004C1C8A"/>
    <w:rsid w:val="004C1F0F"/>
    <w:rsid w:val="004C2432"/>
    <w:rsid w:val="004C2437"/>
    <w:rsid w:val="004C32B1"/>
    <w:rsid w:val="004C4FB3"/>
    <w:rsid w:val="004D1DB2"/>
    <w:rsid w:val="004D3C65"/>
    <w:rsid w:val="004D4887"/>
    <w:rsid w:val="004D57DE"/>
    <w:rsid w:val="004D7782"/>
    <w:rsid w:val="004E2CC6"/>
    <w:rsid w:val="004E5E4F"/>
    <w:rsid w:val="004E63D0"/>
    <w:rsid w:val="004F08A2"/>
    <w:rsid w:val="004F2E81"/>
    <w:rsid w:val="004F520F"/>
    <w:rsid w:val="00501E8E"/>
    <w:rsid w:val="00502BD7"/>
    <w:rsid w:val="00504485"/>
    <w:rsid w:val="00505311"/>
    <w:rsid w:val="00506021"/>
    <w:rsid w:val="0050694B"/>
    <w:rsid w:val="00516B0E"/>
    <w:rsid w:val="0052375A"/>
    <w:rsid w:val="005278DE"/>
    <w:rsid w:val="005375E1"/>
    <w:rsid w:val="00542F48"/>
    <w:rsid w:val="00546410"/>
    <w:rsid w:val="00555766"/>
    <w:rsid w:val="00556B61"/>
    <w:rsid w:val="0056095E"/>
    <w:rsid w:val="00560C4D"/>
    <w:rsid w:val="00561B00"/>
    <w:rsid w:val="0056266F"/>
    <w:rsid w:val="00564925"/>
    <w:rsid w:val="0056589A"/>
    <w:rsid w:val="0056602E"/>
    <w:rsid w:val="00573C7B"/>
    <w:rsid w:val="005803EC"/>
    <w:rsid w:val="00581A62"/>
    <w:rsid w:val="00581F83"/>
    <w:rsid w:val="00584443"/>
    <w:rsid w:val="00585856"/>
    <w:rsid w:val="00586F42"/>
    <w:rsid w:val="00587F5C"/>
    <w:rsid w:val="005924F5"/>
    <w:rsid w:val="00594FC0"/>
    <w:rsid w:val="005954DB"/>
    <w:rsid w:val="00596B42"/>
    <w:rsid w:val="005A03CC"/>
    <w:rsid w:val="005A3907"/>
    <w:rsid w:val="005A3E2E"/>
    <w:rsid w:val="005B1A5A"/>
    <w:rsid w:val="005B2E7F"/>
    <w:rsid w:val="005B3C82"/>
    <w:rsid w:val="005B4875"/>
    <w:rsid w:val="005B52A2"/>
    <w:rsid w:val="005B7434"/>
    <w:rsid w:val="005C0910"/>
    <w:rsid w:val="005C2919"/>
    <w:rsid w:val="005D2E68"/>
    <w:rsid w:val="005D3B3F"/>
    <w:rsid w:val="005E243D"/>
    <w:rsid w:val="005E5101"/>
    <w:rsid w:val="005F6563"/>
    <w:rsid w:val="0060270F"/>
    <w:rsid w:val="006036FC"/>
    <w:rsid w:val="00605A09"/>
    <w:rsid w:val="00607F19"/>
    <w:rsid w:val="00611B99"/>
    <w:rsid w:val="006143EF"/>
    <w:rsid w:val="006250D5"/>
    <w:rsid w:val="0062788E"/>
    <w:rsid w:val="0063268B"/>
    <w:rsid w:val="00635D53"/>
    <w:rsid w:val="006423B9"/>
    <w:rsid w:val="00646315"/>
    <w:rsid w:val="00657BB5"/>
    <w:rsid w:val="00661B09"/>
    <w:rsid w:val="00665666"/>
    <w:rsid w:val="00672AD6"/>
    <w:rsid w:val="00673C97"/>
    <w:rsid w:val="0068118A"/>
    <w:rsid w:val="0068535A"/>
    <w:rsid w:val="00686D95"/>
    <w:rsid w:val="006911A8"/>
    <w:rsid w:val="00691B8F"/>
    <w:rsid w:val="00692C4E"/>
    <w:rsid w:val="00693271"/>
    <w:rsid w:val="00693344"/>
    <w:rsid w:val="006942F3"/>
    <w:rsid w:val="006952B7"/>
    <w:rsid w:val="006963E7"/>
    <w:rsid w:val="00696626"/>
    <w:rsid w:val="006A260C"/>
    <w:rsid w:val="006A5D5D"/>
    <w:rsid w:val="006B1A89"/>
    <w:rsid w:val="006B1D8B"/>
    <w:rsid w:val="006B4FFB"/>
    <w:rsid w:val="006B6A74"/>
    <w:rsid w:val="006C7AE4"/>
    <w:rsid w:val="006D172A"/>
    <w:rsid w:val="006D2481"/>
    <w:rsid w:val="006D72B2"/>
    <w:rsid w:val="006E0D89"/>
    <w:rsid w:val="006E2CDA"/>
    <w:rsid w:val="006E350F"/>
    <w:rsid w:val="006E483E"/>
    <w:rsid w:val="006F441E"/>
    <w:rsid w:val="006F7C1D"/>
    <w:rsid w:val="00712D63"/>
    <w:rsid w:val="007136A5"/>
    <w:rsid w:val="00714352"/>
    <w:rsid w:val="007144C6"/>
    <w:rsid w:val="007146F4"/>
    <w:rsid w:val="00715E89"/>
    <w:rsid w:val="007172DF"/>
    <w:rsid w:val="00720383"/>
    <w:rsid w:val="00722DE5"/>
    <w:rsid w:val="00733D83"/>
    <w:rsid w:val="00735BAE"/>
    <w:rsid w:val="007378D8"/>
    <w:rsid w:val="00737B58"/>
    <w:rsid w:val="00740F0D"/>
    <w:rsid w:val="00751EE9"/>
    <w:rsid w:val="0075210E"/>
    <w:rsid w:val="0075465E"/>
    <w:rsid w:val="00754CB9"/>
    <w:rsid w:val="0076193A"/>
    <w:rsid w:val="00763E77"/>
    <w:rsid w:val="00764F51"/>
    <w:rsid w:val="007730A6"/>
    <w:rsid w:val="00773BBB"/>
    <w:rsid w:val="00775A38"/>
    <w:rsid w:val="00777A41"/>
    <w:rsid w:val="00784CC2"/>
    <w:rsid w:val="0078565B"/>
    <w:rsid w:val="007862BA"/>
    <w:rsid w:val="00790B2F"/>
    <w:rsid w:val="00790FEB"/>
    <w:rsid w:val="00792134"/>
    <w:rsid w:val="007962A2"/>
    <w:rsid w:val="0079710A"/>
    <w:rsid w:val="0079725F"/>
    <w:rsid w:val="007A07E0"/>
    <w:rsid w:val="007B035D"/>
    <w:rsid w:val="007B24AB"/>
    <w:rsid w:val="007B6119"/>
    <w:rsid w:val="007C03BA"/>
    <w:rsid w:val="007C0ABB"/>
    <w:rsid w:val="007C1B4F"/>
    <w:rsid w:val="007C4CC3"/>
    <w:rsid w:val="007C564D"/>
    <w:rsid w:val="007C6413"/>
    <w:rsid w:val="007C709B"/>
    <w:rsid w:val="007D0AF0"/>
    <w:rsid w:val="007D1CC9"/>
    <w:rsid w:val="007D3B61"/>
    <w:rsid w:val="007D4F9C"/>
    <w:rsid w:val="007E3E10"/>
    <w:rsid w:val="007E5200"/>
    <w:rsid w:val="007E656E"/>
    <w:rsid w:val="007F182C"/>
    <w:rsid w:val="007F1E41"/>
    <w:rsid w:val="007F3C45"/>
    <w:rsid w:val="007F5F8B"/>
    <w:rsid w:val="007F67FB"/>
    <w:rsid w:val="008038B6"/>
    <w:rsid w:val="00811351"/>
    <w:rsid w:val="008114B9"/>
    <w:rsid w:val="00812A4F"/>
    <w:rsid w:val="00814168"/>
    <w:rsid w:val="00817805"/>
    <w:rsid w:val="00822F46"/>
    <w:rsid w:val="0082413F"/>
    <w:rsid w:val="008259CC"/>
    <w:rsid w:val="00830915"/>
    <w:rsid w:val="00831795"/>
    <w:rsid w:val="008345A7"/>
    <w:rsid w:val="008363E5"/>
    <w:rsid w:val="00837BDD"/>
    <w:rsid w:val="008402A5"/>
    <w:rsid w:val="00841538"/>
    <w:rsid w:val="00847104"/>
    <w:rsid w:val="00853AB1"/>
    <w:rsid w:val="00855AEE"/>
    <w:rsid w:val="00856F89"/>
    <w:rsid w:val="00857B6A"/>
    <w:rsid w:val="00857E10"/>
    <w:rsid w:val="00857E9E"/>
    <w:rsid w:val="00861B55"/>
    <w:rsid w:val="008628DF"/>
    <w:rsid w:val="00863829"/>
    <w:rsid w:val="00873A58"/>
    <w:rsid w:val="00873C93"/>
    <w:rsid w:val="0087418C"/>
    <w:rsid w:val="00881C42"/>
    <w:rsid w:val="0089459D"/>
    <w:rsid w:val="00894C15"/>
    <w:rsid w:val="0089597A"/>
    <w:rsid w:val="0089666B"/>
    <w:rsid w:val="008A02D7"/>
    <w:rsid w:val="008A0D47"/>
    <w:rsid w:val="008A0F91"/>
    <w:rsid w:val="008A3346"/>
    <w:rsid w:val="008A3E34"/>
    <w:rsid w:val="008A7866"/>
    <w:rsid w:val="008B0897"/>
    <w:rsid w:val="008B0B4A"/>
    <w:rsid w:val="008B4CF2"/>
    <w:rsid w:val="008B65A9"/>
    <w:rsid w:val="008B6B59"/>
    <w:rsid w:val="008C2413"/>
    <w:rsid w:val="008C4012"/>
    <w:rsid w:val="008C4CF4"/>
    <w:rsid w:val="008C63DB"/>
    <w:rsid w:val="008C670B"/>
    <w:rsid w:val="008C729B"/>
    <w:rsid w:val="008D2244"/>
    <w:rsid w:val="008D248A"/>
    <w:rsid w:val="008D4CA0"/>
    <w:rsid w:val="008D5EF7"/>
    <w:rsid w:val="008E1B99"/>
    <w:rsid w:val="008E2202"/>
    <w:rsid w:val="008E2C15"/>
    <w:rsid w:val="008E3C10"/>
    <w:rsid w:val="008E5B20"/>
    <w:rsid w:val="008E775C"/>
    <w:rsid w:val="008F4C4C"/>
    <w:rsid w:val="008F4F01"/>
    <w:rsid w:val="008F7BBF"/>
    <w:rsid w:val="00903165"/>
    <w:rsid w:val="009039EF"/>
    <w:rsid w:val="00903BC2"/>
    <w:rsid w:val="00904F25"/>
    <w:rsid w:val="00905089"/>
    <w:rsid w:val="0090642F"/>
    <w:rsid w:val="009070B9"/>
    <w:rsid w:val="0091125D"/>
    <w:rsid w:val="00913256"/>
    <w:rsid w:val="009146D8"/>
    <w:rsid w:val="009170DF"/>
    <w:rsid w:val="009244DB"/>
    <w:rsid w:val="00926B56"/>
    <w:rsid w:val="00932C0E"/>
    <w:rsid w:val="0093339F"/>
    <w:rsid w:val="009333EE"/>
    <w:rsid w:val="00935859"/>
    <w:rsid w:val="00935BF5"/>
    <w:rsid w:val="009404FE"/>
    <w:rsid w:val="00945AE9"/>
    <w:rsid w:val="00946428"/>
    <w:rsid w:val="00950FE6"/>
    <w:rsid w:val="0095138F"/>
    <w:rsid w:val="009559B5"/>
    <w:rsid w:val="00960C5A"/>
    <w:rsid w:val="0096487E"/>
    <w:rsid w:val="00964F90"/>
    <w:rsid w:val="00970A7F"/>
    <w:rsid w:val="00970C8D"/>
    <w:rsid w:val="00971071"/>
    <w:rsid w:val="00976808"/>
    <w:rsid w:val="00981A85"/>
    <w:rsid w:val="00982738"/>
    <w:rsid w:val="009843F7"/>
    <w:rsid w:val="00985324"/>
    <w:rsid w:val="00985D2E"/>
    <w:rsid w:val="00985EB8"/>
    <w:rsid w:val="0099019D"/>
    <w:rsid w:val="00991038"/>
    <w:rsid w:val="00992D87"/>
    <w:rsid w:val="00993733"/>
    <w:rsid w:val="00995CE4"/>
    <w:rsid w:val="009979D6"/>
    <w:rsid w:val="009B12D6"/>
    <w:rsid w:val="009B15B9"/>
    <w:rsid w:val="009B4662"/>
    <w:rsid w:val="009B6072"/>
    <w:rsid w:val="009B7BC2"/>
    <w:rsid w:val="009C0F58"/>
    <w:rsid w:val="009C303A"/>
    <w:rsid w:val="009C4659"/>
    <w:rsid w:val="009C701A"/>
    <w:rsid w:val="009C7756"/>
    <w:rsid w:val="009D20EA"/>
    <w:rsid w:val="009D33F7"/>
    <w:rsid w:val="009D42E8"/>
    <w:rsid w:val="009D4681"/>
    <w:rsid w:val="009D5DFE"/>
    <w:rsid w:val="009D7755"/>
    <w:rsid w:val="009E04DF"/>
    <w:rsid w:val="009F09F3"/>
    <w:rsid w:val="009F1CA2"/>
    <w:rsid w:val="009F2C59"/>
    <w:rsid w:val="009F3530"/>
    <w:rsid w:val="009F6FA3"/>
    <w:rsid w:val="009F7B8D"/>
    <w:rsid w:val="00A0034A"/>
    <w:rsid w:val="00A03E13"/>
    <w:rsid w:val="00A06A16"/>
    <w:rsid w:val="00A10509"/>
    <w:rsid w:val="00A12D6F"/>
    <w:rsid w:val="00A146AF"/>
    <w:rsid w:val="00A14818"/>
    <w:rsid w:val="00A15068"/>
    <w:rsid w:val="00A1566D"/>
    <w:rsid w:val="00A20971"/>
    <w:rsid w:val="00A22AAE"/>
    <w:rsid w:val="00A2392F"/>
    <w:rsid w:val="00A2416A"/>
    <w:rsid w:val="00A34380"/>
    <w:rsid w:val="00A35128"/>
    <w:rsid w:val="00A37E22"/>
    <w:rsid w:val="00A40B7E"/>
    <w:rsid w:val="00A44B77"/>
    <w:rsid w:val="00A50CF5"/>
    <w:rsid w:val="00A52183"/>
    <w:rsid w:val="00A54303"/>
    <w:rsid w:val="00A56FD5"/>
    <w:rsid w:val="00A607AA"/>
    <w:rsid w:val="00A61C1E"/>
    <w:rsid w:val="00A65175"/>
    <w:rsid w:val="00A66208"/>
    <w:rsid w:val="00A66397"/>
    <w:rsid w:val="00A7276A"/>
    <w:rsid w:val="00A72CAB"/>
    <w:rsid w:val="00A73D5D"/>
    <w:rsid w:val="00A7513C"/>
    <w:rsid w:val="00A75BED"/>
    <w:rsid w:val="00A76C73"/>
    <w:rsid w:val="00A76CC0"/>
    <w:rsid w:val="00A80978"/>
    <w:rsid w:val="00A825FA"/>
    <w:rsid w:val="00A83549"/>
    <w:rsid w:val="00A8364D"/>
    <w:rsid w:val="00A854E8"/>
    <w:rsid w:val="00A87A70"/>
    <w:rsid w:val="00A90088"/>
    <w:rsid w:val="00A91F39"/>
    <w:rsid w:val="00A92BB8"/>
    <w:rsid w:val="00A933E1"/>
    <w:rsid w:val="00A95F2E"/>
    <w:rsid w:val="00AA45CC"/>
    <w:rsid w:val="00AA5383"/>
    <w:rsid w:val="00AB1E72"/>
    <w:rsid w:val="00AB275A"/>
    <w:rsid w:val="00AB43F3"/>
    <w:rsid w:val="00AB58EA"/>
    <w:rsid w:val="00AC117F"/>
    <w:rsid w:val="00AC476B"/>
    <w:rsid w:val="00AC628E"/>
    <w:rsid w:val="00AC7B26"/>
    <w:rsid w:val="00AD1510"/>
    <w:rsid w:val="00AD26DE"/>
    <w:rsid w:val="00AD3949"/>
    <w:rsid w:val="00AD3B3A"/>
    <w:rsid w:val="00AD5D8D"/>
    <w:rsid w:val="00AD775F"/>
    <w:rsid w:val="00AE3133"/>
    <w:rsid w:val="00AE6205"/>
    <w:rsid w:val="00AF2CEA"/>
    <w:rsid w:val="00AF3F0B"/>
    <w:rsid w:val="00AF772B"/>
    <w:rsid w:val="00B009F5"/>
    <w:rsid w:val="00B0791F"/>
    <w:rsid w:val="00B07DFF"/>
    <w:rsid w:val="00B11112"/>
    <w:rsid w:val="00B11762"/>
    <w:rsid w:val="00B1528E"/>
    <w:rsid w:val="00B2740A"/>
    <w:rsid w:val="00B32F58"/>
    <w:rsid w:val="00B362C0"/>
    <w:rsid w:val="00B36FC8"/>
    <w:rsid w:val="00B41239"/>
    <w:rsid w:val="00B41848"/>
    <w:rsid w:val="00B4412B"/>
    <w:rsid w:val="00B44278"/>
    <w:rsid w:val="00B463B4"/>
    <w:rsid w:val="00B5159C"/>
    <w:rsid w:val="00B54B96"/>
    <w:rsid w:val="00B5678A"/>
    <w:rsid w:val="00B62321"/>
    <w:rsid w:val="00B6754C"/>
    <w:rsid w:val="00B7072B"/>
    <w:rsid w:val="00B727F9"/>
    <w:rsid w:val="00B73770"/>
    <w:rsid w:val="00B80DE7"/>
    <w:rsid w:val="00B829FB"/>
    <w:rsid w:val="00B85182"/>
    <w:rsid w:val="00B863EC"/>
    <w:rsid w:val="00B90C2B"/>
    <w:rsid w:val="00B920DA"/>
    <w:rsid w:val="00B93805"/>
    <w:rsid w:val="00B93902"/>
    <w:rsid w:val="00B9492A"/>
    <w:rsid w:val="00B9725A"/>
    <w:rsid w:val="00B97BCB"/>
    <w:rsid w:val="00BA115D"/>
    <w:rsid w:val="00BA1C54"/>
    <w:rsid w:val="00BA5086"/>
    <w:rsid w:val="00BA54CD"/>
    <w:rsid w:val="00BB0C50"/>
    <w:rsid w:val="00BB16AF"/>
    <w:rsid w:val="00BB1912"/>
    <w:rsid w:val="00BB201C"/>
    <w:rsid w:val="00BB28D2"/>
    <w:rsid w:val="00BB2E81"/>
    <w:rsid w:val="00BB2F4F"/>
    <w:rsid w:val="00BB4341"/>
    <w:rsid w:val="00BB7511"/>
    <w:rsid w:val="00BC2EFF"/>
    <w:rsid w:val="00BC3028"/>
    <w:rsid w:val="00BC4D65"/>
    <w:rsid w:val="00BC5FD7"/>
    <w:rsid w:val="00BC65FB"/>
    <w:rsid w:val="00BC6EDC"/>
    <w:rsid w:val="00BC74A8"/>
    <w:rsid w:val="00BC78F0"/>
    <w:rsid w:val="00BE0D51"/>
    <w:rsid w:val="00BE1115"/>
    <w:rsid w:val="00BE154F"/>
    <w:rsid w:val="00BE27F1"/>
    <w:rsid w:val="00BE2E88"/>
    <w:rsid w:val="00BE32E7"/>
    <w:rsid w:val="00BE7698"/>
    <w:rsid w:val="00BF27E3"/>
    <w:rsid w:val="00BF2B87"/>
    <w:rsid w:val="00BF41E6"/>
    <w:rsid w:val="00BF57D1"/>
    <w:rsid w:val="00C0137F"/>
    <w:rsid w:val="00C04C96"/>
    <w:rsid w:val="00C12DB2"/>
    <w:rsid w:val="00C15669"/>
    <w:rsid w:val="00C20628"/>
    <w:rsid w:val="00C2597C"/>
    <w:rsid w:val="00C3020F"/>
    <w:rsid w:val="00C315C0"/>
    <w:rsid w:val="00C34095"/>
    <w:rsid w:val="00C368B5"/>
    <w:rsid w:val="00C416AE"/>
    <w:rsid w:val="00C41B7E"/>
    <w:rsid w:val="00C41DC3"/>
    <w:rsid w:val="00C47114"/>
    <w:rsid w:val="00C50AF5"/>
    <w:rsid w:val="00C51B85"/>
    <w:rsid w:val="00C54EE1"/>
    <w:rsid w:val="00C73A0F"/>
    <w:rsid w:val="00C766B6"/>
    <w:rsid w:val="00C817ED"/>
    <w:rsid w:val="00C84A03"/>
    <w:rsid w:val="00C87595"/>
    <w:rsid w:val="00C906A0"/>
    <w:rsid w:val="00C91C8A"/>
    <w:rsid w:val="00C965B5"/>
    <w:rsid w:val="00CA2AFF"/>
    <w:rsid w:val="00CA2C98"/>
    <w:rsid w:val="00CA352E"/>
    <w:rsid w:val="00CA62E8"/>
    <w:rsid w:val="00CA6926"/>
    <w:rsid w:val="00CB1613"/>
    <w:rsid w:val="00CB570A"/>
    <w:rsid w:val="00CB5B3F"/>
    <w:rsid w:val="00CB64C1"/>
    <w:rsid w:val="00CB6C09"/>
    <w:rsid w:val="00CC0786"/>
    <w:rsid w:val="00CC08B8"/>
    <w:rsid w:val="00CC19B5"/>
    <w:rsid w:val="00CC1A74"/>
    <w:rsid w:val="00CC714B"/>
    <w:rsid w:val="00CC7A1A"/>
    <w:rsid w:val="00CC7EC2"/>
    <w:rsid w:val="00CD02BC"/>
    <w:rsid w:val="00CE1892"/>
    <w:rsid w:val="00CE2AF6"/>
    <w:rsid w:val="00CE3599"/>
    <w:rsid w:val="00CE4112"/>
    <w:rsid w:val="00CF0661"/>
    <w:rsid w:val="00CF5421"/>
    <w:rsid w:val="00CF5B22"/>
    <w:rsid w:val="00CF7C22"/>
    <w:rsid w:val="00D012D0"/>
    <w:rsid w:val="00D02A43"/>
    <w:rsid w:val="00D02DE2"/>
    <w:rsid w:val="00D12C50"/>
    <w:rsid w:val="00D12D7A"/>
    <w:rsid w:val="00D14E06"/>
    <w:rsid w:val="00D166CC"/>
    <w:rsid w:val="00D21F65"/>
    <w:rsid w:val="00D222E2"/>
    <w:rsid w:val="00D23D1A"/>
    <w:rsid w:val="00D360F4"/>
    <w:rsid w:val="00D42B04"/>
    <w:rsid w:val="00D45D3F"/>
    <w:rsid w:val="00D46D86"/>
    <w:rsid w:val="00D566A9"/>
    <w:rsid w:val="00D56CC0"/>
    <w:rsid w:val="00D57431"/>
    <w:rsid w:val="00D57983"/>
    <w:rsid w:val="00D60845"/>
    <w:rsid w:val="00D63C27"/>
    <w:rsid w:val="00D66623"/>
    <w:rsid w:val="00D7018E"/>
    <w:rsid w:val="00D80200"/>
    <w:rsid w:val="00D82A6C"/>
    <w:rsid w:val="00D8627E"/>
    <w:rsid w:val="00D86770"/>
    <w:rsid w:val="00D907DA"/>
    <w:rsid w:val="00D91D51"/>
    <w:rsid w:val="00D92E85"/>
    <w:rsid w:val="00D931FF"/>
    <w:rsid w:val="00D9432E"/>
    <w:rsid w:val="00D967AB"/>
    <w:rsid w:val="00D9705B"/>
    <w:rsid w:val="00D97399"/>
    <w:rsid w:val="00DA0B1E"/>
    <w:rsid w:val="00DA2BD2"/>
    <w:rsid w:val="00DA5AD7"/>
    <w:rsid w:val="00DA642D"/>
    <w:rsid w:val="00DB1880"/>
    <w:rsid w:val="00DB41D7"/>
    <w:rsid w:val="00DB4D05"/>
    <w:rsid w:val="00DB5F45"/>
    <w:rsid w:val="00DB5F5B"/>
    <w:rsid w:val="00DB7F0D"/>
    <w:rsid w:val="00DC23D9"/>
    <w:rsid w:val="00DC4633"/>
    <w:rsid w:val="00DC5852"/>
    <w:rsid w:val="00DC68C6"/>
    <w:rsid w:val="00DD3249"/>
    <w:rsid w:val="00DD40B2"/>
    <w:rsid w:val="00DD4121"/>
    <w:rsid w:val="00DD5A3E"/>
    <w:rsid w:val="00DD6197"/>
    <w:rsid w:val="00DD6E6E"/>
    <w:rsid w:val="00DE1BC9"/>
    <w:rsid w:val="00DE4337"/>
    <w:rsid w:val="00DE44D0"/>
    <w:rsid w:val="00DE59DA"/>
    <w:rsid w:val="00DE7E51"/>
    <w:rsid w:val="00DF0266"/>
    <w:rsid w:val="00DF0C02"/>
    <w:rsid w:val="00DF4A9B"/>
    <w:rsid w:val="00DF64A5"/>
    <w:rsid w:val="00E06128"/>
    <w:rsid w:val="00E068C7"/>
    <w:rsid w:val="00E206E7"/>
    <w:rsid w:val="00E22516"/>
    <w:rsid w:val="00E2251D"/>
    <w:rsid w:val="00E33001"/>
    <w:rsid w:val="00E40BF2"/>
    <w:rsid w:val="00E429B2"/>
    <w:rsid w:val="00E43A42"/>
    <w:rsid w:val="00E44031"/>
    <w:rsid w:val="00E45290"/>
    <w:rsid w:val="00E506BD"/>
    <w:rsid w:val="00E51B20"/>
    <w:rsid w:val="00E51F07"/>
    <w:rsid w:val="00E525BA"/>
    <w:rsid w:val="00E52AAB"/>
    <w:rsid w:val="00E559BB"/>
    <w:rsid w:val="00E56591"/>
    <w:rsid w:val="00E56CD7"/>
    <w:rsid w:val="00E57075"/>
    <w:rsid w:val="00E60727"/>
    <w:rsid w:val="00E616B5"/>
    <w:rsid w:val="00E616CD"/>
    <w:rsid w:val="00E64163"/>
    <w:rsid w:val="00E6437B"/>
    <w:rsid w:val="00E6485B"/>
    <w:rsid w:val="00E70BAA"/>
    <w:rsid w:val="00E722DE"/>
    <w:rsid w:val="00E72848"/>
    <w:rsid w:val="00E738FA"/>
    <w:rsid w:val="00E8006E"/>
    <w:rsid w:val="00E80D4F"/>
    <w:rsid w:val="00E810B3"/>
    <w:rsid w:val="00E83CDF"/>
    <w:rsid w:val="00E84CA7"/>
    <w:rsid w:val="00E85D49"/>
    <w:rsid w:val="00E85D9C"/>
    <w:rsid w:val="00E871C4"/>
    <w:rsid w:val="00E918AA"/>
    <w:rsid w:val="00E92A9C"/>
    <w:rsid w:val="00E952E7"/>
    <w:rsid w:val="00EA20BB"/>
    <w:rsid w:val="00EA3604"/>
    <w:rsid w:val="00EA51E0"/>
    <w:rsid w:val="00EA7611"/>
    <w:rsid w:val="00EB09D5"/>
    <w:rsid w:val="00EB1BBF"/>
    <w:rsid w:val="00EB3A96"/>
    <w:rsid w:val="00EB6A48"/>
    <w:rsid w:val="00EC291A"/>
    <w:rsid w:val="00EC38A7"/>
    <w:rsid w:val="00EC57C5"/>
    <w:rsid w:val="00EC63B9"/>
    <w:rsid w:val="00EC675A"/>
    <w:rsid w:val="00EC75AE"/>
    <w:rsid w:val="00ED103A"/>
    <w:rsid w:val="00ED4A8B"/>
    <w:rsid w:val="00ED5B64"/>
    <w:rsid w:val="00EE137F"/>
    <w:rsid w:val="00EE3A8A"/>
    <w:rsid w:val="00EE428D"/>
    <w:rsid w:val="00EE5266"/>
    <w:rsid w:val="00EE5CE6"/>
    <w:rsid w:val="00EE6C91"/>
    <w:rsid w:val="00EF0350"/>
    <w:rsid w:val="00EF46D5"/>
    <w:rsid w:val="00EF49DA"/>
    <w:rsid w:val="00EF63F2"/>
    <w:rsid w:val="00EF687A"/>
    <w:rsid w:val="00EF7045"/>
    <w:rsid w:val="00EF7EA4"/>
    <w:rsid w:val="00F00142"/>
    <w:rsid w:val="00F02250"/>
    <w:rsid w:val="00F0468E"/>
    <w:rsid w:val="00F10B72"/>
    <w:rsid w:val="00F14ACA"/>
    <w:rsid w:val="00F14B34"/>
    <w:rsid w:val="00F15EC5"/>
    <w:rsid w:val="00F17096"/>
    <w:rsid w:val="00F20323"/>
    <w:rsid w:val="00F21DBC"/>
    <w:rsid w:val="00F2219F"/>
    <w:rsid w:val="00F23B9B"/>
    <w:rsid w:val="00F33076"/>
    <w:rsid w:val="00F335F6"/>
    <w:rsid w:val="00F357AC"/>
    <w:rsid w:val="00F4042E"/>
    <w:rsid w:val="00F4406B"/>
    <w:rsid w:val="00F50296"/>
    <w:rsid w:val="00F50386"/>
    <w:rsid w:val="00F5486E"/>
    <w:rsid w:val="00F54DF9"/>
    <w:rsid w:val="00F55142"/>
    <w:rsid w:val="00F575C7"/>
    <w:rsid w:val="00F6728B"/>
    <w:rsid w:val="00F70EFA"/>
    <w:rsid w:val="00F719EC"/>
    <w:rsid w:val="00F73F27"/>
    <w:rsid w:val="00F7675A"/>
    <w:rsid w:val="00F7760F"/>
    <w:rsid w:val="00F7790D"/>
    <w:rsid w:val="00F77EE2"/>
    <w:rsid w:val="00F8526E"/>
    <w:rsid w:val="00F877E4"/>
    <w:rsid w:val="00F933DD"/>
    <w:rsid w:val="00F9724E"/>
    <w:rsid w:val="00FA249B"/>
    <w:rsid w:val="00FA3A09"/>
    <w:rsid w:val="00FA5EAD"/>
    <w:rsid w:val="00FB1365"/>
    <w:rsid w:val="00FB18BB"/>
    <w:rsid w:val="00FB2671"/>
    <w:rsid w:val="00FB2BB6"/>
    <w:rsid w:val="00FB58C5"/>
    <w:rsid w:val="00FC2A87"/>
    <w:rsid w:val="00FC44C4"/>
    <w:rsid w:val="00FC688D"/>
    <w:rsid w:val="00FC6C67"/>
    <w:rsid w:val="00FD33F1"/>
    <w:rsid w:val="00FE1DAA"/>
    <w:rsid w:val="00FE2680"/>
    <w:rsid w:val="00FE470B"/>
    <w:rsid w:val="00FE4B83"/>
    <w:rsid w:val="00FE4F9C"/>
    <w:rsid w:val="00FE5792"/>
    <w:rsid w:val="00FF2B10"/>
    <w:rsid w:val="00FF65C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DC72A6"/>
  <w15:chartTrackingRefBased/>
  <w15:docId w15:val="{E1A70297-B391-4B5D-AA62-8F465D635E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6A07"/>
    <w:rPr>
      <w:kern w:val="0"/>
      <w14:ligatures w14:val="none"/>
    </w:rPr>
  </w:style>
  <w:style w:type="paragraph" w:styleId="Heading1">
    <w:name w:val="heading 1"/>
    <w:basedOn w:val="Normal"/>
    <w:next w:val="Normal"/>
    <w:link w:val="Heading1Char"/>
    <w:uiPriority w:val="9"/>
    <w:qFormat/>
    <w:rsid w:val="00426A07"/>
    <w:pPr>
      <w:keepNext/>
      <w:keepLines/>
      <w:spacing w:before="360" w:after="80"/>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426A07"/>
    <w:pPr>
      <w:keepNext/>
      <w:keepLines/>
      <w:spacing w:before="160" w:after="80"/>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426A07"/>
    <w:pPr>
      <w:keepNext/>
      <w:keepLines/>
      <w:spacing w:before="160" w:after="80"/>
      <w:outlineLvl w:val="2"/>
    </w:pPr>
    <w:rPr>
      <w:rFonts w:eastAsiaTheme="majorEastAsia"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426A07"/>
    <w:pPr>
      <w:keepNext/>
      <w:keepLines/>
      <w:spacing w:before="80" w:after="40"/>
      <w:outlineLvl w:val="3"/>
    </w:pPr>
    <w:rPr>
      <w:rFonts w:eastAsiaTheme="majorEastAsia" w:cstheme="majorBidi"/>
      <w:i/>
      <w:iCs/>
      <w:color w:val="0F4761"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426A07"/>
    <w:pPr>
      <w:keepNext/>
      <w:keepLines/>
      <w:spacing w:before="80" w:after="40"/>
      <w:outlineLvl w:val="4"/>
    </w:pPr>
    <w:rPr>
      <w:rFonts w:eastAsiaTheme="majorEastAsia" w:cstheme="majorBidi"/>
      <w:color w:val="0F4761"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426A07"/>
    <w:pPr>
      <w:keepNext/>
      <w:keepLines/>
      <w:spacing w:before="40" w:after="0"/>
      <w:outlineLvl w:val="5"/>
    </w:pPr>
    <w:rPr>
      <w:rFonts w:eastAsiaTheme="majorEastAsia"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426A07"/>
    <w:pPr>
      <w:keepNext/>
      <w:keepLines/>
      <w:spacing w:before="40" w:after="0"/>
      <w:outlineLvl w:val="6"/>
    </w:pPr>
    <w:rPr>
      <w:rFonts w:eastAsiaTheme="majorEastAsia"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426A07"/>
    <w:pPr>
      <w:keepNext/>
      <w:keepLines/>
      <w:spacing w:after="0"/>
      <w:outlineLvl w:val="7"/>
    </w:pPr>
    <w:rPr>
      <w:rFonts w:eastAsiaTheme="majorEastAsia"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426A07"/>
    <w:pPr>
      <w:keepNext/>
      <w:keepLines/>
      <w:spacing w:after="0"/>
      <w:outlineLvl w:val="8"/>
    </w:pPr>
    <w:rPr>
      <w:rFonts w:eastAsiaTheme="majorEastAsia"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6A0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26A0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26A0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26A0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26A0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26A0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26A0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26A0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26A07"/>
    <w:rPr>
      <w:rFonts w:eastAsiaTheme="majorEastAsia" w:cstheme="majorBidi"/>
      <w:color w:val="272727" w:themeColor="text1" w:themeTint="D8"/>
    </w:rPr>
  </w:style>
  <w:style w:type="paragraph" w:styleId="Title">
    <w:name w:val="Title"/>
    <w:basedOn w:val="Normal"/>
    <w:next w:val="Normal"/>
    <w:link w:val="TitleChar"/>
    <w:uiPriority w:val="10"/>
    <w:qFormat/>
    <w:rsid w:val="00426A07"/>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426A0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26A07"/>
    <w:pPr>
      <w:numPr>
        <w:ilvl w:val="1"/>
      </w:numPr>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426A0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26A07"/>
    <w:pPr>
      <w:spacing w:before="160"/>
      <w:jc w:val="center"/>
    </w:pPr>
    <w:rPr>
      <w:i/>
      <w:iCs/>
      <w:color w:val="404040" w:themeColor="text1" w:themeTint="BF"/>
      <w:kern w:val="2"/>
      <w14:ligatures w14:val="standardContextual"/>
    </w:rPr>
  </w:style>
  <w:style w:type="character" w:customStyle="1" w:styleId="QuoteChar">
    <w:name w:val="Quote Char"/>
    <w:basedOn w:val="DefaultParagraphFont"/>
    <w:link w:val="Quote"/>
    <w:uiPriority w:val="29"/>
    <w:rsid w:val="00426A07"/>
    <w:rPr>
      <w:i/>
      <w:iCs/>
      <w:color w:val="404040" w:themeColor="text1" w:themeTint="BF"/>
    </w:rPr>
  </w:style>
  <w:style w:type="paragraph" w:styleId="ListParagraph">
    <w:name w:val="List Paragraph"/>
    <w:basedOn w:val="Normal"/>
    <w:uiPriority w:val="34"/>
    <w:qFormat/>
    <w:rsid w:val="00426A07"/>
    <w:pPr>
      <w:ind w:left="720"/>
      <w:contextualSpacing/>
    </w:pPr>
    <w:rPr>
      <w:kern w:val="2"/>
      <w14:ligatures w14:val="standardContextual"/>
    </w:rPr>
  </w:style>
  <w:style w:type="character" w:styleId="IntenseEmphasis">
    <w:name w:val="Intense Emphasis"/>
    <w:basedOn w:val="DefaultParagraphFont"/>
    <w:uiPriority w:val="21"/>
    <w:qFormat/>
    <w:rsid w:val="00426A07"/>
    <w:rPr>
      <w:i/>
      <w:iCs/>
      <w:color w:val="0F4761" w:themeColor="accent1" w:themeShade="BF"/>
    </w:rPr>
  </w:style>
  <w:style w:type="paragraph" w:styleId="IntenseQuote">
    <w:name w:val="Intense Quote"/>
    <w:basedOn w:val="Normal"/>
    <w:next w:val="Normal"/>
    <w:link w:val="IntenseQuoteChar"/>
    <w:uiPriority w:val="30"/>
    <w:qFormat/>
    <w:rsid w:val="00426A0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kern w:val="2"/>
      <w14:ligatures w14:val="standardContextual"/>
    </w:rPr>
  </w:style>
  <w:style w:type="character" w:customStyle="1" w:styleId="IntenseQuoteChar">
    <w:name w:val="Intense Quote Char"/>
    <w:basedOn w:val="DefaultParagraphFont"/>
    <w:link w:val="IntenseQuote"/>
    <w:uiPriority w:val="30"/>
    <w:rsid w:val="00426A07"/>
    <w:rPr>
      <w:i/>
      <w:iCs/>
      <w:color w:val="0F4761" w:themeColor="accent1" w:themeShade="BF"/>
    </w:rPr>
  </w:style>
  <w:style w:type="character" w:styleId="IntenseReference">
    <w:name w:val="Intense Reference"/>
    <w:basedOn w:val="DefaultParagraphFont"/>
    <w:uiPriority w:val="32"/>
    <w:qFormat/>
    <w:rsid w:val="00426A07"/>
    <w:rPr>
      <w:b/>
      <w:bCs/>
      <w:smallCaps/>
      <w:color w:val="0F4761" w:themeColor="accent1" w:themeShade="BF"/>
      <w:spacing w:val="5"/>
    </w:rPr>
  </w:style>
  <w:style w:type="paragraph" w:styleId="Header">
    <w:name w:val="header"/>
    <w:basedOn w:val="Normal"/>
    <w:link w:val="HeaderChar"/>
    <w:uiPriority w:val="99"/>
    <w:unhideWhenUsed/>
    <w:rsid w:val="00426A07"/>
    <w:pPr>
      <w:tabs>
        <w:tab w:val="center" w:pos="4680"/>
        <w:tab w:val="right" w:pos="9360"/>
      </w:tabs>
      <w:spacing w:after="0" w:line="240" w:lineRule="auto"/>
    </w:pPr>
  </w:style>
  <w:style w:type="character" w:customStyle="1" w:styleId="HeaderChar">
    <w:name w:val="Header Char"/>
    <w:basedOn w:val="DefaultParagraphFont"/>
    <w:link w:val="Header"/>
    <w:uiPriority w:val="99"/>
    <w:rsid w:val="00426A07"/>
    <w:rPr>
      <w:kern w:val="0"/>
      <w14:ligatures w14:val="none"/>
    </w:rPr>
  </w:style>
  <w:style w:type="paragraph" w:styleId="FootnoteText">
    <w:name w:val="footnote text"/>
    <w:basedOn w:val="Normal"/>
    <w:link w:val="FootnoteTextChar"/>
    <w:uiPriority w:val="99"/>
    <w:unhideWhenUsed/>
    <w:rsid w:val="00426A07"/>
    <w:pPr>
      <w:spacing w:after="0" w:line="240" w:lineRule="auto"/>
    </w:pPr>
    <w:rPr>
      <w:rFonts w:ascii="Calibri" w:eastAsia="Calibri" w:hAnsi="Calibri" w:cs="Times New Roman"/>
      <w:sz w:val="20"/>
      <w:szCs w:val="20"/>
    </w:rPr>
  </w:style>
  <w:style w:type="character" w:customStyle="1" w:styleId="FootnoteTextChar">
    <w:name w:val="Footnote Text Char"/>
    <w:basedOn w:val="DefaultParagraphFont"/>
    <w:link w:val="FootnoteText"/>
    <w:uiPriority w:val="99"/>
    <w:rsid w:val="00426A07"/>
    <w:rPr>
      <w:rFonts w:ascii="Calibri" w:eastAsia="Calibri" w:hAnsi="Calibri" w:cs="Times New Roman"/>
      <w:kern w:val="0"/>
      <w:sz w:val="20"/>
      <w:szCs w:val="20"/>
      <w14:ligatures w14:val="none"/>
    </w:rPr>
  </w:style>
  <w:style w:type="character" w:styleId="FootnoteReference">
    <w:name w:val="footnote reference"/>
    <w:uiPriority w:val="99"/>
    <w:unhideWhenUsed/>
    <w:rsid w:val="00426A07"/>
    <w:rPr>
      <w:vertAlign w:val="superscript"/>
    </w:rPr>
  </w:style>
  <w:style w:type="table" w:styleId="PlainTable5">
    <w:name w:val="Plain Table 5"/>
    <w:basedOn w:val="TableNormal"/>
    <w:uiPriority w:val="45"/>
    <w:rsid w:val="00426A07"/>
    <w:pPr>
      <w:spacing w:after="0" w:line="240" w:lineRule="auto"/>
    </w:pPr>
    <w:rPr>
      <w:rFonts w:ascii="Calibri" w:eastAsia="Calibri" w:hAnsi="Calibri" w:cs="Times New Roman"/>
      <w:kern w:val="0"/>
      <w14:ligatures w14:val="none"/>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Footer">
    <w:name w:val="footer"/>
    <w:basedOn w:val="Normal"/>
    <w:link w:val="FooterChar"/>
    <w:uiPriority w:val="99"/>
    <w:unhideWhenUsed/>
    <w:rsid w:val="00C340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C34095"/>
    <w:rPr>
      <w:kern w:val="0"/>
      <w14:ligatures w14:val="none"/>
    </w:rPr>
  </w:style>
  <w:style w:type="table" w:styleId="TableGrid">
    <w:name w:val="Table Grid"/>
    <w:basedOn w:val="TableNormal"/>
    <w:uiPriority w:val="39"/>
    <w:rsid w:val="00FB26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E616CD"/>
    <w:pPr>
      <w:spacing w:after="0" w:line="240" w:lineRule="auto"/>
    </w:pPr>
    <w:rPr>
      <w:rFonts w:ascii="Times New Roman" w:eastAsia="Batang" w:hAnsi="Times New Roman" w:cs="Times New Roman"/>
      <w:kern w:val="0"/>
      <w:sz w:val="24"/>
      <w:szCs w:val="20"/>
      <w14:ligatures w14:val="none"/>
    </w:rPr>
  </w:style>
  <w:style w:type="character" w:styleId="PlaceholderText">
    <w:name w:val="Placeholder Text"/>
    <w:basedOn w:val="DefaultParagraphFont"/>
    <w:uiPriority w:val="99"/>
    <w:semiHidden/>
    <w:rsid w:val="00853AB1"/>
    <w:rPr>
      <w:color w:val="666666"/>
    </w:rPr>
  </w:style>
  <w:style w:type="paragraph" w:styleId="TOC2">
    <w:name w:val="toc 2"/>
    <w:basedOn w:val="Normal"/>
    <w:next w:val="Normal"/>
    <w:autoRedefine/>
    <w:uiPriority w:val="39"/>
    <w:unhideWhenUsed/>
    <w:rsid w:val="00D63C27"/>
    <w:pPr>
      <w:numPr>
        <w:numId w:val="13"/>
      </w:numPr>
      <w:tabs>
        <w:tab w:val="right" w:leader="dot" w:pos="9350"/>
      </w:tabs>
      <w:spacing w:after="100"/>
      <w:ind w:left="720"/>
      <w:jc w:val="both"/>
    </w:pPr>
    <w:rPr>
      <w:rFonts w:ascii="Times New Roman" w:eastAsia="Calibri" w:hAnsi="Times New Roman" w:cs="Times New Roman"/>
      <w:sz w:val="24"/>
      <w:szCs w:val="24"/>
    </w:rPr>
  </w:style>
  <w:style w:type="paragraph" w:styleId="PlainText">
    <w:name w:val="Plain Text"/>
    <w:basedOn w:val="Normal"/>
    <w:link w:val="PlainTextChar"/>
    <w:uiPriority w:val="99"/>
    <w:unhideWhenUsed/>
    <w:rsid w:val="00DD6197"/>
    <w:pPr>
      <w:spacing w:after="0" w:line="240" w:lineRule="auto"/>
    </w:pPr>
    <w:rPr>
      <w:rFonts w:ascii="Calibri" w:eastAsia="Times New Roman" w:hAnsi="Calibri"/>
      <w:kern w:val="2"/>
      <w:szCs w:val="21"/>
      <w14:ligatures w14:val="standardContextual"/>
    </w:rPr>
  </w:style>
  <w:style w:type="character" w:customStyle="1" w:styleId="PlainTextChar">
    <w:name w:val="Plain Text Char"/>
    <w:basedOn w:val="DefaultParagraphFont"/>
    <w:link w:val="PlainText"/>
    <w:uiPriority w:val="99"/>
    <w:rsid w:val="00DD6197"/>
    <w:rPr>
      <w:rFonts w:ascii="Calibri" w:eastAsia="Times New Roman" w:hAnsi="Calibri"/>
      <w:szCs w:val="21"/>
    </w:rPr>
  </w:style>
  <w:style w:type="paragraph" w:customStyle="1" w:styleId="Default">
    <w:name w:val="Default"/>
    <w:rsid w:val="004E63D0"/>
    <w:pPr>
      <w:autoSpaceDE w:val="0"/>
      <w:autoSpaceDN w:val="0"/>
      <w:adjustRightInd w:val="0"/>
      <w:spacing w:after="0" w:line="240" w:lineRule="auto"/>
    </w:pPr>
    <w:rPr>
      <w:rFonts w:ascii="Arial" w:hAnsi="Arial" w:cs="Arial"/>
      <w:color w:val="000000"/>
      <w:kern w:val="0"/>
      <w:sz w:val="24"/>
      <w:szCs w:val="24"/>
    </w:rPr>
  </w:style>
  <w:style w:type="character" w:styleId="Strong">
    <w:name w:val="Strong"/>
    <w:basedOn w:val="DefaultParagraphFont"/>
    <w:uiPriority w:val="22"/>
    <w:qFormat/>
    <w:rsid w:val="00F4042E"/>
    <w:rPr>
      <w:b/>
      <w:bCs/>
    </w:rPr>
  </w:style>
  <w:style w:type="paragraph" w:styleId="NormalWeb">
    <w:name w:val="Normal (Web)"/>
    <w:basedOn w:val="Normal"/>
    <w:uiPriority w:val="99"/>
    <w:unhideWhenUsed/>
    <w:rsid w:val="00F4042E"/>
    <w:pPr>
      <w:spacing w:before="100" w:beforeAutospacing="1" w:after="100" w:afterAutospacing="1" w:line="240" w:lineRule="auto"/>
    </w:pPr>
    <w:rPr>
      <w:rFonts w:ascii="Times New Roman" w:eastAsia="Times New Roman" w:hAnsi="Times New Roman" w:cs="Times New Roman"/>
      <w:sz w:val="24"/>
      <w:szCs w:val="24"/>
      <w:lang w:val="es-PR" w:eastAsia="es-PR"/>
    </w:rPr>
  </w:style>
  <w:style w:type="character" w:styleId="Emphasis">
    <w:name w:val="Emphasis"/>
    <w:basedOn w:val="DefaultParagraphFont"/>
    <w:uiPriority w:val="20"/>
    <w:qFormat/>
    <w:rsid w:val="002B321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7826081">
      <w:bodyDiv w:val="1"/>
      <w:marLeft w:val="0"/>
      <w:marRight w:val="0"/>
      <w:marTop w:val="0"/>
      <w:marBottom w:val="0"/>
      <w:divBdr>
        <w:top w:val="none" w:sz="0" w:space="0" w:color="auto"/>
        <w:left w:val="none" w:sz="0" w:space="0" w:color="auto"/>
        <w:bottom w:val="none" w:sz="0" w:space="0" w:color="auto"/>
        <w:right w:val="none" w:sz="0" w:space="0" w:color="auto"/>
      </w:divBdr>
    </w:div>
    <w:div w:id="507674428">
      <w:bodyDiv w:val="1"/>
      <w:marLeft w:val="0"/>
      <w:marRight w:val="0"/>
      <w:marTop w:val="0"/>
      <w:marBottom w:val="0"/>
      <w:divBdr>
        <w:top w:val="none" w:sz="0" w:space="0" w:color="auto"/>
        <w:left w:val="none" w:sz="0" w:space="0" w:color="auto"/>
        <w:bottom w:val="none" w:sz="0" w:space="0" w:color="auto"/>
        <w:right w:val="none" w:sz="0" w:space="0" w:color="auto"/>
      </w:divBdr>
    </w:div>
    <w:div w:id="596450904">
      <w:bodyDiv w:val="1"/>
      <w:marLeft w:val="0"/>
      <w:marRight w:val="0"/>
      <w:marTop w:val="0"/>
      <w:marBottom w:val="0"/>
      <w:divBdr>
        <w:top w:val="none" w:sz="0" w:space="0" w:color="auto"/>
        <w:left w:val="none" w:sz="0" w:space="0" w:color="auto"/>
        <w:bottom w:val="none" w:sz="0" w:space="0" w:color="auto"/>
        <w:right w:val="none" w:sz="0" w:space="0" w:color="auto"/>
      </w:divBdr>
    </w:div>
    <w:div w:id="859851908">
      <w:bodyDiv w:val="1"/>
      <w:marLeft w:val="0"/>
      <w:marRight w:val="0"/>
      <w:marTop w:val="0"/>
      <w:marBottom w:val="0"/>
      <w:divBdr>
        <w:top w:val="none" w:sz="0" w:space="0" w:color="auto"/>
        <w:left w:val="none" w:sz="0" w:space="0" w:color="auto"/>
        <w:bottom w:val="none" w:sz="0" w:space="0" w:color="auto"/>
        <w:right w:val="none" w:sz="0" w:space="0" w:color="auto"/>
      </w:divBdr>
    </w:div>
    <w:div w:id="872425755">
      <w:bodyDiv w:val="1"/>
      <w:marLeft w:val="0"/>
      <w:marRight w:val="0"/>
      <w:marTop w:val="0"/>
      <w:marBottom w:val="0"/>
      <w:divBdr>
        <w:top w:val="none" w:sz="0" w:space="0" w:color="auto"/>
        <w:left w:val="none" w:sz="0" w:space="0" w:color="auto"/>
        <w:bottom w:val="none" w:sz="0" w:space="0" w:color="auto"/>
        <w:right w:val="none" w:sz="0" w:space="0" w:color="auto"/>
      </w:divBdr>
    </w:div>
    <w:div w:id="911545725">
      <w:bodyDiv w:val="1"/>
      <w:marLeft w:val="0"/>
      <w:marRight w:val="0"/>
      <w:marTop w:val="0"/>
      <w:marBottom w:val="0"/>
      <w:divBdr>
        <w:top w:val="none" w:sz="0" w:space="0" w:color="auto"/>
        <w:left w:val="none" w:sz="0" w:space="0" w:color="auto"/>
        <w:bottom w:val="none" w:sz="0" w:space="0" w:color="auto"/>
        <w:right w:val="none" w:sz="0" w:space="0" w:color="auto"/>
      </w:divBdr>
    </w:div>
    <w:div w:id="1165172292">
      <w:bodyDiv w:val="1"/>
      <w:marLeft w:val="0"/>
      <w:marRight w:val="0"/>
      <w:marTop w:val="0"/>
      <w:marBottom w:val="0"/>
      <w:divBdr>
        <w:top w:val="none" w:sz="0" w:space="0" w:color="auto"/>
        <w:left w:val="none" w:sz="0" w:space="0" w:color="auto"/>
        <w:bottom w:val="none" w:sz="0" w:space="0" w:color="auto"/>
        <w:right w:val="none" w:sz="0" w:space="0" w:color="auto"/>
      </w:divBdr>
    </w:div>
    <w:div w:id="1213274074">
      <w:bodyDiv w:val="1"/>
      <w:marLeft w:val="0"/>
      <w:marRight w:val="0"/>
      <w:marTop w:val="0"/>
      <w:marBottom w:val="0"/>
      <w:divBdr>
        <w:top w:val="none" w:sz="0" w:space="0" w:color="auto"/>
        <w:left w:val="none" w:sz="0" w:space="0" w:color="auto"/>
        <w:bottom w:val="none" w:sz="0" w:space="0" w:color="auto"/>
        <w:right w:val="none" w:sz="0" w:space="0" w:color="auto"/>
      </w:divBdr>
    </w:div>
    <w:div w:id="1324436282">
      <w:bodyDiv w:val="1"/>
      <w:marLeft w:val="0"/>
      <w:marRight w:val="0"/>
      <w:marTop w:val="0"/>
      <w:marBottom w:val="0"/>
      <w:divBdr>
        <w:top w:val="none" w:sz="0" w:space="0" w:color="auto"/>
        <w:left w:val="none" w:sz="0" w:space="0" w:color="auto"/>
        <w:bottom w:val="none" w:sz="0" w:space="0" w:color="auto"/>
        <w:right w:val="none" w:sz="0" w:space="0" w:color="auto"/>
      </w:divBdr>
    </w:div>
    <w:div w:id="1474903886">
      <w:bodyDiv w:val="1"/>
      <w:marLeft w:val="0"/>
      <w:marRight w:val="0"/>
      <w:marTop w:val="0"/>
      <w:marBottom w:val="0"/>
      <w:divBdr>
        <w:top w:val="none" w:sz="0" w:space="0" w:color="auto"/>
        <w:left w:val="none" w:sz="0" w:space="0" w:color="auto"/>
        <w:bottom w:val="none" w:sz="0" w:space="0" w:color="auto"/>
        <w:right w:val="none" w:sz="0" w:space="0" w:color="auto"/>
      </w:divBdr>
    </w:div>
    <w:div w:id="1607813270">
      <w:bodyDiv w:val="1"/>
      <w:marLeft w:val="0"/>
      <w:marRight w:val="0"/>
      <w:marTop w:val="0"/>
      <w:marBottom w:val="0"/>
      <w:divBdr>
        <w:top w:val="none" w:sz="0" w:space="0" w:color="auto"/>
        <w:left w:val="none" w:sz="0" w:space="0" w:color="auto"/>
        <w:bottom w:val="none" w:sz="0" w:space="0" w:color="auto"/>
        <w:right w:val="none" w:sz="0" w:space="0" w:color="auto"/>
      </w:divBdr>
    </w:div>
    <w:div w:id="1764492425">
      <w:bodyDiv w:val="1"/>
      <w:marLeft w:val="0"/>
      <w:marRight w:val="0"/>
      <w:marTop w:val="0"/>
      <w:marBottom w:val="0"/>
      <w:divBdr>
        <w:top w:val="none" w:sz="0" w:space="0" w:color="auto"/>
        <w:left w:val="none" w:sz="0" w:space="0" w:color="auto"/>
        <w:bottom w:val="none" w:sz="0" w:space="0" w:color="auto"/>
        <w:right w:val="none" w:sz="0" w:space="0" w:color="auto"/>
      </w:divBdr>
    </w:div>
    <w:div w:id="1883133414">
      <w:bodyDiv w:val="1"/>
      <w:marLeft w:val="0"/>
      <w:marRight w:val="0"/>
      <w:marTop w:val="0"/>
      <w:marBottom w:val="0"/>
      <w:divBdr>
        <w:top w:val="none" w:sz="0" w:space="0" w:color="auto"/>
        <w:left w:val="none" w:sz="0" w:space="0" w:color="auto"/>
        <w:bottom w:val="none" w:sz="0" w:space="0" w:color="auto"/>
        <w:right w:val="none" w:sz="0" w:space="0" w:color="auto"/>
      </w:divBdr>
    </w:div>
    <w:div w:id="19005529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4SQX5P7U7WPY-958212181-815558</_dlc_DocId>
    <_dlc_DocIdUrl xmlns="c890fddd-4e87-4e08-8b51-545f2a3f7b06">
      <Url>https://senpr.sharepoint.com/sites/obralegislativa/_layouts/15/DocIdRedir.aspx?ID=4SQX5P7U7WPY-958212181-815558</Url>
      <Description>4SQX5P7U7WPY-958212181-815558</Description>
    </_dlc_DocIdUrl>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979C13-7DFA-4997-9952-55F64F3B79F3}">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2.xml><?xml version="1.0" encoding="utf-8"?>
<ds:datastoreItem xmlns:ds="http://schemas.openxmlformats.org/officeDocument/2006/customXml" ds:itemID="{95B67C24-D6C1-4C27-A464-797AFF03E0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6A95FC2-8E26-45C0-B541-7A5A67F6583B}">
  <ds:schemaRefs>
    <ds:schemaRef ds:uri="http://schemas.microsoft.com/sharepoint/events"/>
  </ds:schemaRefs>
</ds:datastoreItem>
</file>

<file path=customXml/itemProps4.xml><?xml version="1.0" encoding="utf-8"?>
<ds:datastoreItem xmlns:ds="http://schemas.openxmlformats.org/officeDocument/2006/customXml" ds:itemID="{B25E18AF-2A47-4BC9-8AEF-B102995AAA05}">
  <ds:schemaRefs>
    <ds:schemaRef ds:uri="http://schemas.microsoft.com/sharepoint/v3/contenttype/forms"/>
  </ds:schemaRefs>
</ds:datastoreItem>
</file>

<file path=customXml/itemProps5.xml><?xml version="1.0" encoding="utf-8"?>
<ds:datastoreItem xmlns:ds="http://schemas.openxmlformats.org/officeDocument/2006/customXml" ds:itemID="{1D21CD2D-BDC1-4742-ABDD-2C113D8847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23</Pages>
  <Words>8414</Words>
  <Characters>47960</Characters>
  <Application>Microsoft Office Word</Application>
  <DocSecurity>0</DocSecurity>
  <Lines>399</Lines>
  <Paragraphs>112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56262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Ramagui Rivera</dc:creator>
  <cp:keywords/>
  <dc:description/>
  <cp:lastModifiedBy>Monica Maldonado Gonzalez (Secretaria)</cp:lastModifiedBy>
  <cp:revision>2</cp:revision>
  <cp:lastPrinted>2025-06-11T15:26:00Z</cp:lastPrinted>
  <dcterms:created xsi:type="dcterms:W3CDTF">2025-06-16T22:31:00Z</dcterms:created>
  <dcterms:modified xsi:type="dcterms:W3CDTF">2025-06-16T22:31:00Z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_dlc_DocIdItemGuid">
    <vt:lpwstr>9b24f133-c7de-4ef3-926d-34a7d8680e11</vt:lpwstr>
  </property>
  <property fmtid="{D5CDD505-2E9C-101B-9397-08002B2CF9AE}" pid="4" name="MediaServiceImageTags">
    <vt:lpwstr/>
  </property>
</Properties>
</file>