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649EF" w:rsidRDefault="00426A07" w:rsidP="00426A07">
      <w:pPr>
        <w:jc w:val="center"/>
        <w:rPr>
          <w:rFonts w:ascii="Book Antiqua" w:eastAsia="Book Antiqua" w:hAnsi="Book Antiqua" w:cs="Book Antiqua"/>
          <w:bCs/>
          <w:sz w:val="28"/>
          <w:szCs w:val="28"/>
          <w:lang w:val="es-ES"/>
        </w:rPr>
      </w:pPr>
      <w:r w:rsidRPr="001649EF">
        <w:rPr>
          <w:rFonts w:ascii="Book Antiqua" w:eastAsia="Book Antiqua" w:hAnsi="Book Antiqua" w:cs="Book Antiqua"/>
          <w:bCs/>
          <w:sz w:val="28"/>
          <w:szCs w:val="28"/>
          <w:lang w:val="es-ES"/>
        </w:rPr>
        <w:t>GOBIERNO DE PUERTO RICO</w:t>
      </w:r>
    </w:p>
    <w:p w14:paraId="4F775E7F" w14:textId="77777777" w:rsidR="00426A07" w:rsidRPr="000273A0" w:rsidRDefault="00426A07" w:rsidP="00426A07">
      <w:pPr>
        <w:jc w:val="center"/>
        <w:rPr>
          <w:rFonts w:ascii="Book Antiqua" w:eastAsia="Book Antiqua" w:hAnsi="Book Antiqua" w:cs="Book Antiqua"/>
          <w:lang w:val="es-ES"/>
        </w:rPr>
      </w:pPr>
    </w:p>
    <w:p w14:paraId="3170FE29" w14:textId="70F17A66"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 xml:space="preserve">20 </w:t>
      </w:r>
      <w:r w:rsidRPr="000273A0">
        <w:rPr>
          <w:rFonts w:ascii="Book Antiqua" w:eastAsia="Book Antiqua" w:hAnsi="Book Antiqua" w:cs="Book Antiqua"/>
          <w:color w:val="000000"/>
          <w:sz w:val="24"/>
          <w:szCs w:val="24"/>
          <w:vertAlign w:val="superscript"/>
          <w:lang w:val="es-ES"/>
        </w:rPr>
        <w:t>ma.</w:t>
      </w:r>
      <w:r w:rsidRPr="000273A0">
        <w:rPr>
          <w:rFonts w:ascii="Book Antiqua" w:eastAsia="Book Antiqua" w:hAnsi="Book Antiqua" w:cs="Book Antiqua"/>
          <w:color w:val="000000"/>
          <w:sz w:val="24"/>
          <w:szCs w:val="24"/>
          <w:lang w:val="es-ES"/>
        </w:rPr>
        <w:tab/>
        <w:t>Asamblea</w:t>
      </w:r>
      <w:r w:rsidRPr="000273A0">
        <w:rPr>
          <w:rFonts w:ascii="Book Antiqua" w:eastAsia="Book Antiqua" w:hAnsi="Book Antiqua" w:cs="Book Antiqua"/>
          <w:color w:val="000000"/>
          <w:sz w:val="24"/>
          <w:szCs w:val="24"/>
          <w:lang w:val="es-ES"/>
        </w:rPr>
        <w:tab/>
      </w:r>
      <w:r w:rsidR="00AD746B">
        <w:rPr>
          <w:rFonts w:ascii="Book Antiqua" w:eastAsia="Book Antiqua" w:hAnsi="Book Antiqua" w:cs="Book Antiqua"/>
          <w:color w:val="000000"/>
          <w:sz w:val="24"/>
          <w:szCs w:val="24"/>
          <w:lang w:val="es-ES"/>
        </w:rPr>
        <w:t>2</w:t>
      </w:r>
      <w:r w:rsidR="00C671E3">
        <w:rPr>
          <w:rFonts w:ascii="Book Antiqua" w:eastAsia="Book Antiqua" w:hAnsi="Book Antiqua" w:cs="Book Antiqua"/>
          <w:color w:val="000000"/>
          <w:sz w:val="24"/>
          <w:szCs w:val="24"/>
          <w:lang w:val="es-ES"/>
        </w:rPr>
        <w:t xml:space="preserve"> </w:t>
      </w:r>
      <w:r w:rsidR="00AD746B">
        <w:rPr>
          <w:rFonts w:ascii="Book Antiqua" w:eastAsia="Book Antiqua" w:hAnsi="Book Antiqua" w:cs="Book Antiqua"/>
          <w:color w:val="000000"/>
          <w:sz w:val="24"/>
          <w:szCs w:val="24"/>
          <w:vertAlign w:val="superscript"/>
          <w:lang w:val="es-ES"/>
        </w:rPr>
        <w:t>d</w:t>
      </w:r>
      <w:r w:rsidRPr="000273A0">
        <w:rPr>
          <w:rFonts w:ascii="Book Antiqua" w:eastAsia="Book Antiqua" w:hAnsi="Book Antiqua" w:cs="Book Antiqua"/>
          <w:color w:val="000000"/>
          <w:sz w:val="24"/>
          <w:szCs w:val="24"/>
          <w:vertAlign w:val="superscript"/>
          <w:lang w:val="es-ES"/>
        </w:rPr>
        <w:t>a.</w:t>
      </w:r>
      <w:r w:rsidRPr="000273A0">
        <w:rPr>
          <w:rFonts w:ascii="Book Antiqua" w:eastAsia="Book Antiqua" w:hAnsi="Book Antiqua" w:cs="Book Antiqua"/>
          <w:color w:val="000000"/>
          <w:sz w:val="24"/>
          <w:szCs w:val="24"/>
          <w:vertAlign w:val="superscript"/>
          <w:lang w:val="es-ES"/>
        </w:rPr>
        <w:tab/>
      </w:r>
      <w:r w:rsidRPr="000273A0">
        <w:rPr>
          <w:rFonts w:ascii="Book Antiqua" w:eastAsia="Book Antiqua" w:hAnsi="Book Antiqua" w:cs="Book Antiqua"/>
          <w:color w:val="000000"/>
          <w:sz w:val="24"/>
          <w:szCs w:val="24"/>
          <w:lang w:val="es-ES"/>
        </w:rPr>
        <w:t>Sesión</w:t>
      </w:r>
    </w:p>
    <w:p w14:paraId="56D3446F" w14:textId="3C67D092" w:rsidR="00426A07" w:rsidRPr="000273A0" w:rsidRDefault="00426A07" w:rsidP="00426A07">
      <w:pPr>
        <w:tabs>
          <w:tab w:val="left" w:pos="648"/>
          <w:tab w:val="right" w:pos="7776"/>
          <w:tab w:val="left" w:pos="7848"/>
        </w:tabs>
        <w:spacing w:after="0"/>
        <w:rPr>
          <w:rFonts w:ascii="Book Antiqua" w:eastAsia="Book Antiqua" w:hAnsi="Book Antiqua" w:cs="Book Antiqua"/>
          <w:color w:val="000000"/>
          <w:sz w:val="24"/>
          <w:szCs w:val="24"/>
          <w:lang w:val="es-ES"/>
        </w:rPr>
      </w:pPr>
      <w:r w:rsidRPr="000273A0">
        <w:rPr>
          <w:rFonts w:ascii="Book Antiqua" w:eastAsia="Book Antiqua" w:hAnsi="Book Antiqua" w:cs="Book Antiqua"/>
          <w:color w:val="000000"/>
          <w:sz w:val="24"/>
          <w:szCs w:val="24"/>
          <w:lang w:val="es-ES"/>
        </w:rPr>
        <w:tab/>
        <w:t xml:space="preserve">Legislativa                                                                                     </w:t>
      </w:r>
      <w:r w:rsidR="00BF407C" w:rsidRPr="000273A0">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 xml:space="preserve">        </w:t>
      </w:r>
      <w:r w:rsidR="00E6073C">
        <w:rPr>
          <w:rFonts w:ascii="Book Antiqua" w:eastAsia="Book Antiqua" w:hAnsi="Book Antiqua" w:cs="Book Antiqua"/>
          <w:color w:val="000000"/>
          <w:sz w:val="24"/>
          <w:szCs w:val="24"/>
          <w:lang w:val="es-ES"/>
        </w:rPr>
        <w:t xml:space="preserve">      </w:t>
      </w:r>
      <w:r w:rsidRPr="000273A0">
        <w:rPr>
          <w:rFonts w:ascii="Book Antiqua" w:eastAsia="Book Antiqua" w:hAnsi="Book Antiqua" w:cs="Book Antiqua"/>
          <w:color w:val="000000"/>
          <w:sz w:val="24"/>
          <w:szCs w:val="24"/>
          <w:lang w:val="es-ES"/>
        </w:rPr>
        <w:t>Ordinaria</w:t>
      </w:r>
    </w:p>
    <w:p w14:paraId="01F5327D" w14:textId="77777777" w:rsidR="00426A07" w:rsidRPr="000273A0" w:rsidRDefault="00426A07" w:rsidP="00426A07">
      <w:pPr>
        <w:spacing w:after="0"/>
        <w:rPr>
          <w:rFonts w:ascii="Book Antiqua" w:eastAsia="Book Antiqua" w:hAnsi="Book Antiqua" w:cs="Book Antiqua"/>
          <w:lang w:val="es-ES"/>
        </w:rPr>
      </w:pPr>
    </w:p>
    <w:p w14:paraId="5C9CC24F" w14:textId="77777777" w:rsidR="001E1A2C" w:rsidRPr="000273A0" w:rsidRDefault="001E1A2C" w:rsidP="001E1A2C">
      <w:pPr>
        <w:spacing w:line="360" w:lineRule="auto"/>
        <w:jc w:val="center"/>
        <w:rPr>
          <w:rFonts w:ascii="Book Antiqua" w:hAnsi="Book Antiqua"/>
          <w:b/>
          <w:sz w:val="36"/>
          <w:szCs w:val="36"/>
          <w:lang w:val="es-ES"/>
        </w:rPr>
      </w:pPr>
      <w:r w:rsidRPr="000273A0">
        <w:rPr>
          <w:rFonts w:ascii="Book Antiqua" w:hAnsi="Book Antiqua"/>
          <w:b/>
          <w:sz w:val="36"/>
          <w:szCs w:val="36"/>
          <w:lang w:val="es-ES"/>
        </w:rPr>
        <w:t xml:space="preserve">SENADO DE PUERTO RICO </w:t>
      </w:r>
    </w:p>
    <w:p w14:paraId="16FDC5B1" w14:textId="718E9EBA" w:rsidR="001E1A2C" w:rsidRPr="000273A0" w:rsidRDefault="00DC2372" w:rsidP="00BF407C">
      <w:pPr>
        <w:spacing w:line="360" w:lineRule="auto"/>
        <w:jc w:val="center"/>
        <w:rPr>
          <w:rFonts w:ascii="Book Antiqua" w:hAnsi="Book Antiqua"/>
          <w:b/>
          <w:sz w:val="52"/>
          <w:szCs w:val="52"/>
          <w:lang w:val="es-ES"/>
        </w:rPr>
      </w:pPr>
      <w:r>
        <w:rPr>
          <w:rFonts w:ascii="Book Antiqua" w:hAnsi="Book Antiqua"/>
          <w:b/>
          <w:sz w:val="52"/>
          <w:szCs w:val="52"/>
          <w:lang w:val="es-ES"/>
        </w:rPr>
        <w:t>P. de</w:t>
      </w:r>
      <w:r w:rsidR="00344018">
        <w:rPr>
          <w:rFonts w:ascii="Book Antiqua" w:hAnsi="Book Antiqua"/>
          <w:b/>
          <w:sz w:val="52"/>
          <w:szCs w:val="52"/>
          <w:lang w:val="es-ES"/>
        </w:rPr>
        <w:t>l S. 4</w:t>
      </w:r>
      <w:r w:rsidR="00D61358">
        <w:rPr>
          <w:rFonts w:ascii="Book Antiqua" w:hAnsi="Book Antiqua"/>
          <w:b/>
          <w:sz w:val="52"/>
          <w:szCs w:val="52"/>
          <w:lang w:val="es-ES"/>
        </w:rPr>
        <w:t>33</w:t>
      </w:r>
    </w:p>
    <w:p w14:paraId="3909FDBF" w14:textId="7CF78779" w:rsidR="00BF407C" w:rsidRPr="00D61358" w:rsidRDefault="00BF407C" w:rsidP="00B66E92">
      <w:pPr>
        <w:spacing w:after="0" w:line="240" w:lineRule="auto"/>
        <w:jc w:val="center"/>
        <w:rPr>
          <w:rFonts w:ascii="Book Antiqua" w:eastAsia="Times New Roman" w:hAnsi="Book Antiqua" w:cs="Times New Roman"/>
          <w:b/>
          <w:sz w:val="24"/>
          <w:szCs w:val="24"/>
          <w:lang w:val="es-PR"/>
        </w:rPr>
      </w:pPr>
      <w:r w:rsidRPr="00D61358">
        <w:rPr>
          <w:rFonts w:ascii="Book Antiqua" w:eastAsia="Times New Roman" w:hAnsi="Book Antiqua" w:cs="Times New Roman"/>
          <w:b/>
          <w:sz w:val="24"/>
          <w:szCs w:val="24"/>
          <w:lang w:val="es-PR"/>
        </w:rPr>
        <w:t xml:space="preserve">INFORME </w:t>
      </w:r>
      <w:r w:rsidR="00AF1148" w:rsidRPr="00D61358">
        <w:rPr>
          <w:rFonts w:ascii="Book Antiqua" w:eastAsia="Times New Roman" w:hAnsi="Book Antiqua" w:cs="Times New Roman"/>
          <w:b/>
          <w:sz w:val="24"/>
          <w:szCs w:val="24"/>
          <w:lang w:val="es-PR"/>
        </w:rPr>
        <w:t>NEGATIVO</w:t>
      </w:r>
      <w:r w:rsidRPr="00D61358">
        <w:rPr>
          <w:rFonts w:ascii="Book Antiqua" w:eastAsia="Times New Roman" w:hAnsi="Book Antiqua" w:cs="Times New Roman"/>
          <w:b/>
          <w:sz w:val="24"/>
          <w:szCs w:val="24"/>
          <w:lang w:val="es-PR"/>
        </w:rPr>
        <w:t xml:space="preserve"> </w:t>
      </w:r>
      <w:r w:rsidRPr="00D61358">
        <w:rPr>
          <w:rFonts w:ascii="Book Antiqua" w:eastAsia="Times New Roman" w:hAnsi="Book Antiqua" w:cs="Times New Roman"/>
          <w:b/>
          <w:sz w:val="24"/>
          <w:szCs w:val="24"/>
          <w:lang w:val="es-PR"/>
        </w:rPr>
        <w:br/>
      </w:r>
      <w:r w:rsidRPr="00D61358">
        <w:rPr>
          <w:rFonts w:ascii="Book Antiqua" w:eastAsia="Times New Roman" w:hAnsi="Book Antiqua" w:cs="Times New Roman"/>
          <w:b/>
          <w:sz w:val="24"/>
          <w:szCs w:val="24"/>
          <w:lang w:val="es-PR"/>
        </w:rPr>
        <w:br/>
      </w:r>
      <w:r w:rsidR="00D71813">
        <w:rPr>
          <w:rFonts w:ascii="Book Antiqua" w:eastAsia="Times New Roman" w:hAnsi="Book Antiqua" w:cs="Times New Roman"/>
          <w:sz w:val="24"/>
          <w:szCs w:val="24"/>
          <w:lang w:val="es-PR"/>
        </w:rPr>
        <w:t>18</w:t>
      </w:r>
      <w:r w:rsidR="00AF550C" w:rsidRPr="00D61358">
        <w:rPr>
          <w:rFonts w:ascii="Book Antiqua" w:eastAsia="Times New Roman" w:hAnsi="Book Antiqua" w:cs="Times New Roman"/>
          <w:sz w:val="24"/>
          <w:szCs w:val="24"/>
          <w:lang w:val="es-PR"/>
        </w:rPr>
        <w:t xml:space="preserve"> </w:t>
      </w:r>
      <w:r w:rsidRPr="00D61358">
        <w:rPr>
          <w:rFonts w:ascii="Book Antiqua" w:eastAsia="Times New Roman" w:hAnsi="Book Antiqua" w:cs="Times New Roman"/>
          <w:sz w:val="24"/>
          <w:szCs w:val="24"/>
          <w:lang w:val="es-PR"/>
        </w:rPr>
        <w:t xml:space="preserve">de </w:t>
      </w:r>
      <w:r w:rsidR="00D71813">
        <w:rPr>
          <w:rFonts w:ascii="Book Antiqua" w:eastAsia="Times New Roman" w:hAnsi="Book Antiqua" w:cs="Times New Roman"/>
          <w:sz w:val="24"/>
          <w:szCs w:val="24"/>
          <w:lang w:val="es-PR"/>
        </w:rPr>
        <w:t>noviembr</w:t>
      </w:r>
      <w:r w:rsidR="00D61358" w:rsidRPr="00D61358">
        <w:rPr>
          <w:rFonts w:ascii="Book Antiqua" w:eastAsia="Times New Roman" w:hAnsi="Book Antiqua" w:cs="Times New Roman"/>
          <w:sz w:val="24"/>
          <w:szCs w:val="24"/>
          <w:lang w:val="es-PR"/>
        </w:rPr>
        <w:t>e</w:t>
      </w:r>
      <w:r w:rsidR="00C671E3" w:rsidRPr="00D61358">
        <w:rPr>
          <w:rFonts w:ascii="Book Antiqua" w:eastAsia="Times New Roman" w:hAnsi="Book Antiqua" w:cs="Times New Roman"/>
          <w:sz w:val="24"/>
          <w:szCs w:val="24"/>
          <w:lang w:val="es-PR"/>
        </w:rPr>
        <w:t xml:space="preserve"> </w:t>
      </w:r>
      <w:r w:rsidRPr="00D61358">
        <w:rPr>
          <w:rFonts w:ascii="Book Antiqua" w:eastAsia="Times New Roman" w:hAnsi="Book Antiqua" w:cs="Times New Roman"/>
          <w:sz w:val="24"/>
          <w:szCs w:val="24"/>
          <w:lang w:val="es-PR"/>
        </w:rPr>
        <w:t>de 2025</w:t>
      </w:r>
    </w:p>
    <w:p w14:paraId="4F585915" w14:textId="77777777" w:rsidR="00BF407C" w:rsidRPr="00D61358" w:rsidRDefault="00BF407C" w:rsidP="009967C7">
      <w:pPr>
        <w:spacing w:after="0" w:line="240" w:lineRule="auto"/>
        <w:jc w:val="center"/>
        <w:rPr>
          <w:rFonts w:ascii="Book Antiqua" w:eastAsia="Times New Roman" w:hAnsi="Book Antiqua" w:cs="Times New Roman"/>
          <w:sz w:val="24"/>
          <w:szCs w:val="24"/>
          <w:lang w:val="es-PR"/>
        </w:rPr>
      </w:pPr>
    </w:p>
    <w:p w14:paraId="0B5E6C86"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r w:rsidRPr="00B66E92">
        <w:rPr>
          <w:rFonts w:ascii="Book Antiqua" w:eastAsia="Times New Roman" w:hAnsi="Book Antiqua" w:cs="Times New Roman"/>
          <w:b/>
          <w:sz w:val="24"/>
          <w:szCs w:val="24"/>
          <w:lang w:val="es-ES"/>
        </w:rPr>
        <w:t>AL SENADO DE PUERTO RICO</w:t>
      </w:r>
    </w:p>
    <w:p w14:paraId="407607C1" w14:textId="77777777" w:rsidR="00BF407C" w:rsidRPr="00B66E92" w:rsidRDefault="00BF407C" w:rsidP="009967C7">
      <w:pPr>
        <w:spacing w:after="0" w:line="240" w:lineRule="auto"/>
        <w:jc w:val="both"/>
        <w:rPr>
          <w:rFonts w:ascii="Book Antiqua" w:eastAsia="Times New Roman" w:hAnsi="Book Antiqua" w:cs="Times New Roman"/>
          <w:sz w:val="24"/>
          <w:szCs w:val="24"/>
          <w:lang w:val="es-ES"/>
        </w:rPr>
      </w:pPr>
    </w:p>
    <w:p w14:paraId="26B55823" w14:textId="3C037105" w:rsidR="00426A07" w:rsidRPr="00AF550C" w:rsidRDefault="00C671E3" w:rsidP="00E543D7">
      <w:pPr>
        <w:spacing w:after="0" w:line="360" w:lineRule="auto"/>
        <w:ind w:firstLine="720"/>
        <w:jc w:val="both"/>
        <w:rPr>
          <w:rStyle w:val="eop"/>
          <w:rFonts w:ascii="Book Antiqua" w:hAnsi="Book Antiqua"/>
          <w:i/>
          <w:iCs/>
          <w:color w:val="000000"/>
          <w:sz w:val="24"/>
          <w:szCs w:val="24"/>
          <w:shd w:val="clear" w:color="auto" w:fill="FFFFFF"/>
          <w:lang w:val="es-419"/>
        </w:rPr>
      </w:pPr>
      <w:r w:rsidRPr="00B66E92">
        <w:rPr>
          <w:rStyle w:val="normaltextrun"/>
          <w:rFonts w:ascii="Book Antiqua" w:hAnsi="Book Antiqua"/>
          <w:color w:val="000000"/>
          <w:sz w:val="24"/>
          <w:szCs w:val="24"/>
          <w:shd w:val="clear" w:color="auto" w:fill="FFFFFF"/>
          <w:lang w:val="es-ES"/>
        </w:rPr>
        <w:t xml:space="preserve">La Comisión de </w:t>
      </w:r>
      <w:r w:rsidR="00AF550C" w:rsidRPr="00AF550C">
        <w:rPr>
          <w:rFonts w:ascii="Book Antiqua" w:hAnsi="Book Antiqua"/>
          <w:iCs/>
          <w:color w:val="000000"/>
          <w:sz w:val="24"/>
          <w:szCs w:val="24"/>
          <w:shd w:val="clear" w:color="auto" w:fill="FFFFFF"/>
          <w:lang w:val="es-PR"/>
        </w:rPr>
        <w:t xml:space="preserve">Comisión de </w:t>
      </w:r>
      <w:r w:rsidR="00AF550C" w:rsidRPr="00AF550C">
        <w:rPr>
          <w:rFonts w:ascii="Book Antiqua" w:hAnsi="Book Antiqua"/>
          <w:iCs/>
          <w:color w:val="000000"/>
          <w:sz w:val="24"/>
          <w:szCs w:val="24"/>
          <w:shd w:val="clear" w:color="auto" w:fill="FFFFFF"/>
          <w:lang w:val="es-419"/>
        </w:rPr>
        <w:t>Innovación, Reforma y Nombramientos</w:t>
      </w:r>
      <w:r w:rsidRPr="00B66E92">
        <w:rPr>
          <w:rStyle w:val="normaltextrun"/>
          <w:rFonts w:ascii="Book Antiqua" w:hAnsi="Book Antiqua"/>
          <w:color w:val="000000"/>
          <w:sz w:val="24"/>
          <w:szCs w:val="24"/>
          <w:shd w:val="clear" w:color="auto" w:fill="FFFFFF"/>
          <w:lang w:val="es-ES"/>
        </w:rPr>
        <w:t xml:space="preserve">, previo estudio y consideración del </w:t>
      </w:r>
      <w:r w:rsidRPr="00B66E92">
        <w:rPr>
          <w:rStyle w:val="normaltextrun"/>
          <w:rFonts w:ascii="Book Antiqua" w:hAnsi="Book Antiqua"/>
          <w:b/>
          <w:bCs/>
          <w:color w:val="000000"/>
          <w:sz w:val="24"/>
          <w:szCs w:val="24"/>
          <w:shd w:val="clear" w:color="auto" w:fill="FFFFFF"/>
          <w:lang w:val="es-ES"/>
        </w:rPr>
        <w:t>Proyecto de</w:t>
      </w:r>
      <w:r w:rsidR="00AD746B">
        <w:rPr>
          <w:rStyle w:val="normaltextrun"/>
          <w:rFonts w:ascii="Book Antiqua" w:hAnsi="Book Antiqua"/>
          <w:b/>
          <w:bCs/>
          <w:color w:val="000000"/>
          <w:sz w:val="24"/>
          <w:szCs w:val="24"/>
          <w:shd w:val="clear" w:color="auto" w:fill="FFFFFF"/>
          <w:lang w:val="es-ES"/>
        </w:rPr>
        <w:t>l</w:t>
      </w:r>
      <w:r w:rsidR="00494437">
        <w:rPr>
          <w:rStyle w:val="normaltextrun"/>
          <w:rFonts w:ascii="Book Antiqua" w:hAnsi="Book Antiqua"/>
          <w:b/>
          <w:bCs/>
          <w:color w:val="000000"/>
          <w:sz w:val="24"/>
          <w:szCs w:val="24"/>
          <w:shd w:val="clear" w:color="auto" w:fill="FFFFFF"/>
          <w:lang w:val="es-ES"/>
        </w:rPr>
        <w:t xml:space="preserve"> </w:t>
      </w:r>
      <w:r w:rsidR="00AD746B">
        <w:rPr>
          <w:rStyle w:val="normaltextrun"/>
          <w:rFonts w:ascii="Book Antiqua" w:hAnsi="Book Antiqua"/>
          <w:b/>
          <w:bCs/>
          <w:color w:val="000000"/>
          <w:sz w:val="24"/>
          <w:szCs w:val="24"/>
          <w:shd w:val="clear" w:color="auto" w:fill="FFFFFF"/>
          <w:lang w:val="es-ES"/>
        </w:rPr>
        <w:t>Senado</w:t>
      </w:r>
      <w:r w:rsidRPr="00B66E92">
        <w:rPr>
          <w:rStyle w:val="normaltextrun"/>
          <w:rFonts w:ascii="Book Antiqua" w:hAnsi="Book Antiqua"/>
          <w:b/>
          <w:bCs/>
          <w:color w:val="000000"/>
          <w:sz w:val="24"/>
          <w:szCs w:val="24"/>
          <w:shd w:val="clear" w:color="auto" w:fill="FFFFFF"/>
          <w:lang w:val="es-ES"/>
        </w:rPr>
        <w:t xml:space="preserve"> </w:t>
      </w:r>
      <w:r w:rsidR="00AD746B">
        <w:rPr>
          <w:rStyle w:val="normaltextrun"/>
          <w:rFonts w:ascii="Book Antiqua" w:hAnsi="Book Antiqua"/>
          <w:b/>
          <w:bCs/>
          <w:color w:val="000000"/>
          <w:sz w:val="24"/>
          <w:szCs w:val="24"/>
          <w:shd w:val="clear" w:color="auto" w:fill="FFFFFF"/>
          <w:lang w:val="es-ES"/>
        </w:rPr>
        <w:t>4</w:t>
      </w:r>
      <w:r w:rsidR="00D61358">
        <w:rPr>
          <w:rStyle w:val="normaltextrun"/>
          <w:rFonts w:ascii="Book Antiqua" w:hAnsi="Book Antiqua"/>
          <w:b/>
          <w:bCs/>
          <w:color w:val="000000"/>
          <w:sz w:val="24"/>
          <w:szCs w:val="24"/>
          <w:shd w:val="clear" w:color="auto" w:fill="FFFFFF"/>
          <w:lang w:val="es-ES"/>
        </w:rPr>
        <w:t>33</w:t>
      </w:r>
      <w:r w:rsidRPr="00B66E92">
        <w:rPr>
          <w:rStyle w:val="normaltextrun"/>
          <w:rFonts w:ascii="Book Antiqua" w:hAnsi="Book Antiqua"/>
          <w:color w:val="000000"/>
          <w:sz w:val="24"/>
          <w:szCs w:val="24"/>
          <w:shd w:val="clear" w:color="auto" w:fill="FFFFFF"/>
          <w:lang w:val="es-ES"/>
        </w:rPr>
        <w:t xml:space="preserve">, </w:t>
      </w:r>
      <w:r w:rsidRPr="00B66E92">
        <w:rPr>
          <w:rStyle w:val="normaltextrun"/>
          <w:rFonts w:ascii="Book Antiqua" w:hAnsi="Book Antiqua"/>
          <w:b/>
          <w:bCs/>
          <w:color w:val="000000"/>
          <w:sz w:val="24"/>
          <w:szCs w:val="24"/>
          <w:shd w:val="clear" w:color="auto" w:fill="FFFFFF"/>
          <w:lang w:val="es-ES"/>
        </w:rPr>
        <w:t>no recomienda</w:t>
      </w:r>
      <w:r w:rsidRPr="00B66E92">
        <w:rPr>
          <w:rStyle w:val="normaltextrun"/>
          <w:rFonts w:ascii="Book Antiqua" w:hAnsi="Book Antiqua"/>
          <w:color w:val="000000"/>
          <w:sz w:val="24"/>
          <w:szCs w:val="24"/>
          <w:shd w:val="clear" w:color="auto" w:fill="FFFFFF"/>
          <w:lang w:val="es-ES"/>
        </w:rPr>
        <w:t xml:space="preserve"> a este Alto Cuerpo su aprobación. </w:t>
      </w:r>
      <w:r w:rsidRPr="00B66E92">
        <w:rPr>
          <w:rStyle w:val="eop"/>
          <w:rFonts w:ascii="Book Antiqua" w:hAnsi="Book Antiqua"/>
          <w:color w:val="000000"/>
          <w:sz w:val="24"/>
          <w:szCs w:val="24"/>
          <w:shd w:val="clear" w:color="auto" w:fill="FFFFFF"/>
          <w:lang w:val="es-PR"/>
        </w:rPr>
        <w:t> </w:t>
      </w:r>
    </w:p>
    <w:p w14:paraId="5CD3625D" w14:textId="77777777" w:rsidR="00C671E3" w:rsidRPr="00B66E92" w:rsidRDefault="00C671E3" w:rsidP="009967C7">
      <w:pPr>
        <w:spacing w:after="0" w:line="240" w:lineRule="auto"/>
        <w:jc w:val="both"/>
        <w:rPr>
          <w:rFonts w:ascii="Book Antiqua" w:eastAsia="Times New Roman" w:hAnsi="Book Antiqua" w:cs="Times New Roman"/>
          <w:sz w:val="24"/>
          <w:szCs w:val="24"/>
          <w:lang w:val="es-PR"/>
        </w:rPr>
      </w:pPr>
    </w:p>
    <w:p w14:paraId="1602F4C2" w14:textId="77777777" w:rsidR="00426A07" w:rsidRPr="00B66E92" w:rsidRDefault="00426A07" w:rsidP="009967C7">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ALCANCE DE LA MEDIDA</w:t>
      </w:r>
    </w:p>
    <w:p w14:paraId="0DAB7CF7" w14:textId="77777777" w:rsidR="00C671E3" w:rsidRPr="00B66E92" w:rsidRDefault="00C671E3" w:rsidP="009967C7">
      <w:pPr>
        <w:spacing w:after="0" w:line="240" w:lineRule="auto"/>
        <w:jc w:val="both"/>
        <w:rPr>
          <w:rFonts w:ascii="Book Antiqua" w:eastAsia="Times New Roman" w:hAnsi="Book Antiqua" w:cs="Times New Roman"/>
          <w:sz w:val="24"/>
          <w:szCs w:val="24"/>
          <w:lang w:val="es-ES"/>
        </w:rPr>
      </w:pPr>
    </w:p>
    <w:p w14:paraId="2D8E5F69" w14:textId="3B2D09A7" w:rsidR="007B42D9" w:rsidRPr="00D61358" w:rsidRDefault="00DC2372" w:rsidP="00344018">
      <w:pPr>
        <w:spacing w:after="0" w:line="360" w:lineRule="auto"/>
        <w:ind w:firstLine="720"/>
        <w:jc w:val="both"/>
        <w:rPr>
          <w:rFonts w:ascii="Book Antiqua" w:eastAsia="Times New Roman" w:hAnsi="Book Antiqua" w:cs="Times New Roman"/>
          <w:sz w:val="24"/>
          <w:szCs w:val="24"/>
          <w:lang w:val="es-PR"/>
        </w:rPr>
      </w:pPr>
      <w:r w:rsidRPr="00B66E92">
        <w:rPr>
          <w:rFonts w:ascii="Book Antiqua" w:eastAsia="Times New Roman" w:hAnsi="Book Antiqua" w:cs="Times New Roman"/>
          <w:sz w:val="24"/>
          <w:szCs w:val="24"/>
          <w:lang w:val="es-ES"/>
        </w:rPr>
        <w:t xml:space="preserve">El Proyecto </w:t>
      </w:r>
      <w:r w:rsidR="00EA4F6A" w:rsidRPr="00B66E92">
        <w:rPr>
          <w:rFonts w:ascii="Book Antiqua" w:eastAsia="Times New Roman" w:hAnsi="Book Antiqua" w:cs="Times New Roman"/>
          <w:sz w:val="24"/>
          <w:szCs w:val="24"/>
          <w:lang w:val="es-ES"/>
        </w:rPr>
        <w:t>d</w:t>
      </w:r>
      <w:r w:rsidR="00AD746B">
        <w:rPr>
          <w:rFonts w:ascii="Book Antiqua" w:eastAsia="Times New Roman" w:hAnsi="Book Antiqua" w:cs="Times New Roman"/>
          <w:sz w:val="24"/>
          <w:szCs w:val="24"/>
          <w:lang w:val="es-ES"/>
        </w:rPr>
        <w:t>el Senado 4</w:t>
      </w:r>
      <w:r w:rsidR="00D61358">
        <w:rPr>
          <w:rFonts w:ascii="Book Antiqua" w:eastAsia="Times New Roman" w:hAnsi="Book Antiqua" w:cs="Times New Roman"/>
          <w:sz w:val="24"/>
          <w:szCs w:val="24"/>
          <w:lang w:val="es-ES"/>
        </w:rPr>
        <w:t>33</w:t>
      </w:r>
      <w:r w:rsidR="00426A07" w:rsidRPr="00B66E92">
        <w:rPr>
          <w:rFonts w:ascii="Book Antiqua" w:eastAsia="Times New Roman" w:hAnsi="Book Antiqua" w:cs="Times New Roman"/>
          <w:sz w:val="24"/>
          <w:szCs w:val="24"/>
          <w:lang w:val="es-ES"/>
        </w:rPr>
        <w:t>,</w:t>
      </w:r>
      <w:r w:rsidR="00EA4F6A" w:rsidRPr="00B66E92">
        <w:rPr>
          <w:rFonts w:ascii="Book Antiqua" w:eastAsia="Times New Roman" w:hAnsi="Book Antiqua" w:cs="Times New Roman"/>
          <w:sz w:val="24"/>
          <w:szCs w:val="24"/>
          <w:lang w:val="es-ES"/>
        </w:rPr>
        <w:t xml:space="preserve"> </w:t>
      </w:r>
      <w:r w:rsidR="00C63EA8" w:rsidRPr="00B66E92">
        <w:rPr>
          <w:rFonts w:ascii="Book Antiqua" w:eastAsia="Times New Roman" w:hAnsi="Book Antiqua" w:cs="Times New Roman"/>
          <w:sz w:val="24"/>
          <w:szCs w:val="24"/>
          <w:lang w:val="es-ES"/>
        </w:rPr>
        <w:t xml:space="preserve">tiene como </w:t>
      </w:r>
      <w:r w:rsidR="00D61358" w:rsidRPr="00D61358">
        <w:rPr>
          <w:rFonts w:ascii="Book Antiqua" w:eastAsia="Times New Roman" w:hAnsi="Book Antiqua" w:cs="Times New Roman"/>
          <w:sz w:val="24"/>
          <w:szCs w:val="24"/>
          <w:lang w:val="es-PR"/>
        </w:rPr>
        <w:t xml:space="preserve">enmendar los Artículos 7.138, 7.148 y 7.162 de la Ley 107-2020, según enmendada, conocida como “Código Municipal de Puerto Rico”, a los fines de fijar para los años fiscales 2024 al 2028, la imposición contributiva sobre el valor del inventario a base de un promedio de valoración de inventarios y de la tasa de contribución vigente para el año 2024-2025, según publicada por el Centro de Recaudación de Ingresos Municipales; para otorgar al Centro de Recaudación de Ingresos Municipales la facultad de requerir al Departamento de Hacienda aquella información o datos pertenecientes a los contribuyentes del Centro de Recaudación de Ingresos Municipales, sin que ésta se entienda cómo una renuncia a las obligaciones del Departamento o del Gobierno de Puerto Rico para con el Servicio de Rentas Internas de </w:t>
      </w:r>
      <w:r w:rsidR="00D61358" w:rsidRPr="00D61358">
        <w:rPr>
          <w:rFonts w:ascii="Book Antiqua" w:eastAsia="Times New Roman" w:hAnsi="Book Antiqua" w:cs="Times New Roman"/>
          <w:sz w:val="24"/>
          <w:szCs w:val="24"/>
          <w:lang w:val="es-PR"/>
        </w:rPr>
        <w:lastRenderedPageBreak/>
        <w:t>Estados Unidos, todo lo cual permitirá tener un mecanismo que resuelva finalmente la sustitución del impuesto al inventario; y para otros fines relacionados.</w:t>
      </w:r>
      <w:r w:rsidR="0057745A">
        <w:rPr>
          <w:rStyle w:val="FootnoteReference"/>
          <w:rFonts w:ascii="Book Antiqua" w:eastAsia="Times New Roman" w:hAnsi="Book Antiqua" w:cs="Times New Roman"/>
          <w:sz w:val="24"/>
          <w:szCs w:val="24"/>
          <w:lang w:val="es-PR"/>
        </w:rPr>
        <w:footnoteReference w:id="1"/>
      </w:r>
    </w:p>
    <w:p w14:paraId="330F8570" w14:textId="77777777" w:rsidR="000F06A9" w:rsidRDefault="000F06A9" w:rsidP="000F06A9">
      <w:pPr>
        <w:snapToGrid w:val="0"/>
        <w:spacing w:after="0" w:line="360" w:lineRule="auto"/>
        <w:jc w:val="both"/>
        <w:rPr>
          <w:rFonts w:ascii="Book Antiqua" w:eastAsia="Times New Roman" w:hAnsi="Book Antiqua" w:cs="Times New Roman"/>
          <w:bCs/>
          <w:sz w:val="24"/>
          <w:szCs w:val="24"/>
          <w:lang w:val="es-PR"/>
        </w:rPr>
      </w:pPr>
    </w:p>
    <w:p w14:paraId="29FBD40D" w14:textId="7ECD8478" w:rsidR="00F7790D" w:rsidRDefault="007B2B0E" w:rsidP="000F06A9">
      <w:pPr>
        <w:snapToGrid w:val="0"/>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ANÁL</w:t>
      </w:r>
      <w:r w:rsidR="00A07033">
        <w:rPr>
          <w:rFonts w:ascii="Book Antiqua" w:eastAsia="Times New Roman" w:hAnsi="Book Antiqua" w:cs="Times New Roman"/>
          <w:b/>
          <w:sz w:val="24"/>
          <w:szCs w:val="24"/>
          <w:lang w:val="es-ES"/>
        </w:rPr>
        <w:t>I</w:t>
      </w:r>
      <w:r w:rsidRPr="00B66E92">
        <w:rPr>
          <w:rFonts w:ascii="Book Antiqua" w:eastAsia="Times New Roman" w:hAnsi="Book Antiqua" w:cs="Times New Roman"/>
          <w:b/>
          <w:sz w:val="24"/>
          <w:szCs w:val="24"/>
          <w:lang w:val="es-ES"/>
        </w:rPr>
        <w:t>SIS DE LA MEDIDA</w:t>
      </w:r>
    </w:p>
    <w:p w14:paraId="220ADCF2" w14:textId="77777777" w:rsidR="000F06A9" w:rsidRDefault="000F06A9" w:rsidP="000F06A9">
      <w:pPr>
        <w:snapToGrid w:val="0"/>
        <w:spacing w:after="0" w:line="240" w:lineRule="auto"/>
        <w:jc w:val="center"/>
        <w:rPr>
          <w:rFonts w:ascii="Book Antiqua" w:eastAsia="Times New Roman" w:hAnsi="Book Antiqua" w:cs="Times New Roman"/>
          <w:b/>
          <w:sz w:val="24"/>
          <w:szCs w:val="24"/>
          <w:lang w:val="es-ES"/>
        </w:rPr>
      </w:pPr>
    </w:p>
    <w:p w14:paraId="4B6A7A30" w14:textId="3BEBC315" w:rsidR="0011132B" w:rsidRDefault="00DC1771" w:rsidP="00D71813">
      <w:pPr>
        <w:snapToGrid w:val="0"/>
        <w:spacing w:after="0" w:line="360" w:lineRule="auto"/>
        <w:ind w:firstLine="720"/>
        <w:jc w:val="both"/>
        <w:rPr>
          <w:rFonts w:ascii="Book Antiqua" w:eastAsia="Times New Roman" w:hAnsi="Book Antiqua" w:cs="Times New Roman"/>
          <w:bCs/>
          <w:sz w:val="24"/>
          <w:szCs w:val="24"/>
          <w:lang w:val="es-PR"/>
        </w:rPr>
      </w:pPr>
      <w:r w:rsidRPr="00DC1771">
        <w:rPr>
          <w:rFonts w:ascii="Book Antiqua" w:eastAsia="Times New Roman" w:hAnsi="Book Antiqua" w:cs="Times New Roman"/>
          <w:bCs/>
          <w:sz w:val="24"/>
          <w:szCs w:val="24"/>
          <w:lang w:val="es-PR"/>
        </w:rPr>
        <w:t>El Proyecto del Senado 433</w:t>
      </w:r>
      <w:r w:rsidR="00D71813">
        <w:rPr>
          <w:rFonts w:ascii="Book Antiqua" w:eastAsia="Times New Roman" w:hAnsi="Book Antiqua" w:cs="Times New Roman"/>
          <w:bCs/>
          <w:sz w:val="24"/>
          <w:szCs w:val="24"/>
          <w:lang w:val="es-PR"/>
        </w:rPr>
        <w:t>,</w:t>
      </w:r>
      <w:r w:rsidRPr="00DC1771">
        <w:rPr>
          <w:rFonts w:ascii="Book Antiqua" w:eastAsia="Times New Roman" w:hAnsi="Book Antiqua" w:cs="Times New Roman"/>
          <w:bCs/>
          <w:sz w:val="24"/>
          <w:szCs w:val="24"/>
          <w:lang w:val="es-PR"/>
        </w:rPr>
        <w:t xml:space="preserve"> es una medida de Administración (A-020) equivalente al Proyecto de la Cámara 420, el cual fue aprobado por el Senado de Puerto Rico el 24 de junio de 2025. Posteriormente, el 27 de junio de 2025, el cuerpo de origen solicitó la designación de un Comité de Conferencia, petición que fue acogida el 28 de junio de 2025. Finalmente, el 6 de octubre de 2025 el Senado aprobó el informe del Comité de Conferencia correspondiente al P. de la C. 420, y el 7 de octubre de 2025 la Cámara de Representantes hizo lo propio, remitiendo la medida a la Gobernadora de Puerto Rico para su consideración final.</w:t>
      </w:r>
      <w:r>
        <w:rPr>
          <w:rStyle w:val="FootnoteReference"/>
          <w:rFonts w:ascii="Book Antiqua" w:eastAsia="Times New Roman" w:hAnsi="Book Antiqua" w:cs="Times New Roman"/>
          <w:bCs/>
          <w:sz w:val="24"/>
          <w:szCs w:val="24"/>
          <w:lang w:val="es-PR"/>
        </w:rPr>
        <w:footnoteReference w:id="2"/>
      </w:r>
      <w:r w:rsidR="000B555F">
        <w:rPr>
          <w:rFonts w:ascii="Book Antiqua" w:eastAsia="Times New Roman" w:hAnsi="Book Antiqua" w:cs="Times New Roman"/>
          <w:bCs/>
          <w:sz w:val="24"/>
          <w:szCs w:val="24"/>
          <w:lang w:val="es-PR"/>
        </w:rPr>
        <w:t xml:space="preserve"> </w:t>
      </w:r>
    </w:p>
    <w:p w14:paraId="0B5094E0" w14:textId="77777777" w:rsidR="00DC1771" w:rsidRPr="00DC1771" w:rsidRDefault="00DC1771" w:rsidP="000F06A9">
      <w:pPr>
        <w:snapToGrid w:val="0"/>
        <w:spacing w:after="0" w:line="360" w:lineRule="auto"/>
        <w:jc w:val="both"/>
        <w:rPr>
          <w:rFonts w:ascii="Book Antiqua" w:eastAsia="Times New Roman" w:hAnsi="Book Antiqua" w:cs="Times New Roman"/>
          <w:bCs/>
          <w:sz w:val="24"/>
          <w:szCs w:val="24"/>
          <w:lang w:val="es-PR"/>
        </w:rPr>
      </w:pPr>
    </w:p>
    <w:p w14:paraId="5C0EA0B3" w14:textId="122A27CD" w:rsidR="00C10694" w:rsidRDefault="00DC1771" w:rsidP="00D71813">
      <w:pPr>
        <w:snapToGrid w:val="0"/>
        <w:spacing w:after="0" w:line="360" w:lineRule="auto"/>
        <w:ind w:firstLine="720"/>
        <w:jc w:val="both"/>
        <w:rPr>
          <w:rFonts w:ascii="Book Antiqua" w:eastAsia="Times New Roman" w:hAnsi="Book Antiqua" w:cs="Times New Roman"/>
          <w:bCs/>
          <w:sz w:val="24"/>
          <w:szCs w:val="24"/>
          <w:lang w:val="es-PR"/>
        </w:rPr>
      </w:pPr>
      <w:r>
        <w:rPr>
          <w:rFonts w:ascii="Book Antiqua" w:eastAsia="Times New Roman" w:hAnsi="Book Antiqua" w:cs="Times New Roman"/>
          <w:bCs/>
          <w:sz w:val="24"/>
          <w:szCs w:val="24"/>
          <w:lang w:val="es-PR"/>
        </w:rPr>
        <w:t xml:space="preserve">Por otro lado, el </w:t>
      </w:r>
      <w:r w:rsidRPr="00F44605">
        <w:rPr>
          <w:rFonts w:ascii="Book Antiqua" w:eastAsia="Times New Roman" w:hAnsi="Book Antiqua" w:cs="Times New Roman"/>
          <w:bCs/>
          <w:sz w:val="24"/>
          <w:szCs w:val="24"/>
          <w:lang w:val="es-PR"/>
        </w:rPr>
        <w:t>Reglamento</w:t>
      </w:r>
      <w:r w:rsidR="00F44605" w:rsidRPr="00F44605">
        <w:rPr>
          <w:rFonts w:ascii="Book Antiqua" w:eastAsia="Times New Roman" w:hAnsi="Book Antiqua" w:cs="Times New Roman"/>
          <w:bCs/>
          <w:sz w:val="24"/>
          <w:szCs w:val="24"/>
          <w:lang w:val="es-PR"/>
        </w:rPr>
        <w:t xml:space="preserve"> del Senado de Puerto Rico, aprobado mediante la R. del S. 255 de 30 de junio de 2025, en su Sección 15.19 sobre Eliminación de Medidas Originales, establece que</w:t>
      </w:r>
      <w:r w:rsidR="00C10694">
        <w:rPr>
          <w:rFonts w:ascii="Book Antiqua" w:eastAsia="Times New Roman" w:hAnsi="Book Antiqua" w:cs="Times New Roman"/>
          <w:bCs/>
          <w:sz w:val="24"/>
          <w:szCs w:val="24"/>
          <w:lang w:val="es-PR"/>
        </w:rPr>
        <w:t>:</w:t>
      </w:r>
      <w:r w:rsidR="00F44605" w:rsidRPr="00F44605">
        <w:rPr>
          <w:rFonts w:ascii="Book Antiqua" w:eastAsia="Times New Roman" w:hAnsi="Book Antiqua" w:cs="Times New Roman"/>
          <w:bCs/>
          <w:sz w:val="24"/>
          <w:szCs w:val="24"/>
          <w:lang w:val="es-PR"/>
        </w:rPr>
        <w:t xml:space="preserve"> </w:t>
      </w:r>
    </w:p>
    <w:p w14:paraId="76484EB7" w14:textId="3837CE5E" w:rsidR="00F44605" w:rsidRPr="00F3546D" w:rsidRDefault="00C10694" w:rsidP="00C10694">
      <w:pPr>
        <w:snapToGrid w:val="0"/>
        <w:spacing w:after="0" w:line="240" w:lineRule="auto"/>
        <w:ind w:left="720" w:right="720"/>
        <w:jc w:val="both"/>
        <w:rPr>
          <w:rFonts w:ascii="Book Antiqua" w:eastAsia="Times New Roman" w:hAnsi="Book Antiqua" w:cs="Times New Roman"/>
          <w:bCs/>
          <w:sz w:val="24"/>
          <w:szCs w:val="24"/>
          <w:lang w:val="es-PR"/>
        </w:rPr>
      </w:pPr>
      <w:r w:rsidRPr="00F3546D">
        <w:rPr>
          <w:rFonts w:ascii="Book Antiqua" w:eastAsia="Times New Roman" w:hAnsi="Book Antiqua" w:cs="Times New Roman"/>
          <w:bCs/>
          <w:sz w:val="24"/>
          <w:szCs w:val="24"/>
          <w:lang w:val="es-PR"/>
        </w:rPr>
        <w:t>T</w:t>
      </w:r>
      <w:r w:rsidR="00F44605" w:rsidRPr="00F3546D">
        <w:rPr>
          <w:rFonts w:ascii="Book Antiqua" w:eastAsia="Times New Roman" w:hAnsi="Book Antiqua" w:cs="Times New Roman"/>
          <w:bCs/>
          <w:sz w:val="24"/>
          <w:szCs w:val="24"/>
          <w:lang w:val="es-PR"/>
        </w:rPr>
        <w:t>odo Proyecto de Ley o Resolución original quedará sin efecto y se eliminará de cualquier trámite o relación estadística relativa a medidas pendientes en el Cuerpo en tres instancias:</w:t>
      </w:r>
    </w:p>
    <w:p w14:paraId="4F00BC03" w14:textId="77777777" w:rsidR="00F44605" w:rsidRPr="00F3546D" w:rsidRDefault="00F44605" w:rsidP="00F3546D">
      <w:pPr>
        <w:snapToGrid w:val="0"/>
        <w:spacing w:before="240" w:line="240" w:lineRule="auto"/>
        <w:ind w:right="720" w:firstLine="720"/>
        <w:jc w:val="both"/>
        <w:rPr>
          <w:rFonts w:ascii="Book Antiqua" w:eastAsia="Times New Roman" w:hAnsi="Book Antiqua" w:cs="Times New Roman"/>
          <w:bCs/>
          <w:sz w:val="24"/>
          <w:szCs w:val="24"/>
          <w:lang w:val="es-PR"/>
        </w:rPr>
      </w:pPr>
      <w:r w:rsidRPr="00F3546D">
        <w:rPr>
          <w:rFonts w:ascii="Book Antiqua" w:eastAsia="Times New Roman" w:hAnsi="Book Antiqua" w:cs="Times New Roman"/>
          <w:bCs/>
          <w:sz w:val="24"/>
          <w:szCs w:val="24"/>
          <w:lang w:val="es-PR"/>
        </w:rPr>
        <w:t>a) cuando el Senado apruebe una medida sustitutiva;</w:t>
      </w:r>
    </w:p>
    <w:p w14:paraId="4CD3F352" w14:textId="77777777" w:rsidR="00344018" w:rsidRPr="00F3546D" w:rsidRDefault="00F44605" w:rsidP="00F3546D">
      <w:pPr>
        <w:snapToGrid w:val="0"/>
        <w:spacing w:after="0" w:line="240" w:lineRule="auto"/>
        <w:ind w:left="720" w:right="720"/>
        <w:jc w:val="both"/>
        <w:rPr>
          <w:rFonts w:ascii="Book Antiqua" w:eastAsia="Times New Roman" w:hAnsi="Book Antiqua" w:cs="Times New Roman"/>
          <w:bCs/>
          <w:sz w:val="24"/>
          <w:szCs w:val="24"/>
          <w:lang w:val="es-PR"/>
        </w:rPr>
      </w:pPr>
      <w:r w:rsidRPr="00F3546D">
        <w:rPr>
          <w:rFonts w:ascii="Book Antiqua" w:eastAsia="Times New Roman" w:hAnsi="Book Antiqua" w:cs="Times New Roman"/>
          <w:bCs/>
          <w:sz w:val="24"/>
          <w:szCs w:val="24"/>
          <w:lang w:val="es-PR"/>
        </w:rPr>
        <w:t xml:space="preserve">b) cuando el Senado tenga pendientes dos o más medidas similares o </w:t>
      </w:r>
      <w:r w:rsidR="00344018" w:rsidRPr="00F3546D">
        <w:rPr>
          <w:rFonts w:ascii="Book Antiqua" w:eastAsia="Times New Roman" w:hAnsi="Book Antiqua" w:cs="Times New Roman"/>
          <w:bCs/>
          <w:sz w:val="24"/>
          <w:szCs w:val="24"/>
          <w:lang w:val="es-PR"/>
        </w:rPr>
        <w:t xml:space="preserve">  </w:t>
      </w:r>
    </w:p>
    <w:p w14:paraId="42448AC0" w14:textId="690A473D" w:rsidR="00F44605" w:rsidRPr="00F3546D" w:rsidRDefault="00344018" w:rsidP="00F3546D">
      <w:pPr>
        <w:snapToGrid w:val="0"/>
        <w:spacing w:line="240" w:lineRule="auto"/>
        <w:ind w:left="720" w:right="720"/>
        <w:jc w:val="both"/>
        <w:rPr>
          <w:rFonts w:ascii="Book Antiqua" w:eastAsia="Times New Roman" w:hAnsi="Book Antiqua" w:cs="Times New Roman"/>
          <w:bCs/>
          <w:sz w:val="24"/>
          <w:szCs w:val="24"/>
          <w:lang w:val="es-PR"/>
        </w:rPr>
      </w:pPr>
      <w:r w:rsidRPr="00F3546D">
        <w:rPr>
          <w:rFonts w:ascii="Book Antiqua" w:eastAsia="Times New Roman" w:hAnsi="Book Antiqua" w:cs="Times New Roman"/>
          <w:bCs/>
          <w:sz w:val="24"/>
          <w:szCs w:val="24"/>
          <w:lang w:val="es-PR"/>
        </w:rPr>
        <w:t xml:space="preserve">     </w:t>
      </w:r>
      <w:r w:rsidR="00F44605" w:rsidRPr="00F3546D">
        <w:rPr>
          <w:rFonts w:ascii="Book Antiqua" w:eastAsia="Times New Roman" w:hAnsi="Book Antiqua" w:cs="Times New Roman"/>
          <w:bCs/>
          <w:sz w:val="24"/>
          <w:szCs w:val="24"/>
          <w:lang w:val="es-PR"/>
        </w:rPr>
        <w:t>idénticas y se apruebe una de ellas; o</w:t>
      </w:r>
    </w:p>
    <w:p w14:paraId="457ABBA9" w14:textId="77777777" w:rsidR="00344018" w:rsidRPr="00DC1771" w:rsidRDefault="00F44605" w:rsidP="00344018">
      <w:pPr>
        <w:snapToGrid w:val="0"/>
        <w:spacing w:after="0" w:line="240" w:lineRule="auto"/>
        <w:ind w:left="720" w:right="720"/>
        <w:jc w:val="both"/>
        <w:rPr>
          <w:rFonts w:ascii="Book Antiqua" w:eastAsia="Times New Roman" w:hAnsi="Book Antiqua" w:cs="Times New Roman"/>
          <w:bCs/>
          <w:sz w:val="24"/>
          <w:szCs w:val="24"/>
          <w:u w:val="single"/>
          <w:lang w:val="es-PR"/>
        </w:rPr>
      </w:pPr>
      <w:r w:rsidRPr="00F3546D">
        <w:rPr>
          <w:rFonts w:ascii="Book Antiqua" w:eastAsia="Times New Roman" w:hAnsi="Book Antiqua" w:cs="Times New Roman"/>
          <w:b/>
          <w:sz w:val="24"/>
          <w:szCs w:val="24"/>
          <w:lang w:val="es-PR"/>
        </w:rPr>
        <w:t xml:space="preserve">c) </w:t>
      </w:r>
      <w:r w:rsidRPr="00DC1771">
        <w:rPr>
          <w:rFonts w:ascii="Book Antiqua" w:eastAsia="Times New Roman" w:hAnsi="Book Antiqua" w:cs="Times New Roman"/>
          <w:bCs/>
          <w:sz w:val="24"/>
          <w:szCs w:val="24"/>
          <w:u w:val="single"/>
          <w:lang w:val="es-PR"/>
        </w:rPr>
        <w:t xml:space="preserve">cuando el Senado, en lugar de una medida propia en trámite, apruebe </w:t>
      </w:r>
      <w:r w:rsidR="00344018" w:rsidRPr="00DC1771">
        <w:rPr>
          <w:rFonts w:ascii="Book Antiqua" w:eastAsia="Times New Roman" w:hAnsi="Book Antiqua" w:cs="Times New Roman"/>
          <w:bCs/>
          <w:sz w:val="24"/>
          <w:szCs w:val="24"/>
          <w:u w:val="single"/>
          <w:lang w:val="es-PR"/>
        </w:rPr>
        <w:t xml:space="preserve">  </w:t>
      </w:r>
    </w:p>
    <w:p w14:paraId="3C556922" w14:textId="4B156839" w:rsidR="00F44605" w:rsidRPr="00F3546D" w:rsidRDefault="00DC1771" w:rsidP="00DC1771">
      <w:pPr>
        <w:snapToGrid w:val="0"/>
        <w:spacing w:line="240" w:lineRule="auto"/>
        <w:ind w:left="720" w:right="720"/>
        <w:jc w:val="both"/>
        <w:rPr>
          <w:rFonts w:ascii="Book Antiqua" w:eastAsia="Times New Roman" w:hAnsi="Book Antiqua" w:cs="Times New Roman"/>
          <w:b/>
          <w:sz w:val="24"/>
          <w:szCs w:val="24"/>
          <w:lang w:val="es-PR"/>
        </w:rPr>
      </w:pPr>
      <w:r>
        <w:rPr>
          <w:rFonts w:ascii="Book Antiqua" w:eastAsia="Times New Roman" w:hAnsi="Book Antiqua" w:cs="Times New Roman"/>
          <w:bCs/>
          <w:sz w:val="24"/>
          <w:szCs w:val="24"/>
          <w:lang w:val="es-PR"/>
        </w:rPr>
        <w:t xml:space="preserve">    </w:t>
      </w:r>
      <w:r w:rsidR="00F44605" w:rsidRPr="00DC1771">
        <w:rPr>
          <w:rFonts w:ascii="Book Antiqua" w:eastAsia="Times New Roman" w:hAnsi="Book Antiqua" w:cs="Times New Roman"/>
          <w:bCs/>
          <w:sz w:val="24"/>
          <w:szCs w:val="24"/>
          <w:u w:val="single"/>
          <w:lang w:val="es-PR"/>
        </w:rPr>
        <w:t>una similar o idéntica de la Cámara de Representantes</w:t>
      </w:r>
      <w:r w:rsidR="00F44605" w:rsidRPr="00F3546D">
        <w:rPr>
          <w:rFonts w:ascii="Book Antiqua" w:eastAsia="Times New Roman" w:hAnsi="Book Antiqua" w:cs="Times New Roman"/>
          <w:b/>
          <w:sz w:val="24"/>
          <w:szCs w:val="24"/>
          <w:lang w:val="es-PR"/>
        </w:rPr>
        <w:t>.</w:t>
      </w:r>
    </w:p>
    <w:p w14:paraId="33AF2115" w14:textId="0BC51B22" w:rsidR="00F44605" w:rsidRPr="00F3546D" w:rsidRDefault="00F44605" w:rsidP="00C10694">
      <w:pPr>
        <w:snapToGrid w:val="0"/>
        <w:spacing w:after="0" w:line="240" w:lineRule="auto"/>
        <w:ind w:left="720" w:right="720"/>
        <w:jc w:val="both"/>
        <w:rPr>
          <w:rFonts w:ascii="Book Antiqua" w:eastAsia="Times New Roman" w:hAnsi="Book Antiqua" w:cs="Times New Roman"/>
          <w:bCs/>
          <w:sz w:val="24"/>
          <w:szCs w:val="24"/>
          <w:lang w:val="es-PR"/>
        </w:rPr>
      </w:pPr>
      <w:r w:rsidRPr="00F3546D">
        <w:rPr>
          <w:rFonts w:ascii="Book Antiqua" w:eastAsia="Times New Roman" w:hAnsi="Book Antiqua" w:cs="Times New Roman"/>
          <w:bCs/>
          <w:sz w:val="24"/>
          <w:szCs w:val="24"/>
          <w:lang w:val="es-PR"/>
        </w:rPr>
        <w:t>En tales circunstancias, corresponde a la Comisión con jurisdicción o al secretario del Senado llevar a cabo esta acción, previa notificación al autor de la medida.</w:t>
      </w:r>
      <w:r w:rsidR="00DC1771">
        <w:rPr>
          <w:rStyle w:val="FootnoteReference"/>
          <w:rFonts w:ascii="Book Antiqua" w:eastAsia="Times New Roman" w:hAnsi="Book Antiqua" w:cs="Times New Roman"/>
          <w:bCs/>
          <w:sz w:val="24"/>
          <w:szCs w:val="24"/>
          <w:lang w:val="es-PR"/>
        </w:rPr>
        <w:footnoteReference w:id="3"/>
      </w:r>
    </w:p>
    <w:p w14:paraId="64C0AC16" w14:textId="24227B31" w:rsidR="006A3A00" w:rsidRPr="00F3546D" w:rsidRDefault="006A3A00" w:rsidP="00F3546D">
      <w:pPr>
        <w:snapToGrid w:val="0"/>
        <w:spacing w:after="0" w:line="240" w:lineRule="auto"/>
        <w:jc w:val="both"/>
        <w:rPr>
          <w:rFonts w:ascii="Book Antiqua" w:eastAsia="Times New Roman" w:hAnsi="Book Antiqua" w:cs="Times New Roman"/>
          <w:b/>
          <w:sz w:val="24"/>
          <w:szCs w:val="24"/>
          <w:lang w:val="es-ES"/>
        </w:rPr>
      </w:pPr>
    </w:p>
    <w:p w14:paraId="0481205B" w14:textId="5A9154A0" w:rsidR="00F3546D" w:rsidRDefault="00426A07" w:rsidP="00D71813">
      <w:pPr>
        <w:spacing w:after="0" w:line="240" w:lineRule="auto"/>
        <w:jc w:val="center"/>
        <w:rPr>
          <w:rFonts w:ascii="Book Antiqua" w:eastAsia="Times New Roman" w:hAnsi="Book Antiqua" w:cs="Times New Roman"/>
          <w:b/>
          <w:sz w:val="24"/>
          <w:szCs w:val="24"/>
          <w:lang w:val="es-ES"/>
        </w:rPr>
      </w:pPr>
      <w:r w:rsidRPr="00B66E92">
        <w:rPr>
          <w:rFonts w:ascii="Book Antiqua" w:eastAsia="Times New Roman" w:hAnsi="Book Antiqua" w:cs="Times New Roman"/>
          <w:b/>
          <w:sz w:val="24"/>
          <w:szCs w:val="24"/>
          <w:lang w:val="es-ES"/>
        </w:rPr>
        <w:t>CONCLUSIÓN</w:t>
      </w:r>
      <w:r w:rsidR="00C10694">
        <w:rPr>
          <w:rFonts w:ascii="Book Antiqua" w:eastAsia="Times New Roman" w:hAnsi="Book Antiqua" w:cs="Times New Roman"/>
          <w:b/>
          <w:sz w:val="24"/>
          <w:szCs w:val="24"/>
          <w:lang w:val="es-ES"/>
        </w:rPr>
        <w:t xml:space="preserve"> Y RECOMENDACIÓN </w:t>
      </w:r>
    </w:p>
    <w:p w14:paraId="01DB3238" w14:textId="77777777" w:rsidR="00D71813" w:rsidRPr="00D71813" w:rsidRDefault="00D71813" w:rsidP="00D71813">
      <w:pPr>
        <w:spacing w:after="0" w:line="240" w:lineRule="auto"/>
        <w:jc w:val="center"/>
        <w:rPr>
          <w:rFonts w:ascii="Book Antiqua" w:eastAsia="Times New Roman" w:hAnsi="Book Antiqua" w:cs="Times New Roman"/>
          <w:b/>
          <w:sz w:val="24"/>
          <w:szCs w:val="24"/>
          <w:lang w:val="es-ES"/>
        </w:rPr>
      </w:pPr>
    </w:p>
    <w:p w14:paraId="1AEE9224" w14:textId="724C3ED1" w:rsidR="00F3546D" w:rsidRDefault="00F3546D" w:rsidP="00F3546D">
      <w:pPr>
        <w:spacing w:line="36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Conforme al análisis anterior</w:t>
      </w:r>
      <w:r w:rsidR="0057745A">
        <w:rPr>
          <w:rFonts w:ascii="Book Antiqua" w:hAnsi="Book Antiqua"/>
          <w:color w:val="000000"/>
          <w:sz w:val="24"/>
          <w:szCs w:val="24"/>
          <w:lang w:val="es-PR"/>
        </w:rPr>
        <w:t>,</w:t>
      </w:r>
      <w:r>
        <w:rPr>
          <w:rFonts w:ascii="Book Antiqua" w:hAnsi="Book Antiqua"/>
          <w:color w:val="000000"/>
          <w:sz w:val="24"/>
          <w:szCs w:val="24"/>
          <w:lang w:val="es-PR"/>
        </w:rPr>
        <w:t xml:space="preserve"> </w:t>
      </w:r>
      <w:r w:rsidR="0057745A">
        <w:rPr>
          <w:rFonts w:ascii="Book Antiqua" w:hAnsi="Book Antiqua"/>
          <w:color w:val="000000"/>
          <w:sz w:val="24"/>
          <w:szCs w:val="24"/>
          <w:lang w:val="es-PR"/>
        </w:rPr>
        <w:t>la Comisión de Innovación, Reforma y nombramientos del Senado de Puerto Rico entiende</w:t>
      </w:r>
      <w:r w:rsidRPr="00F3546D">
        <w:rPr>
          <w:rFonts w:ascii="Book Antiqua" w:hAnsi="Book Antiqua"/>
          <w:color w:val="000000"/>
          <w:sz w:val="24"/>
          <w:szCs w:val="24"/>
          <w:lang w:val="es-PR"/>
        </w:rPr>
        <w:t xml:space="preserve"> que continuar con el trámite legislativo del </w:t>
      </w:r>
      <w:r w:rsidRPr="00F3546D">
        <w:rPr>
          <w:rFonts w:ascii="Book Antiqua" w:hAnsi="Book Antiqua"/>
          <w:b/>
          <w:bCs/>
          <w:color w:val="000000"/>
          <w:sz w:val="24"/>
          <w:szCs w:val="24"/>
          <w:lang w:val="es-PR"/>
        </w:rPr>
        <w:t>P</w:t>
      </w:r>
      <w:r w:rsidR="0057745A">
        <w:rPr>
          <w:rFonts w:ascii="Book Antiqua" w:hAnsi="Book Antiqua"/>
          <w:b/>
          <w:bCs/>
          <w:color w:val="000000"/>
          <w:sz w:val="24"/>
          <w:szCs w:val="24"/>
          <w:lang w:val="es-PR"/>
        </w:rPr>
        <w:t>.</w:t>
      </w:r>
      <w:r w:rsidRPr="00F3546D">
        <w:rPr>
          <w:rFonts w:ascii="Book Antiqua" w:hAnsi="Book Antiqua"/>
          <w:b/>
          <w:bCs/>
          <w:color w:val="000000"/>
          <w:sz w:val="24"/>
          <w:szCs w:val="24"/>
          <w:lang w:val="es-PR"/>
        </w:rPr>
        <w:t xml:space="preserve"> del S</w:t>
      </w:r>
      <w:r w:rsidR="0057745A">
        <w:rPr>
          <w:rFonts w:ascii="Book Antiqua" w:hAnsi="Book Antiqua"/>
          <w:b/>
          <w:bCs/>
          <w:color w:val="000000"/>
          <w:sz w:val="24"/>
          <w:szCs w:val="24"/>
          <w:lang w:val="es-PR"/>
        </w:rPr>
        <w:t>.</w:t>
      </w:r>
      <w:r w:rsidRPr="00F3546D">
        <w:rPr>
          <w:rFonts w:ascii="Book Antiqua" w:hAnsi="Book Antiqua"/>
          <w:b/>
          <w:bCs/>
          <w:color w:val="000000"/>
          <w:sz w:val="24"/>
          <w:szCs w:val="24"/>
          <w:lang w:val="es-PR"/>
        </w:rPr>
        <w:t xml:space="preserve"> 433</w:t>
      </w:r>
      <w:r w:rsidRPr="00F3546D">
        <w:rPr>
          <w:rFonts w:ascii="Book Antiqua" w:hAnsi="Book Antiqua"/>
          <w:color w:val="000000"/>
          <w:sz w:val="24"/>
          <w:szCs w:val="24"/>
          <w:lang w:val="es-PR"/>
        </w:rPr>
        <w:t xml:space="preserve">, </w:t>
      </w:r>
      <w:r w:rsidR="0057745A">
        <w:rPr>
          <w:rFonts w:ascii="Book Antiqua" w:hAnsi="Book Antiqua"/>
          <w:color w:val="000000"/>
          <w:sz w:val="24"/>
          <w:szCs w:val="24"/>
          <w:lang w:val="es-PR"/>
        </w:rPr>
        <w:t>(</w:t>
      </w:r>
      <w:r w:rsidRPr="00F3546D">
        <w:rPr>
          <w:rFonts w:ascii="Book Antiqua" w:hAnsi="Book Antiqua"/>
          <w:color w:val="000000"/>
          <w:sz w:val="24"/>
          <w:szCs w:val="24"/>
          <w:lang w:val="es-PR"/>
        </w:rPr>
        <w:t>proyecto de Administración A-020</w:t>
      </w:r>
      <w:r w:rsidR="0057745A">
        <w:rPr>
          <w:rFonts w:ascii="Book Antiqua" w:hAnsi="Book Antiqua"/>
          <w:color w:val="000000"/>
          <w:sz w:val="24"/>
          <w:szCs w:val="24"/>
          <w:lang w:val="es-PR"/>
        </w:rPr>
        <w:t>)</w:t>
      </w:r>
      <w:r w:rsidRPr="00F3546D">
        <w:rPr>
          <w:rFonts w:ascii="Book Antiqua" w:hAnsi="Book Antiqua"/>
          <w:color w:val="000000"/>
          <w:sz w:val="24"/>
          <w:szCs w:val="24"/>
          <w:lang w:val="es-PR"/>
        </w:rPr>
        <w:t xml:space="preserve">, resulta innecesario toda vez que su contenido fue atendido mediante </w:t>
      </w:r>
      <w:r w:rsidR="00DC1771">
        <w:rPr>
          <w:rFonts w:ascii="Book Antiqua" w:hAnsi="Book Antiqua"/>
          <w:color w:val="000000"/>
          <w:sz w:val="24"/>
          <w:szCs w:val="24"/>
          <w:lang w:val="es-PR"/>
        </w:rPr>
        <w:t xml:space="preserve">la aprobación </w:t>
      </w:r>
      <w:r w:rsidR="005E46B4">
        <w:rPr>
          <w:rFonts w:ascii="Book Antiqua" w:hAnsi="Book Antiqua"/>
          <w:color w:val="000000"/>
          <w:sz w:val="24"/>
          <w:szCs w:val="24"/>
          <w:lang w:val="es-PR"/>
        </w:rPr>
        <w:t xml:space="preserve">del </w:t>
      </w:r>
      <w:r w:rsidR="005E46B4" w:rsidRPr="005E46B4">
        <w:rPr>
          <w:rFonts w:ascii="Book Antiqua" w:hAnsi="Book Antiqua"/>
          <w:b/>
          <w:bCs/>
          <w:color w:val="000000"/>
          <w:sz w:val="24"/>
          <w:szCs w:val="24"/>
          <w:lang w:val="es-PR"/>
        </w:rPr>
        <w:t>P.</w:t>
      </w:r>
      <w:r w:rsidRPr="00F3546D">
        <w:rPr>
          <w:rFonts w:ascii="Book Antiqua" w:hAnsi="Book Antiqua"/>
          <w:b/>
          <w:bCs/>
          <w:color w:val="000000"/>
          <w:sz w:val="24"/>
          <w:szCs w:val="24"/>
          <w:lang w:val="es-PR"/>
        </w:rPr>
        <w:t xml:space="preserve"> de la C</w:t>
      </w:r>
      <w:r w:rsidR="005E46B4">
        <w:rPr>
          <w:rFonts w:ascii="Book Antiqua" w:hAnsi="Book Antiqua"/>
          <w:b/>
          <w:bCs/>
          <w:color w:val="000000"/>
          <w:sz w:val="24"/>
          <w:szCs w:val="24"/>
          <w:lang w:val="es-PR"/>
        </w:rPr>
        <w:t>.</w:t>
      </w:r>
      <w:r w:rsidRPr="00F3546D">
        <w:rPr>
          <w:rFonts w:ascii="Book Antiqua" w:hAnsi="Book Antiqua"/>
          <w:b/>
          <w:bCs/>
          <w:color w:val="000000"/>
          <w:sz w:val="24"/>
          <w:szCs w:val="24"/>
          <w:lang w:val="es-PR"/>
        </w:rPr>
        <w:t xml:space="preserve"> 420</w:t>
      </w:r>
      <w:r w:rsidRPr="00F3546D">
        <w:rPr>
          <w:rFonts w:ascii="Book Antiqua" w:hAnsi="Book Antiqua"/>
          <w:color w:val="000000"/>
          <w:sz w:val="24"/>
          <w:szCs w:val="24"/>
          <w:lang w:val="es-PR"/>
        </w:rPr>
        <w:t>, por el Senado de Puerto Rico</w:t>
      </w:r>
      <w:r w:rsidR="00DC1771">
        <w:rPr>
          <w:rFonts w:ascii="Book Antiqua" w:hAnsi="Book Antiqua"/>
          <w:color w:val="000000"/>
          <w:sz w:val="24"/>
          <w:szCs w:val="24"/>
          <w:lang w:val="es-PR"/>
        </w:rPr>
        <w:t>.</w:t>
      </w:r>
      <w:r w:rsidR="005E46B4">
        <w:rPr>
          <w:rStyle w:val="FootnoteReference"/>
          <w:rFonts w:ascii="Book Antiqua" w:hAnsi="Book Antiqua"/>
          <w:color w:val="000000"/>
          <w:sz w:val="24"/>
          <w:szCs w:val="24"/>
          <w:lang w:val="es-PR"/>
        </w:rPr>
        <w:footnoteReference w:id="4"/>
      </w:r>
      <w:r w:rsidRPr="00F3546D">
        <w:rPr>
          <w:rFonts w:ascii="Book Antiqua" w:hAnsi="Book Antiqua"/>
          <w:color w:val="000000"/>
          <w:sz w:val="24"/>
          <w:szCs w:val="24"/>
          <w:lang w:val="es-PR"/>
        </w:rPr>
        <w:t xml:space="preserve"> </w:t>
      </w:r>
    </w:p>
    <w:p w14:paraId="4053A9C1" w14:textId="77777777" w:rsidR="001211ED" w:rsidRDefault="001211ED" w:rsidP="00E543D7">
      <w:pPr>
        <w:spacing w:line="360" w:lineRule="auto"/>
        <w:ind w:firstLine="720"/>
        <w:jc w:val="both"/>
        <w:rPr>
          <w:rFonts w:ascii="Book Antiqua" w:hAnsi="Book Antiqua"/>
          <w:color w:val="000000"/>
          <w:sz w:val="24"/>
          <w:szCs w:val="24"/>
          <w:lang w:val="es-PR"/>
        </w:rPr>
      </w:pPr>
    </w:p>
    <w:p w14:paraId="6F50F005" w14:textId="703F1D4B" w:rsidR="00C10694" w:rsidRPr="00C10694" w:rsidRDefault="0057745A" w:rsidP="00E543D7">
      <w:pPr>
        <w:spacing w:line="360" w:lineRule="auto"/>
        <w:ind w:firstLine="720"/>
        <w:jc w:val="both"/>
        <w:rPr>
          <w:rFonts w:ascii="Book Antiqua" w:hAnsi="Book Antiqua"/>
          <w:color w:val="000000"/>
          <w:sz w:val="24"/>
          <w:szCs w:val="24"/>
          <w:lang w:val="es-PR"/>
        </w:rPr>
      </w:pPr>
      <w:r>
        <w:rPr>
          <w:rFonts w:ascii="Book Antiqua" w:hAnsi="Book Antiqua"/>
          <w:color w:val="000000"/>
          <w:sz w:val="24"/>
          <w:szCs w:val="24"/>
          <w:lang w:val="es-PR"/>
        </w:rPr>
        <w:t>Por lo tanto</w:t>
      </w:r>
      <w:r w:rsidR="00C10694" w:rsidRPr="00C10694">
        <w:rPr>
          <w:rFonts w:ascii="Book Antiqua" w:hAnsi="Book Antiqua"/>
          <w:color w:val="000000"/>
          <w:sz w:val="24"/>
          <w:szCs w:val="24"/>
          <w:lang w:val="es-PR"/>
        </w:rPr>
        <w:t xml:space="preserve">, y conforme al inciso (c) de la Sección 15.19 del Reglamento del Senado de Puerto Rico, esta Comisión recomienda que el </w:t>
      </w:r>
      <w:r w:rsidR="00C10694" w:rsidRPr="0057745A">
        <w:rPr>
          <w:rFonts w:ascii="Book Antiqua" w:hAnsi="Book Antiqua"/>
          <w:b/>
          <w:bCs/>
          <w:color w:val="000000"/>
          <w:sz w:val="24"/>
          <w:szCs w:val="24"/>
          <w:lang w:val="es-PR"/>
        </w:rPr>
        <w:t>P</w:t>
      </w:r>
      <w:r w:rsidRPr="0057745A">
        <w:rPr>
          <w:rFonts w:ascii="Book Antiqua" w:hAnsi="Book Antiqua"/>
          <w:b/>
          <w:bCs/>
          <w:color w:val="000000"/>
          <w:sz w:val="24"/>
          <w:szCs w:val="24"/>
          <w:lang w:val="es-PR"/>
        </w:rPr>
        <w:t>.</w:t>
      </w:r>
      <w:r w:rsidR="00C10694" w:rsidRPr="0057745A">
        <w:rPr>
          <w:rFonts w:ascii="Book Antiqua" w:hAnsi="Book Antiqua"/>
          <w:b/>
          <w:bCs/>
          <w:color w:val="000000"/>
          <w:sz w:val="24"/>
          <w:szCs w:val="24"/>
          <w:lang w:val="es-PR"/>
        </w:rPr>
        <w:t xml:space="preserve"> del S</w:t>
      </w:r>
      <w:r w:rsidRPr="0057745A">
        <w:rPr>
          <w:rFonts w:ascii="Book Antiqua" w:hAnsi="Book Antiqua"/>
          <w:b/>
          <w:bCs/>
          <w:color w:val="000000"/>
          <w:sz w:val="24"/>
          <w:szCs w:val="24"/>
          <w:lang w:val="es-PR"/>
        </w:rPr>
        <w:t>.</w:t>
      </w:r>
      <w:r w:rsidR="00C10694" w:rsidRPr="0057745A">
        <w:rPr>
          <w:rFonts w:ascii="Book Antiqua" w:hAnsi="Book Antiqua"/>
          <w:b/>
          <w:bCs/>
          <w:color w:val="000000"/>
          <w:sz w:val="24"/>
          <w:szCs w:val="24"/>
          <w:lang w:val="es-PR"/>
        </w:rPr>
        <w:t xml:space="preserve"> 4</w:t>
      </w:r>
      <w:r w:rsidR="00F3546D" w:rsidRPr="0057745A">
        <w:rPr>
          <w:rFonts w:ascii="Book Antiqua" w:hAnsi="Book Antiqua"/>
          <w:b/>
          <w:bCs/>
          <w:color w:val="000000"/>
          <w:sz w:val="24"/>
          <w:szCs w:val="24"/>
          <w:lang w:val="es-PR"/>
        </w:rPr>
        <w:t>33</w:t>
      </w:r>
      <w:r w:rsidR="00C10694" w:rsidRPr="00C10694">
        <w:rPr>
          <w:rFonts w:ascii="Book Antiqua" w:hAnsi="Book Antiqua"/>
          <w:color w:val="000000"/>
          <w:sz w:val="24"/>
          <w:szCs w:val="24"/>
          <w:lang w:val="es-PR"/>
        </w:rPr>
        <w:t xml:space="preserve"> quede sin efecto y sea eliminado de cualquier trámite o relación estadística relativa a medidas pendientes en este Cuerpo, al haber sido sobreseído por el P. de la C. </w:t>
      </w:r>
      <w:r w:rsidR="00F3546D">
        <w:rPr>
          <w:rFonts w:ascii="Book Antiqua" w:hAnsi="Book Antiqua"/>
          <w:color w:val="000000"/>
          <w:sz w:val="24"/>
          <w:szCs w:val="24"/>
          <w:lang w:val="es-PR"/>
        </w:rPr>
        <w:t>420</w:t>
      </w:r>
      <w:r w:rsidR="00C10694" w:rsidRPr="00C10694">
        <w:rPr>
          <w:rFonts w:ascii="Book Antiqua" w:hAnsi="Book Antiqua"/>
          <w:color w:val="000000"/>
          <w:sz w:val="24"/>
          <w:szCs w:val="24"/>
          <w:lang w:val="es-PR"/>
        </w:rPr>
        <w:t>.</w:t>
      </w:r>
    </w:p>
    <w:p w14:paraId="08083037" w14:textId="77777777" w:rsidR="001211ED" w:rsidRDefault="001211ED"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p>
    <w:p w14:paraId="754ACB9D" w14:textId="64A4240F" w:rsidR="00E543D7" w:rsidRPr="00E543D7" w:rsidRDefault="00E543D7" w:rsidP="00E543D7">
      <w:pPr>
        <w:spacing w:line="360" w:lineRule="auto"/>
        <w:ind w:firstLine="720"/>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 xml:space="preserve">POR TODO LO ANTES EXPUESTO, </w:t>
      </w:r>
      <w:r w:rsidRPr="00E543D7">
        <w:rPr>
          <w:rFonts w:ascii="Book Antiqua" w:eastAsia="Aptos" w:hAnsi="Book Antiqua" w:cs="Times New Roman"/>
          <w:kern w:val="2"/>
          <w:sz w:val="24"/>
          <w:szCs w:val="24"/>
          <w:lang w:val="es-ES_tradnl"/>
          <w14:ligatures w14:val="standardContextual"/>
        </w:rPr>
        <w:t xml:space="preserve">la Comisión de Innovación, Reforma y Nombramientos del Senado de Puerto Rico, previo estudio y consideración, </w:t>
      </w:r>
      <w:r w:rsidRPr="00E543D7">
        <w:rPr>
          <w:rFonts w:ascii="Book Antiqua" w:eastAsia="Aptos" w:hAnsi="Book Antiqua" w:cs="Times New Roman"/>
          <w:b/>
          <w:bCs/>
          <w:kern w:val="2"/>
          <w:sz w:val="24"/>
          <w:szCs w:val="24"/>
          <w:lang w:val="es-ES_tradnl"/>
          <w14:ligatures w14:val="standardContextual"/>
        </w:rPr>
        <w:t xml:space="preserve">no recomienda </w:t>
      </w:r>
      <w:r w:rsidRPr="00E543D7">
        <w:rPr>
          <w:rFonts w:ascii="Book Antiqua" w:eastAsia="Aptos" w:hAnsi="Book Antiqua" w:cs="Times New Roman"/>
          <w:kern w:val="2"/>
          <w:sz w:val="24"/>
          <w:szCs w:val="24"/>
          <w:lang w:val="es-ES_tradnl"/>
          <w14:ligatures w14:val="standardContextual"/>
        </w:rPr>
        <w:t xml:space="preserve">a este Honorable Cuerpo la aprobación del </w:t>
      </w:r>
      <w:r w:rsidRPr="00E543D7">
        <w:rPr>
          <w:rFonts w:ascii="Book Antiqua" w:eastAsia="Aptos" w:hAnsi="Book Antiqua" w:cs="Times New Roman"/>
          <w:b/>
          <w:bCs/>
          <w:kern w:val="2"/>
          <w:sz w:val="24"/>
          <w:szCs w:val="24"/>
          <w:lang w:val="es-ES_tradnl"/>
          <w14:ligatures w14:val="standardContextual"/>
        </w:rPr>
        <w:t>P. d</w:t>
      </w:r>
      <w:r w:rsidR="00C10694">
        <w:rPr>
          <w:rFonts w:ascii="Book Antiqua" w:eastAsia="Aptos" w:hAnsi="Book Antiqua" w:cs="Times New Roman"/>
          <w:b/>
          <w:bCs/>
          <w:kern w:val="2"/>
          <w:sz w:val="24"/>
          <w:szCs w:val="24"/>
          <w:lang w:val="es-ES_tradnl"/>
          <w14:ligatures w14:val="standardContextual"/>
        </w:rPr>
        <w:t>el S. 4</w:t>
      </w:r>
      <w:r w:rsidR="00F3546D">
        <w:rPr>
          <w:rFonts w:ascii="Book Antiqua" w:eastAsia="Aptos" w:hAnsi="Book Antiqua" w:cs="Times New Roman"/>
          <w:b/>
          <w:bCs/>
          <w:kern w:val="2"/>
          <w:sz w:val="24"/>
          <w:szCs w:val="24"/>
          <w:lang w:val="es-ES_tradnl"/>
          <w14:ligatures w14:val="standardContextual"/>
        </w:rPr>
        <w:t>33</w:t>
      </w:r>
      <w:r w:rsidR="00826449">
        <w:rPr>
          <w:rFonts w:ascii="Book Antiqua" w:eastAsia="Aptos" w:hAnsi="Book Antiqua" w:cs="Times New Roman"/>
          <w:b/>
          <w:bCs/>
          <w:kern w:val="2"/>
          <w:sz w:val="24"/>
          <w:szCs w:val="24"/>
          <w:lang w:val="es-ES_tradnl"/>
          <w14:ligatures w14:val="standardContextual"/>
        </w:rPr>
        <w:t>.</w:t>
      </w:r>
    </w:p>
    <w:p w14:paraId="27588897" w14:textId="77777777" w:rsidR="00D71813" w:rsidRDefault="00D71813" w:rsidP="00E543D7">
      <w:pPr>
        <w:spacing w:line="278" w:lineRule="auto"/>
        <w:jc w:val="both"/>
        <w:rPr>
          <w:rFonts w:ascii="Book Antiqua" w:eastAsia="Aptos" w:hAnsi="Book Antiqua" w:cs="Times New Roman"/>
          <w:b/>
          <w:bCs/>
          <w:kern w:val="2"/>
          <w:sz w:val="24"/>
          <w:szCs w:val="24"/>
          <w:lang w:val="es-ES_tradnl"/>
          <w14:ligatures w14:val="standardContextual"/>
        </w:rPr>
      </w:pPr>
    </w:p>
    <w:p w14:paraId="277EE999" w14:textId="51222E56" w:rsidR="00E543D7" w:rsidRPr="00E543D7" w:rsidRDefault="00E543D7" w:rsidP="00E543D7">
      <w:pPr>
        <w:spacing w:line="278" w:lineRule="auto"/>
        <w:jc w:val="both"/>
        <w:rPr>
          <w:rFonts w:ascii="Book Antiqua" w:eastAsia="Aptos" w:hAnsi="Book Antiqua" w:cs="Times New Roman"/>
          <w:b/>
          <w:bCs/>
          <w:kern w:val="2"/>
          <w:sz w:val="24"/>
          <w:szCs w:val="24"/>
          <w:lang w:val="es-ES_tradnl"/>
          <w14:ligatures w14:val="standardContextual"/>
        </w:rPr>
      </w:pPr>
      <w:r w:rsidRPr="00E543D7">
        <w:rPr>
          <w:rFonts w:ascii="Book Antiqua" w:eastAsia="Aptos" w:hAnsi="Book Antiqua" w:cs="Times New Roman"/>
          <w:b/>
          <w:bCs/>
          <w:kern w:val="2"/>
          <w:sz w:val="24"/>
          <w:szCs w:val="24"/>
          <w:lang w:val="es-ES_tradnl"/>
          <w14:ligatures w14:val="standardContextual"/>
        </w:rPr>
        <w:t>RESPETUOSAMENTE SOMETIDO.</w:t>
      </w:r>
    </w:p>
    <w:p w14:paraId="4AD46873" w14:textId="77777777" w:rsidR="00E543D7" w:rsidRPr="00E543D7" w:rsidRDefault="00E543D7" w:rsidP="00E543D7">
      <w:pPr>
        <w:spacing w:line="278" w:lineRule="auto"/>
        <w:jc w:val="both"/>
        <w:rPr>
          <w:rFonts w:ascii="Book Antiqua" w:eastAsia="Aptos" w:hAnsi="Book Antiqua" w:cs="Times New Roman"/>
          <w:kern w:val="2"/>
          <w:sz w:val="24"/>
          <w:szCs w:val="24"/>
          <w:lang w:val="es-PR"/>
          <w14:ligatures w14:val="standardContextual"/>
        </w:rPr>
      </w:pPr>
    </w:p>
    <w:p w14:paraId="714B9847" w14:textId="77777777" w:rsidR="00D71813" w:rsidRDefault="00D71813" w:rsidP="00E543D7">
      <w:pPr>
        <w:spacing w:after="0" w:line="240" w:lineRule="auto"/>
        <w:jc w:val="both"/>
        <w:rPr>
          <w:rFonts w:ascii="Book Antiqua" w:eastAsia="Aptos" w:hAnsi="Book Antiqua" w:cs="Times New Roman"/>
          <w:b/>
          <w:bCs/>
          <w:kern w:val="2"/>
          <w:sz w:val="24"/>
          <w:szCs w:val="24"/>
          <w:lang w:val="es-ES"/>
          <w14:ligatures w14:val="standardContextual"/>
        </w:rPr>
      </w:pPr>
    </w:p>
    <w:p w14:paraId="51B7E3C2" w14:textId="0A7CD031" w:rsidR="00E543D7" w:rsidRPr="00E543D7" w:rsidRDefault="00E543D7" w:rsidP="00E543D7">
      <w:pPr>
        <w:spacing w:after="0" w:line="240" w:lineRule="auto"/>
        <w:jc w:val="both"/>
        <w:rPr>
          <w:rFonts w:ascii="Book Antiqua" w:eastAsia="Aptos" w:hAnsi="Book Antiqua" w:cs="Times New Roman"/>
          <w:b/>
          <w:bCs/>
          <w:kern w:val="2"/>
          <w:sz w:val="24"/>
          <w:szCs w:val="24"/>
          <w:lang w:val="es-ES"/>
          <w14:ligatures w14:val="standardContextual"/>
        </w:rPr>
      </w:pPr>
      <w:r w:rsidRPr="00E543D7">
        <w:rPr>
          <w:rFonts w:ascii="Book Antiqua" w:eastAsia="Aptos" w:hAnsi="Book Antiqua" w:cs="Times New Roman"/>
          <w:b/>
          <w:bCs/>
          <w:kern w:val="2"/>
          <w:sz w:val="24"/>
          <w:szCs w:val="24"/>
          <w:lang w:val="es-ES"/>
          <w14:ligatures w14:val="standardContextual"/>
        </w:rPr>
        <w:t>Hon. Thomas Rivera Schatz</w:t>
      </w:r>
    </w:p>
    <w:p w14:paraId="16A97D78"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Presidente de la Comisión de Innovación,</w:t>
      </w:r>
    </w:p>
    <w:p w14:paraId="7F3F1EF6" w14:textId="77777777" w:rsidR="00E543D7" w:rsidRPr="00E543D7" w:rsidRDefault="00E543D7" w:rsidP="00E543D7">
      <w:pPr>
        <w:spacing w:after="0" w:line="240" w:lineRule="auto"/>
        <w:outlineLvl w:val="0"/>
        <w:rPr>
          <w:rFonts w:ascii="Book Antiqua" w:eastAsia="Calibri" w:hAnsi="Book Antiqua" w:cs="Times New Roman"/>
          <w:sz w:val="24"/>
          <w:szCs w:val="24"/>
          <w:lang w:val="es-PR"/>
        </w:rPr>
      </w:pPr>
      <w:r w:rsidRPr="00E543D7">
        <w:rPr>
          <w:rFonts w:ascii="Book Antiqua" w:eastAsia="Calibri" w:hAnsi="Book Antiqua" w:cs="Times New Roman"/>
          <w:sz w:val="24"/>
          <w:szCs w:val="24"/>
          <w:lang w:val="es-PR"/>
        </w:rPr>
        <w:t>Reforma y Nombramientos</w:t>
      </w:r>
    </w:p>
    <w:p w14:paraId="3393B050" w14:textId="77777777" w:rsidR="00E543D7" w:rsidRPr="00E543D7" w:rsidRDefault="00E543D7" w:rsidP="00E543D7">
      <w:pPr>
        <w:spacing w:after="0" w:line="240" w:lineRule="auto"/>
        <w:outlineLvl w:val="0"/>
        <w:rPr>
          <w:rFonts w:ascii="Book Antiqua" w:eastAsia="Times New Roman" w:hAnsi="Book Antiqua" w:cs="Times New Roman"/>
          <w:sz w:val="24"/>
          <w:szCs w:val="24"/>
          <w:lang w:val="es-PR"/>
        </w:rPr>
      </w:pPr>
      <w:r w:rsidRPr="00E543D7">
        <w:rPr>
          <w:rFonts w:ascii="Book Antiqua" w:eastAsia="Calibri" w:hAnsi="Book Antiqua" w:cs="Times New Roman"/>
          <w:sz w:val="24"/>
          <w:szCs w:val="24"/>
          <w:lang w:val="es-PR"/>
        </w:rPr>
        <w:t>Del Senado de Puerto Rico</w:t>
      </w:r>
    </w:p>
    <w:p w14:paraId="4CA30EE5" w14:textId="77777777" w:rsidR="00A2416A" w:rsidRPr="00E543D7" w:rsidRDefault="00A2416A" w:rsidP="00B66E92">
      <w:pPr>
        <w:spacing w:line="240" w:lineRule="auto"/>
        <w:rPr>
          <w:sz w:val="24"/>
          <w:szCs w:val="24"/>
          <w:lang w:val="es-PR"/>
        </w:rPr>
      </w:pPr>
    </w:p>
    <w:sectPr w:rsidR="00A2416A" w:rsidRPr="00E543D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D3A3D" w14:textId="77777777" w:rsidR="005C73C9" w:rsidRDefault="005C73C9" w:rsidP="00426A07">
      <w:pPr>
        <w:spacing w:after="0" w:line="240" w:lineRule="auto"/>
      </w:pPr>
      <w:r>
        <w:separator/>
      </w:r>
    </w:p>
  </w:endnote>
  <w:endnote w:type="continuationSeparator" w:id="0">
    <w:p w14:paraId="545DC5E2" w14:textId="77777777" w:rsidR="005C73C9" w:rsidRDefault="005C73C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026F3199"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A1D9" w14:textId="77777777" w:rsidR="005C73C9" w:rsidRDefault="005C73C9" w:rsidP="00426A07">
      <w:pPr>
        <w:spacing w:after="0" w:line="240" w:lineRule="auto"/>
      </w:pPr>
      <w:r>
        <w:separator/>
      </w:r>
    </w:p>
  </w:footnote>
  <w:footnote w:type="continuationSeparator" w:id="0">
    <w:p w14:paraId="5B019A39" w14:textId="77777777" w:rsidR="005C73C9" w:rsidRDefault="005C73C9" w:rsidP="00426A07">
      <w:pPr>
        <w:spacing w:after="0" w:line="240" w:lineRule="auto"/>
      </w:pPr>
      <w:r>
        <w:continuationSeparator/>
      </w:r>
    </w:p>
  </w:footnote>
  <w:footnote w:id="1">
    <w:p w14:paraId="49D826A1" w14:textId="5831E555" w:rsidR="0057745A" w:rsidRPr="00D71813" w:rsidRDefault="0057745A">
      <w:pPr>
        <w:pStyle w:val="FootnoteText"/>
        <w:rPr>
          <w:rFonts w:ascii="Times New Roman" w:hAnsi="Times New Roman"/>
          <w:lang w:val="es-PR"/>
        </w:rPr>
      </w:pPr>
      <w:r w:rsidRPr="00D71813">
        <w:rPr>
          <w:rStyle w:val="FootnoteReference"/>
          <w:rFonts w:ascii="Times New Roman" w:hAnsi="Times New Roman"/>
        </w:rPr>
        <w:footnoteRef/>
      </w:r>
      <w:r w:rsidRPr="00D71813">
        <w:rPr>
          <w:rFonts w:ascii="Times New Roman" w:hAnsi="Times New Roman"/>
          <w:lang w:val="es-PR"/>
        </w:rPr>
        <w:t xml:space="preserve"> Véase</w:t>
      </w:r>
      <w:r w:rsidR="00F07DD7">
        <w:rPr>
          <w:rFonts w:ascii="Times New Roman" w:hAnsi="Times New Roman"/>
          <w:lang w:val="es-PR"/>
        </w:rPr>
        <w:t>,</w:t>
      </w:r>
      <w:r w:rsidRPr="00D71813">
        <w:rPr>
          <w:rFonts w:ascii="Times New Roman" w:hAnsi="Times New Roman"/>
          <w:lang w:val="es-PR"/>
        </w:rPr>
        <w:t xml:space="preserve"> T</w:t>
      </w:r>
      <w:r w:rsidR="00F07DD7">
        <w:rPr>
          <w:rFonts w:ascii="Times New Roman" w:hAnsi="Times New Roman"/>
          <w:lang w:val="es-PR"/>
        </w:rPr>
        <w:t>í</w:t>
      </w:r>
      <w:r w:rsidRPr="00D71813">
        <w:rPr>
          <w:rFonts w:ascii="Times New Roman" w:hAnsi="Times New Roman"/>
          <w:lang w:val="es-PR"/>
        </w:rPr>
        <w:t>tulo del P. del S. 433</w:t>
      </w:r>
      <w:r w:rsidR="00F07DD7">
        <w:rPr>
          <w:rFonts w:ascii="Times New Roman" w:hAnsi="Times New Roman"/>
          <w:lang w:val="es-PR"/>
        </w:rPr>
        <w:t>.</w:t>
      </w:r>
    </w:p>
  </w:footnote>
  <w:footnote w:id="2">
    <w:p w14:paraId="79E8366C" w14:textId="0D37CF84" w:rsidR="00DC1771" w:rsidRPr="00D71813" w:rsidRDefault="00DC1771">
      <w:pPr>
        <w:pStyle w:val="FootnoteText"/>
        <w:rPr>
          <w:rFonts w:ascii="Times New Roman" w:hAnsi="Times New Roman"/>
          <w:lang w:val="es-PR"/>
        </w:rPr>
      </w:pPr>
      <w:r w:rsidRPr="00D71813">
        <w:rPr>
          <w:rStyle w:val="FootnoteReference"/>
          <w:rFonts w:ascii="Times New Roman" w:hAnsi="Times New Roman"/>
        </w:rPr>
        <w:footnoteRef/>
      </w:r>
      <w:r w:rsidRPr="00D71813">
        <w:rPr>
          <w:rFonts w:ascii="Times New Roman" w:hAnsi="Times New Roman"/>
          <w:lang w:val="es-PR"/>
        </w:rPr>
        <w:t xml:space="preserve"> </w:t>
      </w:r>
      <w:r w:rsidR="00E4215B" w:rsidRPr="00D71813">
        <w:rPr>
          <w:rFonts w:ascii="Times New Roman" w:hAnsi="Times New Roman"/>
          <w:lang w:val="es-PR"/>
        </w:rPr>
        <w:t>Véase</w:t>
      </w:r>
      <w:r w:rsidR="00F07DD7">
        <w:rPr>
          <w:rFonts w:ascii="Times New Roman" w:hAnsi="Times New Roman"/>
          <w:lang w:val="es-PR"/>
        </w:rPr>
        <w:t>,</w:t>
      </w:r>
      <w:r w:rsidRPr="00D71813">
        <w:rPr>
          <w:rFonts w:ascii="Times New Roman" w:hAnsi="Times New Roman"/>
          <w:lang w:val="es-PR"/>
        </w:rPr>
        <w:t xml:space="preserve"> </w:t>
      </w:r>
      <w:r w:rsidR="00E4215B" w:rsidRPr="00D71813">
        <w:rPr>
          <w:rFonts w:ascii="Times New Roman" w:hAnsi="Times New Roman"/>
          <w:lang w:val="es-PR"/>
        </w:rPr>
        <w:t>Trámite</w:t>
      </w:r>
      <w:r w:rsidRPr="00D71813">
        <w:rPr>
          <w:rFonts w:ascii="Times New Roman" w:hAnsi="Times New Roman"/>
          <w:lang w:val="es-PR"/>
        </w:rPr>
        <w:t xml:space="preserve"> Legislativo del P. de la C. 420 en </w:t>
      </w:r>
      <w:hyperlink r:id="rId1" w:history="1">
        <w:r w:rsidRPr="00D71813">
          <w:rPr>
            <w:rStyle w:val="Hyperlink"/>
            <w:rFonts w:ascii="Times New Roman" w:hAnsi="Times New Roman"/>
            <w:lang w:val="es-PR"/>
          </w:rPr>
          <w:t>https://sutra.oslpr.org/medidas/154292</w:t>
        </w:r>
      </w:hyperlink>
      <w:r w:rsidRPr="00D71813">
        <w:rPr>
          <w:rFonts w:ascii="Times New Roman" w:hAnsi="Times New Roman"/>
          <w:lang w:val="es-PR"/>
        </w:rPr>
        <w:t xml:space="preserve"> </w:t>
      </w:r>
      <w:r w:rsidR="00F07DD7">
        <w:rPr>
          <w:rFonts w:ascii="Times New Roman" w:hAnsi="Times New Roman"/>
          <w:lang w:val="es-PR"/>
        </w:rPr>
        <w:t>.</w:t>
      </w:r>
    </w:p>
  </w:footnote>
  <w:footnote w:id="3">
    <w:p w14:paraId="23AEAF36" w14:textId="35033C6D" w:rsidR="00DC1771" w:rsidRPr="00D71813" w:rsidRDefault="00DC1771">
      <w:pPr>
        <w:pStyle w:val="FootnoteText"/>
        <w:rPr>
          <w:rFonts w:ascii="Times New Roman" w:hAnsi="Times New Roman"/>
          <w:lang w:val="es-PR"/>
        </w:rPr>
      </w:pPr>
      <w:r w:rsidRPr="00D71813">
        <w:rPr>
          <w:rStyle w:val="FootnoteReference"/>
          <w:rFonts w:ascii="Times New Roman" w:hAnsi="Times New Roman"/>
        </w:rPr>
        <w:footnoteRef/>
      </w:r>
      <w:r w:rsidRPr="00D71813">
        <w:rPr>
          <w:rFonts w:ascii="Times New Roman" w:hAnsi="Times New Roman"/>
          <w:lang w:val="es-PR"/>
        </w:rPr>
        <w:t xml:space="preserve"> </w:t>
      </w:r>
      <w:r w:rsidR="00F07DD7" w:rsidRPr="00D71813">
        <w:rPr>
          <w:rFonts w:ascii="Times New Roman" w:hAnsi="Times New Roman"/>
          <w:lang w:val="es-PR"/>
        </w:rPr>
        <w:t>Véase</w:t>
      </w:r>
      <w:r w:rsidRPr="00D71813">
        <w:rPr>
          <w:rFonts w:ascii="Times New Roman" w:hAnsi="Times New Roman"/>
          <w:lang w:val="es-PR"/>
        </w:rPr>
        <w:t>, sección 15.19 de la R. del S. 255 del 30 de junio de 2025, Reglamento del Senado de Puerto Rico.</w:t>
      </w:r>
    </w:p>
  </w:footnote>
  <w:footnote w:id="4">
    <w:p w14:paraId="16AB12F7" w14:textId="537777A1" w:rsidR="005E46B4" w:rsidRPr="00D71813" w:rsidRDefault="005E46B4" w:rsidP="005E46B4">
      <w:pPr>
        <w:pStyle w:val="FootnoteText"/>
        <w:rPr>
          <w:rFonts w:ascii="Times New Roman" w:hAnsi="Times New Roman"/>
          <w:lang w:val="es-PR"/>
        </w:rPr>
      </w:pPr>
      <w:r w:rsidRPr="00D71813">
        <w:rPr>
          <w:rStyle w:val="FootnoteReference"/>
          <w:rFonts w:ascii="Times New Roman" w:hAnsi="Times New Roman"/>
        </w:rPr>
        <w:footnoteRef/>
      </w:r>
      <w:r w:rsidRPr="00D71813">
        <w:rPr>
          <w:rFonts w:ascii="Times New Roman" w:hAnsi="Times New Roman"/>
          <w:lang w:val="es-PR"/>
        </w:rPr>
        <w:t xml:space="preserve"> P. de la C. 420 aprobado el 24 de junio de </w:t>
      </w:r>
      <w:r w:rsidR="00D71813" w:rsidRPr="00D71813">
        <w:rPr>
          <w:rFonts w:ascii="Times New Roman" w:hAnsi="Times New Roman"/>
          <w:lang w:val="es-PR"/>
        </w:rPr>
        <w:t xml:space="preserve">2025; </w:t>
      </w:r>
      <w:r w:rsidR="00D71813" w:rsidRPr="00D71813">
        <w:rPr>
          <w:rFonts w:ascii="Times New Roman" w:eastAsiaTheme="minorHAnsi" w:hAnsi="Times New Roman"/>
          <w:lang w:val="es-PR"/>
        </w:rPr>
        <w:t>Inf</w:t>
      </w:r>
      <w:r w:rsidRPr="00D71813">
        <w:rPr>
          <w:rFonts w:ascii="Times New Roman" w:hAnsi="Times New Roman"/>
          <w:bCs/>
          <w:lang w:val="es-PR"/>
        </w:rPr>
        <w:t>. Conferencia del</w:t>
      </w:r>
      <w:r w:rsidRPr="00D71813">
        <w:rPr>
          <w:rFonts w:ascii="Times New Roman" w:eastAsiaTheme="minorHAnsi" w:hAnsi="Times New Roman"/>
          <w:bCs/>
          <w:lang w:val="es-PR"/>
        </w:rPr>
        <w:t xml:space="preserve"> </w:t>
      </w:r>
      <w:r w:rsidRPr="00D71813">
        <w:rPr>
          <w:rFonts w:ascii="Times New Roman" w:hAnsi="Times New Roman"/>
          <w:bCs/>
          <w:lang w:val="es-PR"/>
        </w:rPr>
        <w:t>P. de la C. 420 aprobado 6 de octubre de 2025</w:t>
      </w:r>
      <w:r w:rsidR="00985C9F">
        <w:rPr>
          <w:rFonts w:ascii="Times New Roman" w:hAnsi="Times New Roman"/>
          <w:bCs/>
          <w:lang w:val="es-PR"/>
        </w:rPr>
        <w:t>.</w:t>
      </w:r>
    </w:p>
    <w:p w14:paraId="363BF899" w14:textId="3C034A7F" w:rsidR="005E46B4" w:rsidRPr="005E46B4" w:rsidRDefault="005E46B4">
      <w:pPr>
        <w:pStyle w:val="FootnoteText"/>
        <w:rPr>
          <w:lang w:val="es-P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11EF9A7D"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300673FE" w14:textId="7B5D19D1"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Informe </w:t>
    </w:r>
    <w:r>
      <w:rPr>
        <w:rFonts w:ascii="Book Antiqua" w:eastAsia="Aptos" w:hAnsi="Book Antiqua" w:cs="Times New Roman"/>
        <w:i/>
        <w:iCs/>
        <w:color w:val="000000"/>
        <w:kern w:val="2"/>
        <w:sz w:val="20"/>
        <w:szCs w:val="20"/>
        <w:lang w:val="es-ES_tradnl"/>
        <w14:ligatures w14:val="standardContextual"/>
      </w:rPr>
      <w:t>Negativo</w:t>
    </w:r>
    <w:r w:rsidRPr="00F34137">
      <w:rPr>
        <w:rFonts w:ascii="Book Antiqua" w:eastAsia="Aptos" w:hAnsi="Book Antiqua" w:cs="Times New Roman"/>
        <w:i/>
        <w:iCs/>
        <w:color w:val="000000"/>
        <w:kern w:val="2"/>
        <w:sz w:val="20"/>
        <w:szCs w:val="20"/>
        <w:lang w:val="es-ES_tradnl"/>
        <w14:ligatures w14:val="standardContextual"/>
      </w:rPr>
      <w:t xml:space="preserve"> sobre el P. de</w:t>
    </w:r>
    <w:r w:rsidR="00C10694">
      <w:rPr>
        <w:rFonts w:ascii="Book Antiqua" w:eastAsia="Aptos" w:hAnsi="Book Antiqua" w:cs="Times New Roman"/>
        <w:i/>
        <w:iCs/>
        <w:color w:val="000000"/>
        <w:kern w:val="2"/>
        <w:sz w:val="20"/>
        <w:szCs w:val="20"/>
        <w:lang w:val="es-ES_tradnl"/>
        <w14:ligatures w14:val="standardContextual"/>
      </w:rPr>
      <w:t>l S</w:t>
    </w:r>
    <w:r w:rsidRPr="00F34137">
      <w:rPr>
        <w:rFonts w:ascii="Book Antiqua" w:eastAsia="Aptos" w:hAnsi="Book Antiqua" w:cs="Times New Roman"/>
        <w:i/>
        <w:iCs/>
        <w:color w:val="000000"/>
        <w:kern w:val="2"/>
        <w:sz w:val="20"/>
        <w:szCs w:val="20"/>
        <w:lang w:val="es-ES_tradnl"/>
        <w14:ligatures w14:val="standardContextual"/>
      </w:rPr>
      <w:t xml:space="preserve">.  </w:t>
    </w:r>
    <w:r w:rsidR="00C10694">
      <w:rPr>
        <w:rFonts w:ascii="Book Antiqua" w:eastAsia="Aptos" w:hAnsi="Book Antiqua" w:cs="Times New Roman"/>
        <w:i/>
        <w:iCs/>
        <w:color w:val="000000"/>
        <w:kern w:val="2"/>
        <w:sz w:val="20"/>
        <w:szCs w:val="20"/>
        <w:lang w:val="es-ES_tradnl"/>
        <w14:ligatures w14:val="standardContextual"/>
      </w:rPr>
      <w:t>4</w:t>
    </w:r>
    <w:r w:rsidR="00D71813">
      <w:rPr>
        <w:rFonts w:ascii="Book Antiqua" w:eastAsia="Aptos" w:hAnsi="Book Antiqua" w:cs="Times New Roman"/>
        <w:i/>
        <w:iCs/>
        <w:color w:val="000000"/>
        <w:kern w:val="2"/>
        <w:sz w:val="20"/>
        <w:szCs w:val="20"/>
        <w:lang w:val="es-ES_tradnl"/>
        <w14:ligatures w14:val="standardContextual"/>
      </w:rPr>
      <w:t>33</w:t>
    </w:r>
  </w:p>
  <w:p w14:paraId="029CB52A" w14:textId="77777777" w:rsidR="00F34137" w:rsidRPr="00F34137" w:rsidRDefault="00F34137" w:rsidP="00F34137">
    <w:pPr>
      <w:tabs>
        <w:tab w:val="center" w:pos="4680"/>
        <w:tab w:val="right" w:pos="9360"/>
      </w:tabs>
      <w:spacing w:after="0" w:line="240" w:lineRule="auto"/>
      <w:jc w:val="center"/>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ab/>
    </w:r>
    <w:r w:rsidRPr="00F34137">
      <w:rPr>
        <w:rFonts w:ascii="Book Antiqua" w:eastAsia="Aptos" w:hAnsi="Book Antiqua" w:cs="Times New Roman"/>
        <w:i/>
        <w:iCs/>
        <w:color w:val="000000"/>
        <w:kern w:val="2"/>
        <w:sz w:val="20"/>
        <w:szCs w:val="20"/>
        <w:lang w:val="es-ES_tradnl"/>
        <w14:ligatures w14:val="standardContextual"/>
      </w:rPr>
      <w:tab/>
      <w:t>Comisión de Innovación,</w:t>
    </w:r>
  </w:p>
  <w:p w14:paraId="50DEB039" w14:textId="77777777" w:rsidR="00F34137" w:rsidRPr="00F34137" w:rsidRDefault="00F34137" w:rsidP="00F34137">
    <w:pPr>
      <w:tabs>
        <w:tab w:val="center" w:pos="4680"/>
        <w:tab w:val="right" w:pos="9360"/>
      </w:tabs>
      <w:spacing w:after="0" w:line="240" w:lineRule="auto"/>
      <w:jc w:val="right"/>
      <w:rPr>
        <w:rFonts w:ascii="Book Antiqua" w:eastAsia="Aptos" w:hAnsi="Book Antiqua" w:cs="Times New Roman"/>
        <w:i/>
        <w:iCs/>
        <w:color w:val="000000"/>
        <w:kern w:val="2"/>
        <w:sz w:val="20"/>
        <w:szCs w:val="20"/>
        <w:lang w:val="es-ES_tradnl"/>
        <w14:ligatures w14:val="standardContextual"/>
      </w:rPr>
    </w:pPr>
    <w:r w:rsidRPr="00F34137">
      <w:rPr>
        <w:rFonts w:ascii="Book Antiqua" w:eastAsia="Aptos" w:hAnsi="Book Antiqua" w:cs="Times New Roman"/>
        <w:i/>
        <w:iCs/>
        <w:color w:val="000000"/>
        <w:kern w:val="2"/>
        <w:sz w:val="20"/>
        <w:szCs w:val="20"/>
        <w:lang w:val="es-ES_tradnl"/>
        <w14:ligatures w14:val="standardContextual"/>
      </w:rPr>
      <w:t xml:space="preserve">Reforma y Nombramientos </w:t>
    </w:r>
  </w:p>
  <w:p w14:paraId="236588BC" w14:textId="77777777" w:rsidR="00EE5266" w:rsidRPr="00EE5266" w:rsidRDefault="00EE5266">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750484">
    <w:abstractNumId w:val="3"/>
  </w:num>
  <w:num w:numId="2" w16cid:durableId="2020693400">
    <w:abstractNumId w:val="0"/>
  </w:num>
  <w:num w:numId="3" w16cid:durableId="587807769">
    <w:abstractNumId w:val="2"/>
  </w:num>
  <w:num w:numId="4" w16cid:durableId="965046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D9A"/>
    <w:rsid w:val="00022BDC"/>
    <w:rsid w:val="0002692C"/>
    <w:rsid w:val="000273A0"/>
    <w:rsid w:val="0003162F"/>
    <w:rsid w:val="00035C88"/>
    <w:rsid w:val="00043761"/>
    <w:rsid w:val="000447D6"/>
    <w:rsid w:val="0004764E"/>
    <w:rsid w:val="000553E2"/>
    <w:rsid w:val="00056ADD"/>
    <w:rsid w:val="000608A1"/>
    <w:rsid w:val="000713DF"/>
    <w:rsid w:val="000749B2"/>
    <w:rsid w:val="000753AC"/>
    <w:rsid w:val="0008359E"/>
    <w:rsid w:val="0008420D"/>
    <w:rsid w:val="00090BA6"/>
    <w:rsid w:val="00096FB7"/>
    <w:rsid w:val="000A0BF5"/>
    <w:rsid w:val="000A5BC3"/>
    <w:rsid w:val="000A772A"/>
    <w:rsid w:val="000B0CC0"/>
    <w:rsid w:val="000B2F35"/>
    <w:rsid w:val="000B555F"/>
    <w:rsid w:val="000C0A29"/>
    <w:rsid w:val="000D15E6"/>
    <w:rsid w:val="000D28D5"/>
    <w:rsid w:val="000D7BA4"/>
    <w:rsid w:val="000F06A9"/>
    <w:rsid w:val="000F0FC1"/>
    <w:rsid w:val="000F4828"/>
    <w:rsid w:val="000F6919"/>
    <w:rsid w:val="00102103"/>
    <w:rsid w:val="00107E83"/>
    <w:rsid w:val="0011132B"/>
    <w:rsid w:val="00114466"/>
    <w:rsid w:val="00115431"/>
    <w:rsid w:val="00115BA5"/>
    <w:rsid w:val="001211ED"/>
    <w:rsid w:val="00121C66"/>
    <w:rsid w:val="0012761E"/>
    <w:rsid w:val="00130B19"/>
    <w:rsid w:val="00131CEE"/>
    <w:rsid w:val="001361D8"/>
    <w:rsid w:val="00137D0D"/>
    <w:rsid w:val="00146465"/>
    <w:rsid w:val="00153AC8"/>
    <w:rsid w:val="0016187F"/>
    <w:rsid w:val="001649EF"/>
    <w:rsid w:val="00171190"/>
    <w:rsid w:val="00173F32"/>
    <w:rsid w:val="00177813"/>
    <w:rsid w:val="001931B2"/>
    <w:rsid w:val="001946BA"/>
    <w:rsid w:val="001A2329"/>
    <w:rsid w:val="001B6D29"/>
    <w:rsid w:val="001C09CB"/>
    <w:rsid w:val="001C3557"/>
    <w:rsid w:val="001D57E1"/>
    <w:rsid w:val="001E1A2C"/>
    <w:rsid w:val="001E1B9E"/>
    <w:rsid w:val="001E276C"/>
    <w:rsid w:val="001E4156"/>
    <w:rsid w:val="001F4559"/>
    <w:rsid w:val="002129CF"/>
    <w:rsid w:val="0021388E"/>
    <w:rsid w:val="0022003F"/>
    <w:rsid w:val="00240781"/>
    <w:rsid w:val="0024559D"/>
    <w:rsid w:val="00245CF4"/>
    <w:rsid w:val="002504B6"/>
    <w:rsid w:val="00271566"/>
    <w:rsid w:val="00293BCA"/>
    <w:rsid w:val="00294802"/>
    <w:rsid w:val="002B4353"/>
    <w:rsid w:val="002B637C"/>
    <w:rsid w:val="002B7C37"/>
    <w:rsid w:val="002D2EE2"/>
    <w:rsid w:val="002E1FCF"/>
    <w:rsid w:val="002E20C3"/>
    <w:rsid w:val="002E3D30"/>
    <w:rsid w:val="002E53A6"/>
    <w:rsid w:val="002F0D06"/>
    <w:rsid w:val="002F7C6A"/>
    <w:rsid w:val="0030144D"/>
    <w:rsid w:val="00305FAE"/>
    <w:rsid w:val="00311229"/>
    <w:rsid w:val="00311703"/>
    <w:rsid w:val="00322720"/>
    <w:rsid w:val="003271E5"/>
    <w:rsid w:val="00344018"/>
    <w:rsid w:val="003459EC"/>
    <w:rsid w:val="00354BEA"/>
    <w:rsid w:val="00354DC8"/>
    <w:rsid w:val="0035525D"/>
    <w:rsid w:val="00361AE6"/>
    <w:rsid w:val="00364984"/>
    <w:rsid w:val="00364E2E"/>
    <w:rsid w:val="0036586B"/>
    <w:rsid w:val="003756A5"/>
    <w:rsid w:val="003821B2"/>
    <w:rsid w:val="0038786D"/>
    <w:rsid w:val="00391837"/>
    <w:rsid w:val="003A065C"/>
    <w:rsid w:val="003A7080"/>
    <w:rsid w:val="003C5B37"/>
    <w:rsid w:val="003C78B7"/>
    <w:rsid w:val="003D1330"/>
    <w:rsid w:val="003D74B1"/>
    <w:rsid w:val="003E37B0"/>
    <w:rsid w:val="003E3E39"/>
    <w:rsid w:val="003E49DB"/>
    <w:rsid w:val="003F725B"/>
    <w:rsid w:val="00403BC1"/>
    <w:rsid w:val="00414B8C"/>
    <w:rsid w:val="00426A07"/>
    <w:rsid w:val="00467A9B"/>
    <w:rsid w:val="00471079"/>
    <w:rsid w:val="004734F4"/>
    <w:rsid w:val="00482209"/>
    <w:rsid w:val="00494437"/>
    <w:rsid w:val="004A72F4"/>
    <w:rsid w:val="004B331F"/>
    <w:rsid w:val="004B7E97"/>
    <w:rsid w:val="004C1C8A"/>
    <w:rsid w:val="004C32B1"/>
    <w:rsid w:val="004C5C9A"/>
    <w:rsid w:val="004D2FBA"/>
    <w:rsid w:val="004D4E89"/>
    <w:rsid w:val="004E72AB"/>
    <w:rsid w:val="004F08A2"/>
    <w:rsid w:val="004F6C4C"/>
    <w:rsid w:val="00505699"/>
    <w:rsid w:val="00516683"/>
    <w:rsid w:val="00560C4D"/>
    <w:rsid w:val="005670CF"/>
    <w:rsid w:val="005709BF"/>
    <w:rsid w:val="00576B06"/>
    <w:rsid w:val="0057745A"/>
    <w:rsid w:val="00582EA8"/>
    <w:rsid w:val="00582F00"/>
    <w:rsid w:val="005A0D34"/>
    <w:rsid w:val="005A362B"/>
    <w:rsid w:val="005A4D50"/>
    <w:rsid w:val="005C335E"/>
    <w:rsid w:val="005C6E85"/>
    <w:rsid w:val="005C73C9"/>
    <w:rsid w:val="005D139A"/>
    <w:rsid w:val="005D307F"/>
    <w:rsid w:val="005E0B21"/>
    <w:rsid w:val="005E46B4"/>
    <w:rsid w:val="005E5101"/>
    <w:rsid w:val="00607F19"/>
    <w:rsid w:val="00616AE0"/>
    <w:rsid w:val="00620C0B"/>
    <w:rsid w:val="006471C2"/>
    <w:rsid w:val="006511CA"/>
    <w:rsid w:val="00663047"/>
    <w:rsid w:val="00664B89"/>
    <w:rsid w:val="00665B83"/>
    <w:rsid w:val="00666652"/>
    <w:rsid w:val="00681792"/>
    <w:rsid w:val="006900B4"/>
    <w:rsid w:val="00696626"/>
    <w:rsid w:val="006A013F"/>
    <w:rsid w:val="006A3A00"/>
    <w:rsid w:val="006A7985"/>
    <w:rsid w:val="006B1A89"/>
    <w:rsid w:val="006B1D8B"/>
    <w:rsid w:val="006C6298"/>
    <w:rsid w:val="006D00EA"/>
    <w:rsid w:val="006F1D7A"/>
    <w:rsid w:val="00705D48"/>
    <w:rsid w:val="00715E89"/>
    <w:rsid w:val="00716295"/>
    <w:rsid w:val="007242F6"/>
    <w:rsid w:val="0072709D"/>
    <w:rsid w:val="0073017B"/>
    <w:rsid w:val="007344A2"/>
    <w:rsid w:val="00737B58"/>
    <w:rsid w:val="00745B5D"/>
    <w:rsid w:val="00746003"/>
    <w:rsid w:val="0074644E"/>
    <w:rsid w:val="0075038A"/>
    <w:rsid w:val="00752C26"/>
    <w:rsid w:val="00754CB9"/>
    <w:rsid w:val="007616C4"/>
    <w:rsid w:val="0076193A"/>
    <w:rsid w:val="007833FE"/>
    <w:rsid w:val="0078552C"/>
    <w:rsid w:val="0079116A"/>
    <w:rsid w:val="00796031"/>
    <w:rsid w:val="0079725F"/>
    <w:rsid w:val="007A420A"/>
    <w:rsid w:val="007B2B0E"/>
    <w:rsid w:val="007B42D9"/>
    <w:rsid w:val="007C1A4E"/>
    <w:rsid w:val="007C26DD"/>
    <w:rsid w:val="007D4A54"/>
    <w:rsid w:val="007D5AD3"/>
    <w:rsid w:val="007D7327"/>
    <w:rsid w:val="007E0653"/>
    <w:rsid w:val="007E5521"/>
    <w:rsid w:val="007E656E"/>
    <w:rsid w:val="007F67FB"/>
    <w:rsid w:val="008223A9"/>
    <w:rsid w:val="00824806"/>
    <w:rsid w:val="00826449"/>
    <w:rsid w:val="00834A69"/>
    <w:rsid w:val="00834C22"/>
    <w:rsid w:val="00843DCB"/>
    <w:rsid w:val="008440E8"/>
    <w:rsid w:val="00845363"/>
    <w:rsid w:val="00853461"/>
    <w:rsid w:val="00857E10"/>
    <w:rsid w:val="00864F28"/>
    <w:rsid w:val="00894984"/>
    <w:rsid w:val="00896CA1"/>
    <w:rsid w:val="008A0F91"/>
    <w:rsid w:val="008A7C89"/>
    <w:rsid w:val="008B2E33"/>
    <w:rsid w:val="008B3A66"/>
    <w:rsid w:val="008C1C33"/>
    <w:rsid w:val="008C3019"/>
    <w:rsid w:val="008C4012"/>
    <w:rsid w:val="008C4CF4"/>
    <w:rsid w:val="008C63DB"/>
    <w:rsid w:val="008D4720"/>
    <w:rsid w:val="008D7E93"/>
    <w:rsid w:val="008F4ABE"/>
    <w:rsid w:val="008F677A"/>
    <w:rsid w:val="00903BC2"/>
    <w:rsid w:val="0090642F"/>
    <w:rsid w:val="00906520"/>
    <w:rsid w:val="009070B9"/>
    <w:rsid w:val="00910B38"/>
    <w:rsid w:val="00913FAA"/>
    <w:rsid w:val="00916BB6"/>
    <w:rsid w:val="00921E2C"/>
    <w:rsid w:val="00926A35"/>
    <w:rsid w:val="009313D6"/>
    <w:rsid w:val="00943A5A"/>
    <w:rsid w:val="009456E5"/>
    <w:rsid w:val="00945AE9"/>
    <w:rsid w:val="0094762A"/>
    <w:rsid w:val="00951909"/>
    <w:rsid w:val="00953A26"/>
    <w:rsid w:val="00954C08"/>
    <w:rsid w:val="00960C5A"/>
    <w:rsid w:val="00970C8D"/>
    <w:rsid w:val="00981C83"/>
    <w:rsid w:val="00981D6F"/>
    <w:rsid w:val="00982738"/>
    <w:rsid w:val="00985C9F"/>
    <w:rsid w:val="00993D84"/>
    <w:rsid w:val="009967C7"/>
    <w:rsid w:val="009A362D"/>
    <w:rsid w:val="009B02C6"/>
    <w:rsid w:val="009B12D6"/>
    <w:rsid w:val="009C4659"/>
    <w:rsid w:val="009C7756"/>
    <w:rsid w:val="009D237A"/>
    <w:rsid w:val="009F1CA2"/>
    <w:rsid w:val="009F328D"/>
    <w:rsid w:val="009F46A2"/>
    <w:rsid w:val="00A07033"/>
    <w:rsid w:val="00A14818"/>
    <w:rsid w:val="00A20431"/>
    <w:rsid w:val="00A2416A"/>
    <w:rsid w:val="00A31CE8"/>
    <w:rsid w:val="00A40A61"/>
    <w:rsid w:val="00A44122"/>
    <w:rsid w:val="00A50CF5"/>
    <w:rsid w:val="00A52D0E"/>
    <w:rsid w:val="00A54112"/>
    <w:rsid w:val="00A64B8D"/>
    <w:rsid w:val="00A6731A"/>
    <w:rsid w:val="00A70089"/>
    <w:rsid w:val="00A72CAB"/>
    <w:rsid w:val="00A73D5D"/>
    <w:rsid w:val="00A73EAA"/>
    <w:rsid w:val="00A7513C"/>
    <w:rsid w:val="00A82BBD"/>
    <w:rsid w:val="00A87A70"/>
    <w:rsid w:val="00A92BB8"/>
    <w:rsid w:val="00A92E0D"/>
    <w:rsid w:val="00AD3351"/>
    <w:rsid w:val="00AD746B"/>
    <w:rsid w:val="00AD7E27"/>
    <w:rsid w:val="00AF1148"/>
    <w:rsid w:val="00AF550C"/>
    <w:rsid w:val="00B1528E"/>
    <w:rsid w:val="00B21EC5"/>
    <w:rsid w:val="00B41848"/>
    <w:rsid w:val="00B42DE5"/>
    <w:rsid w:val="00B5121C"/>
    <w:rsid w:val="00B66A0D"/>
    <w:rsid w:val="00B66E92"/>
    <w:rsid w:val="00B73770"/>
    <w:rsid w:val="00B829FB"/>
    <w:rsid w:val="00B93A79"/>
    <w:rsid w:val="00B9492A"/>
    <w:rsid w:val="00B963E7"/>
    <w:rsid w:val="00B97A04"/>
    <w:rsid w:val="00BB1912"/>
    <w:rsid w:val="00BB4341"/>
    <w:rsid w:val="00BC5E86"/>
    <w:rsid w:val="00BC74A8"/>
    <w:rsid w:val="00BE4758"/>
    <w:rsid w:val="00BE5211"/>
    <w:rsid w:val="00BE5EA7"/>
    <w:rsid w:val="00BE758F"/>
    <w:rsid w:val="00BF407C"/>
    <w:rsid w:val="00C0212B"/>
    <w:rsid w:val="00C10694"/>
    <w:rsid w:val="00C12DB2"/>
    <w:rsid w:val="00C3020F"/>
    <w:rsid w:val="00C31E7A"/>
    <w:rsid w:val="00C33768"/>
    <w:rsid w:val="00C34095"/>
    <w:rsid w:val="00C41B7E"/>
    <w:rsid w:val="00C50AF5"/>
    <w:rsid w:val="00C52DB0"/>
    <w:rsid w:val="00C54852"/>
    <w:rsid w:val="00C54EE1"/>
    <w:rsid w:val="00C56581"/>
    <w:rsid w:val="00C56A6D"/>
    <w:rsid w:val="00C63EA8"/>
    <w:rsid w:val="00C671E3"/>
    <w:rsid w:val="00C76033"/>
    <w:rsid w:val="00C8284E"/>
    <w:rsid w:val="00C866A1"/>
    <w:rsid w:val="00CA09D4"/>
    <w:rsid w:val="00CA34DE"/>
    <w:rsid w:val="00CA352E"/>
    <w:rsid w:val="00CA63C6"/>
    <w:rsid w:val="00CB1613"/>
    <w:rsid w:val="00CB7AB5"/>
    <w:rsid w:val="00CC2E7A"/>
    <w:rsid w:val="00CC6161"/>
    <w:rsid w:val="00CD45E9"/>
    <w:rsid w:val="00CD6BF7"/>
    <w:rsid w:val="00CF5CBB"/>
    <w:rsid w:val="00D042CB"/>
    <w:rsid w:val="00D06918"/>
    <w:rsid w:val="00D12D7A"/>
    <w:rsid w:val="00D173EE"/>
    <w:rsid w:val="00D23D1A"/>
    <w:rsid w:val="00D360F4"/>
    <w:rsid w:val="00D379A4"/>
    <w:rsid w:val="00D45D3F"/>
    <w:rsid w:val="00D566A9"/>
    <w:rsid w:val="00D61358"/>
    <w:rsid w:val="00D71813"/>
    <w:rsid w:val="00D80200"/>
    <w:rsid w:val="00D86FD7"/>
    <w:rsid w:val="00D92E85"/>
    <w:rsid w:val="00D9432E"/>
    <w:rsid w:val="00D95434"/>
    <w:rsid w:val="00D963E2"/>
    <w:rsid w:val="00DA0691"/>
    <w:rsid w:val="00DA5D04"/>
    <w:rsid w:val="00DB1880"/>
    <w:rsid w:val="00DB1C80"/>
    <w:rsid w:val="00DB7A96"/>
    <w:rsid w:val="00DC1771"/>
    <w:rsid w:val="00DC1E06"/>
    <w:rsid w:val="00DC2372"/>
    <w:rsid w:val="00DC4633"/>
    <w:rsid w:val="00DD0A9A"/>
    <w:rsid w:val="00DD161A"/>
    <w:rsid w:val="00DD6C34"/>
    <w:rsid w:val="00DF209A"/>
    <w:rsid w:val="00DF3712"/>
    <w:rsid w:val="00DF49EF"/>
    <w:rsid w:val="00DF4A9B"/>
    <w:rsid w:val="00E01A30"/>
    <w:rsid w:val="00E0584A"/>
    <w:rsid w:val="00E1104E"/>
    <w:rsid w:val="00E206E7"/>
    <w:rsid w:val="00E22516"/>
    <w:rsid w:val="00E30EB0"/>
    <w:rsid w:val="00E375B4"/>
    <w:rsid w:val="00E41C05"/>
    <w:rsid w:val="00E4215B"/>
    <w:rsid w:val="00E543D7"/>
    <w:rsid w:val="00E55262"/>
    <w:rsid w:val="00E6073C"/>
    <w:rsid w:val="00E72848"/>
    <w:rsid w:val="00E83EE8"/>
    <w:rsid w:val="00E90F23"/>
    <w:rsid w:val="00E91957"/>
    <w:rsid w:val="00E975E4"/>
    <w:rsid w:val="00EA3604"/>
    <w:rsid w:val="00EA4F6A"/>
    <w:rsid w:val="00EC291A"/>
    <w:rsid w:val="00EC3F99"/>
    <w:rsid w:val="00EC75AE"/>
    <w:rsid w:val="00ED65B6"/>
    <w:rsid w:val="00EE428D"/>
    <w:rsid w:val="00EE5266"/>
    <w:rsid w:val="00EF6262"/>
    <w:rsid w:val="00F0536B"/>
    <w:rsid w:val="00F07DD7"/>
    <w:rsid w:val="00F13D77"/>
    <w:rsid w:val="00F1648E"/>
    <w:rsid w:val="00F23B9B"/>
    <w:rsid w:val="00F24262"/>
    <w:rsid w:val="00F34137"/>
    <w:rsid w:val="00F3546D"/>
    <w:rsid w:val="00F44605"/>
    <w:rsid w:val="00F50386"/>
    <w:rsid w:val="00F55108"/>
    <w:rsid w:val="00F6728B"/>
    <w:rsid w:val="00F73AC3"/>
    <w:rsid w:val="00F7790D"/>
    <w:rsid w:val="00F945E6"/>
    <w:rsid w:val="00FA0381"/>
    <w:rsid w:val="00FA5181"/>
    <w:rsid w:val="00FB1365"/>
    <w:rsid w:val="00FB2671"/>
    <w:rsid w:val="00FB2BB6"/>
    <w:rsid w:val="00FB580D"/>
    <w:rsid w:val="00FB75CC"/>
    <w:rsid w:val="00FC0170"/>
    <w:rsid w:val="00FD5DB3"/>
    <w:rsid w:val="00FE041E"/>
    <w:rsid w:val="00FF0E0F"/>
    <w:rsid w:val="00FF5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8D307C25-1954-9B48-94F5-577A1F56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71E3"/>
  </w:style>
  <w:style w:type="character" w:customStyle="1" w:styleId="eop">
    <w:name w:val="eop"/>
    <w:basedOn w:val="DefaultParagraphFont"/>
    <w:rsid w:val="00C671E3"/>
  </w:style>
  <w:style w:type="paragraph" w:styleId="NormalWeb">
    <w:name w:val="Normal (Web)"/>
    <w:basedOn w:val="Normal"/>
    <w:uiPriority w:val="99"/>
    <w:unhideWhenUsed/>
    <w:rsid w:val="00B97A0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B75CC"/>
    <w:rPr>
      <w:i/>
      <w:iCs/>
    </w:rPr>
  </w:style>
  <w:style w:type="character" w:styleId="Hyperlink">
    <w:name w:val="Hyperlink"/>
    <w:basedOn w:val="DefaultParagraphFont"/>
    <w:uiPriority w:val="99"/>
    <w:unhideWhenUsed/>
    <w:rsid w:val="006A3A00"/>
    <w:rPr>
      <w:color w:val="467886" w:themeColor="hyperlink"/>
      <w:u w:val="single"/>
    </w:rPr>
  </w:style>
  <w:style w:type="character" w:styleId="UnresolvedMention">
    <w:name w:val="Unresolved Mention"/>
    <w:basedOn w:val="DefaultParagraphFont"/>
    <w:uiPriority w:val="99"/>
    <w:semiHidden/>
    <w:unhideWhenUsed/>
    <w:rsid w:val="006A3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274048">
      <w:bodyDiv w:val="1"/>
      <w:marLeft w:val="0"/>
      <w:marRight w:val="0"/>
      <w:marTop w:val="0"/>
      <w:marBottom w:val="0"/>
      <w:divBdr>
        <w:top w:val="none" w:sz="0" w:space="0" w:color="auto"/>
        <w:left w:val="none" w:sz="0" w:space="0" w:color="auto"/>
        <w:bottom w:val="none" w:sz="0" w:space="0" w:color="auto"/>
        <w:right w:val="none" w:sz="0" w:space="0" w:color="auto"/>
      </w:divBdr>
    </w:div>
    <w:div w:id="188497016">
      <w:bodyDiv w:val="1"/>
      <w:marLeft w:val="0"/>
      <w:marRight w:val="0"/>
      <w:marTop w:val="0"/>
      <w:marBottom w:val="0"/>
      <w:divBdr>
        <w:top w:val="none" w:sz="0" w:space="0" w:color="auto"/>
        <w:left w:val="none" w:sz="0" w:space="0" w:color="auto"/>
        <w:bottom w:val="none" w:sz="0" w:space="0" w:color="auto"/>
        <w:right w:val="none" w:sz="0" w:space="0" w:color="auto"/>
      </w:divBdr>
    </w:div>
    <w:div w:id="213391544">
      <w:bodyDiv w:val="1"/>
      <w:marLeft w:val="0"/>
      <w:marRight w:val="0"/>
      <w:marTop w:val="0"/>
      <w:marBottom w:val="0"/>
      <w:divBdr>
        <w:top w:val="none" w:sz="0" w:space="0" w:color="auto"/>
        <w:left w:val="none" w:sz="0" w:space="0" w:color="auto"/>
        <w:bottom w:val="none" w:sz="0" w:space="0" w:color="auto"/>
        <w:right w:val="none" w:sz="0" w:space="0" w:color="auto"/>
      </w:divBdr>
    </w:div>
    <w:div w:id="352338544">
      <w:bodyDiv w:val="1"/>
      <w:marLeft w:val="0"/>
      <w:marRight w:val="0"/>
      <w:marTop w:val="0"/>
      <w:marBottom w:val="0"/>
      <w:divBdr>
        <w:top w:val="none" w:sz="0" w:space="0" w:color="auto"/>
        <w:left w:val="none" w:sz="0" w:space="0" w:color="auto"/>
        <w:bottom w:val="none" w:sz="0" w:space="0" w:color="auto"/>
        <w:right w:val="none" w:sz="0" w:space="0" w:color="auto"/>
      </w:divBdr>
    </w:div>
    <w:div w:id="385298378">
      <w:bodyDiv w:val="1"/>
      <w:marLeft w:val="0"/>
      <w:marRight w:val="0"/>
      <w:marTop w:val="0"/>
      <w:marBottom w:val="0"/>
      <w:divBdr>
        <w:top w:val="none" w:sz="0" w:space="0" w:color="auto"/>
        <w:left w:val="none" w:sz="0" w:space="0" w:color="auto"/>
        <w:bottom w:val="none" w:sz="0" w:space="0" w:color="auto"/>
        <w:right w:val="none" w:sz="0" w:space="0" w:color="auto"/>
      </w:divBdr>
    </w:div>
    <w:div w:id="386297067">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4636327">
      <w:bodyDiv w:val="1"/>
      <w:marLeft w:val="0"/>
      <w:marRight w:val="0"/>
      <w:marTop w:val="0"/>
      <w:marBottom w:val="0"/>
      <w:divBdr>
        <w:top w:val="none" w:sz="0" w:space="0" w:color="auto"/>
        <w:left w:val="none" w:sz="0" w:space="0" w:color="auto"/>
        <w:bottom w:val="none" w:sz="0" w:space="0" w:color="auto"/>
        <w:right w:val="none" w:sz="0" w:space="0" w:color="auto"/>
      </w:divBdr>
    </w:div>
    <w:div w:id="437068731">
      <w:bodyDiv w:val="1"/>
      <w:marLeft w:val="0"/>
      <w:marRight w:val="0"/>
      <w:marTop w:val="0"/>
      <w:marBottom w:val="0"/>
      <w:divBdr>
        <w:top w:val="none" w:sz="0" w:space="0" w:color="auto"/>
        <w:left w:val="none" w:sz="0" w:space="0" w:color="auto"/>
        <w:bottom w:val="none" w:sz="0" w:space="0" w:color="auto"/>
        <w:right w:val="none" w:sz="0" w:space="0" w:color="auto"/>
      </w:divBdr>
    </w:div>
    <w:div w:id="554705909">
      <w:bodyDiv w:val="1"/>
      <w:marLeft w:val="0"/>
      <w:marRight w:val="0"/>
      <w:marTop w:val="0"/>
      <w:marBottom w:val="0"/>
      <w:divBdr>
        <w:top w:val="none" w:sz="0" w:space="0" w:color="auto"/>
        <w:left w:val="none" w:sz="0" w:space="0" w:color="auto"/>
        <w:bottom w:val="none" w:sz="0" w:space="0" w:color="auto"/>
        <w:right w:val="none" w:sz="0" w:space="0" w:color="auto"/>
      </w:divBdr>
    </w:div>
    <w:div w:id="592935014">
      <w:bodyDiv w:val="1"/>
      <w:marLeft w:val="0"/>
      <w:marRight w:val="0"/>
      <w:marTop w:val="0"/>
      <w:marBottom w:val="0"/>
      <w:divBdr>
        <w:top w:val="none" w:sz="0" w:space="0" w:color="auto"/>
        <w:left w:val="none" w:sz="0" w:space="0" w:color="auto"/>
        <w:bottom w:val="none" w:sz="0" w:space="0" w:color="auto"/>
        <w:right w:val="none" w:sz="0" w:space="0" w:color="auto"/>
      </w:divBdr>
    </w:div>
    <w:div w:id="619842073">
      <w:bodyDiv w:val="1"/>
      <w:marLeft w:val="0"/>
      <w:marRight w:val="0"/>
      <w:marTop w:val="0"/>
      <w:marBottom w:val="0"/>
      <w:divBdr>
        <w:top w:val="none" w:sz="0" w:space="0" w:color="auto"/>
        <w:left w:val="none" w:sz="0" w:space="0" w:color="auto"/>
        <w:bottom w:val="none" w:sz="0" w:space="0" w:color="auto"/>
        <w:right w:val="none" w:sz="0" w:space="0" w:color="auto"/>
      </w:divBdr>
    </w:div>
    <w:div w:id="739867919">
      <w:bodyDiv w:val="1"/>
      <w:marLeft w:val="0"/>
      <w:marRight w:val="0"/>
      <w:marTop w:val="0"/>
      <w:marBottom w:val="0"/>
      <w:divBdr>
        <w:top w:val="none" w:sz="0" w:space="0" w:color="auto"/>
        <w:left w:val="none" w:sz="0" w:space="0" w:color="auto"/>
        <w:bottom w:val="none" w:sz="0" w:space="0" w:color="auto"/>
        <w:right w:val="none" w:sz="0" w:space="0" w:color="auto"/>
      </w:divBdr>
    </w:div>
    <w:div w:id="854880496">
      <w:bodyDiv w:val="1"/>
      <w:marLeft w:val="0"/>
      <w:marRight w:val="0"/>
      <w:marTop w:val="0"/>
      <w:marBottom w:val="0"/>
      <w:divBdr>
        <w:top w:val="none" w:sz="0" w:space="0" w:color="auto"/>
        <w:left w:val="none" w:sz="0" w:space="0" w:color="auto"/>
        <w:bottom w:val="none" w:sz="0" w:space="0" w:color="auto"/>
        <w:right w:val="none" w:sz="0" w:space="0" w:color="auto"/>
      </w:divBdr>
    </w:div>
    <w:div w:id="875314418">
      <w:bodyDiv w:val="1"/>
      <w:marLeft w:val="0"/>
      <w:marRight w:val="0"/>
      <w:marTop w:val="0"/>
      <w:marBottom w:val="0"/>
      <w:divBdr>
        <w:top w:val="none" w:sz="0" w:space="0" w:color="auto"/>
        <w:left w:val="none" w:sz="0" w:space="0" w:color="auto"/>
        <w:bottom w:val="none" w:sz="0" w:space="0" w:color="auto"/>
        <w:right w:val="none" w:sz="0" w:space="0" w:color="auto"/>
      </w:divBdr>
    </w:div>
    <w:div w:id="925384298">
      <w:bodyDiv w:val="1"/>
      <w:marLeft w:val="0"/>
      <w:marRight w:val="0"/>
      <w:marTop w:val="0"/>
      <w:marBottom w:val="0"/>
      <w:divBdr>
        <w:top w:val="none" w:sz="0" w:space="0" w:color="auto"/>
        <w:left w:val="none" w:sz="0" w:space="0" w:color="auto"/>
        <w:bottom w:val="none" w:sz="0" w:space="0" w:color="auto"/>
        <w:right w:val="none" w:sz="0" w:space="0" w:color="auto"/>
      </w:divBdr>
    </w:div>
    <w:div w:id="1060444993">
      <w:bodyDiv w:val="1"/>
      <w:marLeft w:val="0"/>
      <w:marRight w:val="0"/>
      <w:marTop w:val="0"/>
      <w:marBottom w:val="0"/>
      <w:divBdr>
        <w:top w:val="none" w:sz="0" w:space="0" w:color="auto"/>
        <w:left w:val="none" w:sz="0" w:space="0" w:color="auto"/>
        <w:bottom w:val="none" w:sz="0" w:space="0" w:color="auto"/>
        <w:right w:val="none" w:sz="0" w:space="0" w:color="auto"/>
      </w:divBdr>
    </w:div>
    <w:div w:id="1070618663">
      <w:bodyDiv w:val="1"/>
      <w:marLeft w:val="0"/>
      <w:marRight w:val="0"/>
      <w:marTop w:val="0"/>
      <w:marBottom w:val="0"/>
      <w:divBdr>
        <w:top w:val="none" w:sz="0" w:space="0" w:color="auto"/>
        <w:left w:val="none" w:sz="0" w:space="0" w:color="auto"/>
        <w:bottom w:val="none" w:sz="0" w:space="0" w:color="auto"/>
        <w:right w:val="none" w:sz="0" w:space="0" w:color="auto"/>
      </w:divBdr>
      <w:divsChild>
        <w:div w:id="1057240839">
          <w:marLeft w:val="0"/>
          <w:marRight w:val="0"/>
          <w:marTop w:val="0"/>
          <w:marBottom w:val="0"/>
          <w:divBdr>
            <w:top w:val="none" w:sz="0" w:space="0" w:color="auto"/>
            <w:left w:val="none" w:sz="0" w:space="0" w:color="auto"/>
            <w:bottom w:val="none" w:sz="0" w:space="0" w:color="auto"/>
            <w:right w:val="none" w:sz="0" w:space="0" w:color="auto"/>
          </w:divBdr>
          <w:divsChild>
            <w:div w:id="748697585">
              <w:marLeft w:val="0"/>
              <w:marRight w:val="0"/>
              <w:marTop w:val="0"/>
              <w:marBottom w:val="0"/>
              <w:divBdr>
                <w:top w:val="none" w:sz="0" w:space="0" w:color="auto"/>
                <w:left w:val="none" w:sz="0" w:space="0" w:color="auto"/>
                <w:bottom w:val="none" w:sz="0" w:space="0" w:color="auto"/>
                <w:right w:val="none" w:sz="0" w:space="0" w:color="auto"/>
              </w:divBdr>
            </w:div>
          </w:divsChild>
        </w:div>
        <w:div w:id="168982133">
          <w:marLeft w:val="0"/>
          <w:marRight w:val="0"/>
          <w:marTop w:val="120"/>
          <w:marBottom w:val="0"/>
          <w:divBdr>
            <w:top w:val="none" w:sz="0" w:space="0" w:color="auto"/>
            <w:left w:val="none" w:sz="0" w:space="0" w:color="auto"/>
            <w:bottom w:val="none" w:sz="0" w:space="0" w:color="auto"/>
            <w:right w:val="none" w:sz="0" w:space="0" w:color="auto"/>
          </w:divBdr>
          <w:divsChild>
            <w:div w:id="555438049">
              <w:marLeft w:val="0"/>
              <w:marRight w:val="0"/>
              <w:marTop w:val="0"/>
              <w:marBottom w:val="0"/>
              <w:divBdr>
                <w:top w:val="none" w:sz="0" w:space="0" w:color="auto"/>
                <w:left w:val="none" w:sz="0" w:space="0" w:color="auto"/>
                <w:bottom w:val="none" w:sz="0" w:space="0" w:color="auto"/>
                <w:right w:val="none" w:sz="0" w:space="0" w:color="auto"/>
              </w:divBdr>
            </w:div>
          </w:divsChild>
        </w:div>
        <w:div w:id="1987196340">
          <w:marLeft w:val="0"/>
          <w:marRight w:val="0"/>
          <w:marTop w:val="120"/>
          <w:marBottom w:val="0"/>
          <w:divBdr>
            <w:top w:val="none" w:sz="0" w:space="0" w:color="auto"/>
            <w:left w:val="none" w:sz="0" w:space="0" w:color="auto"/>
            <w:bottom w:val="none" w:sz="0" w:space="0" w:color="auto"/>
            <w:right w:val="none" w:sz="0" w:space="0" w:color="auto"/>
          </w:divBdr>
          <w:divsChild>
            <w:div w:id="1792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68454">
      <w:bodyDiv w:val="1"/>
      <w:marLeft w:val="0"/>
      <w:marRight w:val="0"/>
      <w:marTop w:val="0"/>
      <w:marBottom w:val="0"/>
      <w:divBdr>
        <w:top w:val="none" w:sz="0" w:space="0" w:color="auto"/>
        <w:left w:val="none" w:sz="0" w:space="0" w:color="auto"/>
        <w:bottom w:val="none" w:sz="0" w:space="0" w:color="auto"/>
        <w:right w:val="none" w:sz="0" w:space="0" w:color="auto"/>
      </w:divBdr>
    </w:div>
    <w:div w:id="1143893273">
      <w:bodyDiv w:val="1"/>
      <w:marLeft w:val="0"/>
      <w:marRight w:val="0"/>
      <w:marTop w:val="0"/>
      <w:marBottom w:val="0"/>
      <w:divBdr>
        <w:top w:val="none" w:sz="0" w:space="0" w:color="auto"/>
        <w:left w:val="none" w:sz="0" w:space="0" w:color="auto"/>
        <w:bottom w:val="none" w:sz="0" w:space="0" w:color="auto"/>
        <w:right w:val="none" w:sz="0" w:space="0" w:color="auto"/>
      </w:divBdr>
    </w:div>
    <w:div w:id="1153789731">
      <w:bodyDiv w:val="1"/>
      <w:marLeft w:val="0"/>
      <w:marRight w:val="0"/>
      <w:marTop w:val="0"/>
      <w:marBottom w:val="0"/>
      <w:divBdr>
        <w:top w:val="none" w:sz="0" w:space="0" w:color="auto"/>
        <w:left w:val="none" w:sz="0" w:space="0" w:color="auto"/>
        <w:bottom w:val="none" w:sz="0" w:space="0" w:color="auto"/>
        <w:right w:val="none" w:sz="0" w:space="0" w:color="auto"/>
      </w:divBdr>
    </w:div>
    <w:div w:id="1197238125">
      <w:bodyDiv w:val="1"/>
      <w:marLeft w:val="0"/>
      <w:marRight w:val="0"/>
      <w:marTop w:val="0"/>
      <w:marBottom w:val="0"/>
      <w:divBdr>
        <w:top w:val="none" w:sz="0" w:space="0" w:color="auto"/>
        <w:left w:val="none" w:sz="0" w:space="0" w:color="auto"/>
        <w:bottom w:val="none" w:sz="0" w:space="0" w:color="auto"/>
        <w:right w:val="none" w:sz="0" w:space="0" w:color="auto"/>
      </w:divBdr>
    </w:div>
    <w:div w:id="1207791801">
      <w:bodyDiv w:val="1"/>
      <w:marLeft w:val="0"/>
      <w:marRight w:val="0"/>
      <w:marTop w:val="0"/>
      <w:marBottom w:val="0"/>
      <w:divBdr>
        <w:top w:val="none" w:sz="0" w:space="0" w:color="auto"/>
        <w:left w:val="none" w:sz="0" w:space="0" w:color="auto"/>
        <w:bottom w:val="none" w:sz="0" w:space="0" w:color="auto"/>
        <w:right w:val="none" w:sz="0" w:space="0" w:color="auto"/>
      </w:divBdr>
    </w:div>
    <w:div w:id="1305500152">
      <w:bodyDiv w:val="1"/>
      <w:marLeft w:val="0"/>
      <w:marRight w:val="0"/>
      <w:marTop w:val="0"/>
      <w:marBottom w:val="0"/>
      <w:divBdr>
        <w:top w:val="none" w:sz="0" w:space="0" w:color="auto"/>
        <w:left w:val="none" w:sz="0" w:space="0" w:color="auto"/>
        <w:bottom w:val="none" w:sz="0" w:space="0" w:color="auto"/>
        <w:right w:val="none" w:sz="0" w:space="0" w:color="auto"/>
      </w:divBdr>
    </w:div>
    <w:div w:id="1398742211">
      <w:bodyDiv w:val="1"/>
      <w:marLeft w:val="0"/>
      <w:marRight w:val="0"/>
      <w:marTop w:val="0"/>
      <w:marBottom w:val="0"/>
      <w:divBdr>
        <w:top w:val="none" w:sz="0" w:space="0" w:color="auto"/>
        <w:left w:val="none" w:sz="0" w:space="0" w:color="auto"/>
        <w:bottom w:val="none" w:sz="0" w:space="0" w:color="auto"/>
        <w:right w:val="none" w:sz="0" w:space="0" w:color="auto"/>
      </w:divBdr>
    </w:div>
    <w:div w:id="1446345134">
      <w:bodyDiv w:val="1"/>
      <w:marLeft w:val="0"/>
      <w:marRight w:val="0"/>
      <w:marTop w:val="0"/>
      <w:marBottom w:val="0"/>
      <w:divBdr>
        <w:top w:val="none" w:sz="0" w:space="0" w:color="auto"/>
        <w:left w:val="none" w:sz="0" w:space="0" w:color="auto"/>
        <w:bottom w:val="none" w:sz="0" w:space="0" w:color="auto"/>
        <w:right w:val="none" w:sz="0" w:space="0" w:color="auto"/>
      </w:divBdr>
    </w:div>
    <w:div w:id="1530802758">
      <w:bodyDiv w:val="1"/>
      <w:marLeft w:val="0"/>
      <w:marRight w:val="0"/>
      <w:marTop w:val="0"/>
      <w:marBottom w:val="0"/>
      <w:divBdr>
        <w:top w:val="none" w:sz="0" w:space="0" w:color="auto"/>
        <w:left w:val="none" w:sz="0" w:space="0" w:color="auto"/>
        <w:bottom w:val="none" w:sz="0" w:space="0" w:color="auto"/>
        <w:right w:val="none" w:sz="0" w:space="0" w:color="auto"/>
      </w:divBdr>
    </w:div>
    <w:div w:id="1813866746">
      <w:bodyDiv w:val="1"/>
      <w:marLeft w:val="0"/>
      <w:marRight w:val="0"/>
      <w:marTop w:val="0"/>
      <w:marBottom w:val="0"/>
      <w:divBdr>
        <w:top w:val="none" w:sz="0" w:space="0" w:color="auto"/>
        <w:left w:val="none" w:sz="0" w:space="0" w:color="auto"/>
        <w:bottom w:val="none" w:sz="0" w:space="0" w:color="auto"/>
        <w:right w:val="none" w:sz="0" w:space="0" w:color="auto"/>
      </w:divBdr>
    </w:div>
    <w:div w:id="1853298039">
      <w:bodyDiv w:val="1"/>
      <w:marLeft w:val="0"/>
      <w:marRight w:val="0"/>
      <w:marTop w:val="0"/>
      <w:marBottom w:val="0"/>
      <w:divBdr>
        <w:top w:val="none" w:sz="0" w:space="0" w:color="auto"/>
        <w:left w:val="none" w:sz="0" w:space="0" w:color="auto"/>
        <w:bottom w:val="none" w:sz="0" w:space="0" w:color="auto"/>
        <w:right w:val="none" w:sz="0" w:space="0" w:color="auto"/>
      </w:divBdr>
    </w:div>
    <w:div w:id="1863858601">
      <w:bodyDiv w:val="1"/>
      <w:marLeft w:val="0"/>
      <w:marRight w:val="0"/>
      <w:marTop w:val="0"/>
      <w:marBottom w:val="0"/>
      <w:divBdr>
        <w:top w:val="none" w:sz="0" w:space="0" w:color="auto"/>
        <w:left w:val="none" w:sz="0" w:space="0" w:color="auto"/>
        <w:bottom w:val="none" w:sz="0" w:space="0" w:color="auto"/>
        <w:right w:val="none" w:sz="0" w:space="0" w:color="auto"/>
      </w:divBdr>
    </w:div>
    <w:div w:id="2004778428">
      <w:bodyDiv w:val="1"/>
      <w:marLeft w:val="0"/>
      <w:marRight w:val="0"/>
      <w:marTop w:val="0"/>
      <w:marBottom w:val="0"/>
      <w:divBdr>
        <w:top w:val="none" w:sz="0" w:space="0" w:color="auto"/>
        <w:left w:val="none" w:sz="0" w:space="0" w:color="auto"/>
        <w:bottom w:val="none" w:sz="0" w:space="0" w:color="auto"/>
        <w:right w:val="none" w:sz="0" w:space="0" w:color="auto"/>
      </w:divBdr>
    </w:div>
    <w:div w:id="2047025066">
      <w:bodyDiv w:val="1"/>
      <w:marLeft w:val="0"/>
      <w:marRight w:val="0"/>
      <w:marTop w:val="0"/>
      <w:marBottom w:val="0"/>
      <w:divBdr>
        <w:top w:val="none" w:sz="0" w:space="0" w:color="auto"/>
        <w:left w:val="none" w:sz="0" w:space="0" w:color="auto"/>
        <w:bottom w:val="none" w:sz="0" w:space="0" w:color="auto"/>
        <w:right w:val="none" w:sz="0" w:space="0" w:color="auto"/>
      </w:divBdr>
    </w:div>
    <w:div w:id="206302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utra.oslpr.org/medidas/1542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4SQX5P7U7WPY-958212181-821646</_dlc_DocId>
    <_dlc_DocIdUrl xmlns="c890fddd-4e87-4e08-8b51-545f2a3f7b06">
      <Url>https://senpr.sharepoint.com/sites/obralegislativa/_layouts/15/DocIdRedir.aspx?ID=4SQX5P7U7WPY-958212181-821646</Url>
      <Description>4SQX5P7U7WPY-958212181-821646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F4C5C67-1ED5-4FA7-8DB2-AEBCCA6DDB4F}"/>
</file>

<file path=customXml/itemProps2.xml><?xml version="1.0" encoding="utf-8"?>
<ds:datastoreItem xmlns:ds="http://schemas.openxmlformats.org/officeDocument/2006/customXml" ds:itemID="{33F61151-50B5-46AB-9478-60E11D73E8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4.xml><?xml version="1.0" encoding="utf-8"?>
<ds:datastoreItem xmlns:ds="http://schemas.openxmlformats.org/officeDocument/2006/customXml" ds:itemID="{39038092-7662-4F44-89EF-5418EB439C87}">
  <ds:schemaRefs>
    <ds:schemaRef ds:uri="http://schemas.microsoft.com/sharepoint/v3/contenttype/forms"/>
  </ds:schemaRefs>
</ds:datastoreItem>
</file>

<file path=customXml/itemProps5.xml><?xml version="1.0" encoding="utf-8"?>
<ds:datastoreItem xmlns:ds="http://schemas.openxmlformats.org/officeDocument/2006/customXml" ds:itemID="{5DEC8EC9-B1C0-44B2-8914-717B9AE06C8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602</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2025-11-17T16:14:00Z</cp:lastPrinted>
  <dcterms:created xsi:type="dcterms:W3CDTF">2025-11-18T18:33:00Z</dcterms:created>
  <dcterms:modified xsi:type="dcterms:W3CDTF">2025-11-18T18:33:00Z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af1706ae-6aaf-4039-b922-4b2ab052bec5</vt:lpwstr>
  </property>
  <property fmtid="{D5CDD505-2E9C-101B-9397-08002B2CF9AE}" pid="4" name="MediaServiceImageTags">
    <vt:lpwstr/>
  </property>
</Properties>
</file>