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087A" w14:textId="77777777" w:rsidR="00304ACE" w:rsidRPr="009B753B" w:rsidRDefault="003E0277" w:rsidP="00BC63DB">
      <w:pPr>
        <w:jc w:val="center"/>
        <w:rPr>
          <w:rFonts w:ascii="Book Antiqua" w:hAnsi="Book Antiqua"/>
          <w:bCs/>
          <w:color w:val="000000" w:themeColor="text1"/>
          <w:sz w:val="28"/>
          <w:szCs w:val="28"/>
        </w:rPr>
      </w:pPr>
      <w:r w:rsidRPr="009B753B">
        <w:rPr>
          <w:rFonts w:ascii="Book Antiqua" w:hAnsi="Book Antiqua"/>
          <w:bCs/>
          <w:color w:val="000000" w:themeColor="text1"/>
          <w:sz w:val="28"/>
          <w:szCs w:val="28"/>
        </w:rPr>
        <w:t>GOBIERNO DE PUERTO RICO</w:t>
      </w:r>
    </w:p>
    <w:p w14:paraId="10EA09CA" w14:textId="77777777" w:rsidR="00304ACE" w:rsidRPr="009B753B" w:rsidRDefault="00304ACE" w:rsidP="00BC63DB">
      <w:pPr>
        <w:jc w:val="center"/>
        <w:rPr>
          <w:rFonts w:ascii="Book Antiqua" w:hAnsi="Book Antiqua"/>
          <w:color w:val="000000" w:themeColor="text1"/>
        </w:rPr>
      </w:pPr>
    </w:p>
    <w:p w14:paraId="7D863936" w14:textId="77777777" w:rsidR="00304ACE" w:rsidRPr="009B753B" w:rsidRDefault="003E0277" w:rsidP="00BC63DB">
      <w:pPr>
        <w:pStyle w:val="Title2"/>
        <w:rPr>
          <w:rFonts w:ascii="Book Antiqua" w:hAnsi="Book Antiqua"/>
          <w:color w:val="000000" w:themeColor="text1"/>
        </w:rPr>
      </w:pPr>
      <w:r w:rsidRPr="009B753B">
        <w:rPr>
          <w:rFonts w:ascii="Book Antiqua" w:hAnsi="Book Antiqua"/>
          <w:color w:val="000000" w:themeColor="text1"/>
        </w:rPr>
        <w:t xml:space="preserve">20 </w:t>
      </w:r>
      <w:r w:rsidRPr="009B753B">
        <w:rPr>
          <w:rFonts w:ascii="Book Antiqua" w:hAnsi="Book Antiqua"/>
          <w:color w:val="000000" w:themeColor="text1"/>
          <w:vertAlign w:val="superscript"/>
        </w:rPr>
        <w:t>ma.</w:t>
      </w:r>
      <w:r w:rsidRPr="009B753B">
        <w:rPr>
          <w:rFonts w:ascii="Book Antiqua" w:hAnsi="Book Antiqua"/>
          <w:color w:val="000000" w:themeColor="text1"/>
        </w:rPr>
        <w:tab/>
        <w:t>Asamblea</w:t>
      </w:r>
      <w:r w:rsidRPr="009B753B">
        <w:rPr>
          <w:rFonts w:ascii="Book Antiqua" w:hAnsi="Book Antiqua"/>
          <w:color w:val="000000" w:themeColor="text1"/>
        </w:rPr>
        <w:tab/>
        <w:t>1</w:t>
      </w:r>
      <w:r w:rsidRPr="009B753B">
        <w:rPr>
          <w:rFonts w:ascii="Book Antiqua" w:hAnsi="Book Antiqua"/>
          <w:color w:val="000000" w:themeColor="text1"/>
          <w:vertAlign w:val="superscript"/>
        </w:rPr>
        <w:t>ra.</w:t>
      </w:r>
      <w:r w:rsidRPr="009B753B">
        <w:rPr>
          <w:rFonts w:ascii="Book Antiqua" w:hAnsi="Book Antiqua"/>
          <w:color w:val="000000" w:themeColor="text1"/>
          <w:vertAlign w:val="superscript"/>
        </w:rPr>
        <w:tab/>
      </w:r>
      <w:r w:rsidRPr="009B753B">
        <w:rPr>
          <w:rFonts w:ascii="Book Antiqua" w:hAnsi="Book Antiqua"/>
          <w:color w:val="000000" w:themeColor="text1"/>
        </w:rPr>
        <w:t>Sesión</w:t>
      </w:r>
    </w:p>
    <w:p w14:paraId="214DBA9D" w14:textId="77777777" w:rsidR="00304ACE" w:rsidRPr="009B753B" w:rsidRDefault="003E0277" w:rsidP="00BC63DB">
      <w:pPr>
        <w:pStyle w:val="Title2"/>
        <w:rPr>
          <w:rFonts w:ascii="Book Antiqua" w:hAnsi="Book Antiqua"/>
          <w:color w:val="000000" w:themeColor="text1"/>
        </w:rPr>
      </w:pPr>
      <w:r w:rsidRPr="009B753B">
        <w:rPr>
          <w:rFonts w:ascii="Book Antiqua" w:hAnsi="Book Antiqua"/>
          <w:color w:val="000000" w:themeColor="text1"/>
        </w:rPr>
        <w:tab/>
        <w:t>Legislativa</w:t>
      </w:r>
      <w:r w:rsidRPr="009B753B">
        <w:rPr>
          <w:rFonts w:ascii="Book Antiqua" w:hAnsi="Book Antiqua"/>
          <w:color w:val="000000" w:themeColor="text1"/>
        </w:rPr>
        <w:tab/>
      </w:r>
      <w:r w:rsidRPr="009B753B">
        <w:rPr>
          <w:rFonts w:ascii="Book Antiqua" w:hAnsi="Book Antiqua"/>
          <w:color w:val="000000" w:themeColor="text1"/>
        </w:rPr>
        <w:tab/>
        <w:t>Ordinaria</w:t>
      </w:r>
    </w:p>
    <w:p w14:paraId="3DFCE563" w14:textId="77777777" w:rsidR="00304ACE" w:rsidRPr="009B753B" w:rsidRDefault="00304ACE" w:rsidP="00BC63DB">
      <w:pPr>
        <w:rPr>
          <w:rFonts w:ascii="Book Antiqua" w:hAnsi="Book Antiqua"/>
          <w:color w:val="000000" w:themeColor="text1"/>
        </w:rPr>
      </w:pPr>
    </w:p>
    <w:p w14:paraId="29F8E454" w14:textId="77777777" w:rsidR="00304ACE" w:rsidRPr="009B753B" w:rsidRDefault="003E0277" w:rsidP="00BC63DB">
      <w:pPr>
        <w:jc w:val="center"/>
        <w:rPr>
          <w:rFonts w:ascii="Book Antiqua" w:hAnsi="Book Antiqua"/>
          <w:b/>
          <w:color w:val="000000" w:themeColor="text1"/>
          <w:sz w:val="36"/>
        </w:rPr>
      </w:pPr>
      <w:r w:rsidRPr="009B753B">
        <w:rPr>
          <w:rFonts w:ascii="Book Antiqua" w:hAnsi="Book Antiqua"/>
          <w:b/>
          <w:color w:val="000000" w:themeColor="text1"/>
          <w:sz w:val="36"/>
        </w:rPr>
        <w:t>CÁMARA DE REPRESENTANTES</w:t>
      </w:r>
    </w:p>
    <w:p w14:paraId="53F635CE" w14:textId="77777777" w:rsidR="00BC63DB" w:rsidRPr="009B753B" w:rsidRDefault="00BC63DB" w:rsidP="00BC63DB">
      <w:pPr>
        <w:jc w:val="center"/>
        <w:rPr>
          <w:rFonts w:ascii="Book Antiqua" w:hAnsi="Book Antiqua"/>
          <w:b/>
          <w:color w:val="000000" w:themeColor="text1"/>
          <w:szCs w:val="24"/>
        </w:rPr>
      </w:pPr>
    </w:p>
    <w:p w14:paraId="4C5C2A6E" w14:textId="73A5F8A2" w:rsidR="00304ACE" w:rsidRPr="009B753B" w:rsidRDefault="003E0277" w:rsidP="00BC63DB">
      <w:pPr>
        <w:jc w:val="center"/>
        <w:rPr>
          <w:rFonts w:ascii="Book Antiqua" w:hAnsi="Book Antiqua"/>
          <w:b/>
          <w:color w:val="000000" w:themeColor="text1"/>
          <w:sz w:val="52"/>
        </w:rPr>
      </w:pPr>
      <w:r w:rsidRPr="009B753B">
        <w:rPr>
          <w:rFonts w:ascii="Book Antiqua" w:hAnsi="Book Antiqua"/>
          <w:b/>
          <w:color w:val="000000" w:themeColor="text1"/>
          <w:sz w:val="52"/>
        </w:rPr>
        <w:t xml:space="preserve">P. de la C. </w:t>
      </w:r>
      <w:r w:rsidR="0034727D">
        <w:rPr>
          <w:rFonts w:ascii="Book Antiqua" w:hAnsi="Book Antiqua"/>
          <w:b/>
          <w:color w:val="000000" w:themeColor="text1"/>
          <w:sz w:val="52"/>
        </w:rPr>
        <w:t>428</w:t>
      </w:r>
    </w:p>
    <w:p w14:paraId="6FC9B738" w14:textId="77777777" w:rsidR="00BC63DB" w:rsidRPr="009B753B" w:rsidRDefault="00BC63DB" w:rsidP="00BC63DB">
      <w:pPr>
        <w:jc w:val="center"/>
        <w:rPr>
          <w:rFonts w:ascii="Book Antiqua" w:hAnsi="Book Antiqua"/>
          <w:b/>
          <w:color w:val="000000" w:themeColor="text1"/>
          <w:szCs w:val="24"/>
        </w:rPr>
      </w:pPr>
    </w:p>
    <w:p w14:paraId="06D4957B" w14:textId="66CB7259" w:rsidR="00304ACE" w:rsidRPr="009B753B" w:rsidRDefault="0034727D" w:rsidP="00BC63DB">
      <w:pPr>
        <w:jc w:val="center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20</w:t>
      </w:r>
      <w:r w:rsidR="00BC63DB" w:rsidRPr="009B753B">
        <w:rPr>
          <w:rFonts w:ascii="Book Antiqua" w:hAnsi="Book Antiqua"/>
          <w:color w:val="000000" w:themeColor="text1"/>
        </w:rPr>
        <w:t xml:space="preserve"> DE </w:t>
      </w:r>
      <w:r w:rsidR="001E0B7B" w:rsidRPr="009B753B">
        <w:rPr>
          <w:rFonts w:ascii="Book Antiqua" w:hAnsi="Book Antiqua"/>
          <w:color w:val="000000" w:themeColor="text1"/>
        </w:rPr>
        <w:t>MARZO</w:t>
      </w:r>
      <w:r w:rsidR="00BC63DB" w:rsidRPr="009B753B">
        <w:rPr>
          <w:rFonts w:ascii="Book Antiqua" w:hAnsi="Book Antiqua"/>
          <w:color w:val="000000" w:themeColor="text1"/>
        </w:rPr>
        <w:t xml:space="preserve"> DE 2025</w:t>
      </w:r>
    </w:p>
    <w:p w14:paraId="2B24A417" w14:textId="77777777" w:rsidR="00BC63DB" w:rsidRPr="009B753B" w:rsidRDefault="00BC63DB" w:rsidP="00BC63DB">
      <w:pPr>
        <w:jc w:val="center"/>
        <w:rPr>
          <w:rFonts w:ascii="Book Antiqua" w:hAnsi="Book Antiqua"/>
          <w:color w:val="000000" w:themeColor="text1"/>
        </w:rPr>
      </w:pPr>
    </w:p>
    <w:p w14:paraId="33369623" w14:textId="6FF2B8ED" w:rsidR="00BC63DB" w:rsidRPr="009B753B" w:rsidRDefault="00BC63DB" w:rsidP="00BC63DB">
      <w:pPr>
        <w:ind w:left="810" w:hanging="810"/>
        <w:jc w:val="both"/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</w:pPr>
      <w:r w:rsidRPr="009B753B">
        <w:rPr>
          <w:rFonts w:ascii="Book Antiqua" w:hAnsi="Book Antiqua"/>
          <w:color w:val="000000" w:themeColor="text1"/>
          <w:szCs w:val="24"/>
        </w:rPr>
        <w:t xml:space="preserve">Presentado por el representante </w:t>
      </w:r>
      <w:r w:rsidRPr="009B753B">
        <w:rPr>
          <w:rFonts w:ascii="Book Antiqua" w:hAnsi="Book Antiqua"/>
          <w:i/>
          <w:iCs/>
          <w:color w:val="000000" w:themeColor="text1"/>
          <w:szCs w:val="24"/>
        </w:rPr>
        <w:t xml:space="preserve">Méndez Núñez;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la representante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Lebrón Rodríguez;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los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Peña Ramírez, Torres Zamora, Román López, Aponte Hernández, Carlo Acosta, Charbonier Chinea, Colón Rodríguez;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la representante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del Valle Correa;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los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Estévez Vélez, Franqui Atiles;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las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González Aguayo, González González;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los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Hernández Concepción, Jiménez Torres;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las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Martínez Vázquez, Medina Calderón;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los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Morey Noble, Muriel Sánchez, Navarro Suárez, Nieves, Rosario, Ocasio Ramos, Pacheco Burgos, Parés Otero;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la representante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Peña Dávila;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los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Pérez Cordero, Pérez Ortiz;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las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Pérez Ramírez, Ramos Rivera; </w:t>
      </w:r>
      <w:r w:rsidRPr="009B753B">
        <w:rPr>
          <w:rFonts w:ascii="Book Antiqua" w:eastAsia="Aptos" w:hAnsi="Book Antiqua"/>
          <w:color w:val="000000" w:themeColor="text1"/>
          <w:kern w:val="2"/>
          <w:szCs w:val="24"/>
          <w14:ligatures w14:val="standardContextual"/>
        </w:rPr>
        <w:t>los representantes</w:t>
      </w:r>
      <w:r w:rsidRPr="009B753B">
        <w:rPr>
          <w:rFonts w:ascii="Book Antiqua" w:eastAsia="Aptos" w:hAnsi="Book Antiqua"/>
          <w:i/>
          <w:iCs/>
          <w:color w:val="000000" w:themeColor="text1"/>
          <w:kern w:val="2"/>
          <w:szCs w:val="24"/>
          <w14:ligatures w14:val="standardContextual"/>
        </w:rPr>
        <w:t xml:space="preserve"> Robles Rivera, Rodríguez Aguiló, Rodríguez Torres, Roque Gracia, Sanabria Colón y Santiago Guzmán</w:t>
      </w:r>
    </w:p>
    <w:p w14:paraId="528A0F51" w14:textId="77777777" w:rsidR="00BC63DB" w:rsidRPr="009B753B" w:rsidRDefault="00BC63DB" w:rsidP="00BC63DB">
      <w:pPr>
        <w:ind w:left="720" w:hanging="630"/>
        <w:jc w:val="both"/>
        <w:rPr>
          <w:rFonts w:ascii="Book Antiqua" w:hAnsi="Book Antiqua"/>
          <w:i/>
          <w:iCs/>
          <w:color w:val="000000" w:themeColor="text1"/>
        </w:rPr>
      </w:pPr>
    </w:p>
    <w:p w14:paraId="62A5A451" w14:textId="2637586D" w:rsidR="00304ACE" w:rsidRPr="009B753B" w:rsidRDefault="003E0277" w:rsidP="00BC63DB">
      <w:pPr>
        <w:jc w:val="center"/>
        <w:rPr>
          <w:rFonts w:ascii="Book Antiqua" w:hAnsi="Book Antiqua"/>
          <w:iCs/>
          <w:color w:val="000000" w:themeColor="text1"/>
          <w:szCs w:val="24"/>
        </w:rPr>
      </w:pPr>
      <w:r w:rsidRPr="009B753B">
        <w:rPr>
          <w:rFonts w:ascii="Book Antiqua" w:hAnsi="Book Antiqua"/>
          <w:iCs/>
          <w:color w:val="000000" w:themeColor="text1"/>
        </w:rPr>
        <w:t xml:space="preserve">Referido a </w:t>
      </w:r>
      <w:r w:rsidR="00366C55">
        <w:rPr>
          <w:rFonts w:ascii="Book Antiqua" w:hAnsi="Book Antiqua"/>
          <w:iCs/>
          <w:color w:val="000000" w:themeColor="text1"/>
        </w:rPr>
        <w:t xml:space="preserve">la </w:t>
      </w:r>
      <w:proofErr w:type="spellStart"/>
      <w:r w:rsidR="00366C55">
        <w:rPr>
          <w:rFonts w:ascii="Book Antiqua" w:hAnsi="Book Antiqua"/>
          <w:iCs/>
          <w:color w:val="000000" w:themeColor="text1"/>
        </w:rPr>
        <w:t>Comisi</w:t>
      </w:r>
      <w:r w:rsidR="00366C55" w:rsidRPr="00D77C63">
        <w:rPr>
          <w:rFonts w:ascii="Book Antiqua" w:hAnsi="Book Antiqua"/>
          <w:lang w:val="es-ES"/>
        </w:rPr>
        <w:t>ó</w:t>
      </w:r>
      <w:r w:rsidR="00366C55">
        <w:rPr>
          <w:rFonts w:ascii="Book Antiqua" w:hAnsi="Book Antiqua"/>
          <w:lang w:val="es-ES"/>
        </w:rPr>
        <w:t>n</w:t>
      </w:r>
      <w:proofErr w:type="spellEnd"/>
      <w:r w:rsidR="00366C55">
        <w:rPr>
          <w:rFonts w:ascii="Book Antiqua" w:hAnsi="Book Antiqua"/>
          <w:lang w:val="es-ES"/>
        </w:rPr>
        <w:t xml:space="preserve"> de Banca, Seguros y Comercio</w:t>
      </w:r>
    </w:p>
    <w:p w14:paraId="079DA3A0" w14:textId="77777777" w:rsidR="00304ACE" w:rsidRPr="009B753B" w:rsidRDefault="00304ACE" w:rsidP="00BC63DB">
      <w:pPr>
        <w:jc w:val="both"/>
        <w:rPr>
          <w:rFonts w:ascii="Book Antiqua" w:hAnsi="Book Antiqua"/>
          <w:color w:val="000000" w:themeColor="text1"/>
        </w:rPr>
      </w:pPr>
    </w:p>
    <w:p w14:paraId="459AEFB1" w14:textId="77777777" w:rsidR="00304ACE" w:rsidRPr="009B753B" w:rsidRDefault="003E0277" w:rsidP="00BC63DB">
      <w:pPr>
        <w:jc w:val="center"/>
        <w:rPr>
          <w:rFonts w:ascii="Book Antiqua" w:hAnsi="Book Antiqua"/>
          <w:b/>
          <w:color w:val="000000" w:themeColor="text1"/>
          <w:sz w:val="28"/>
          <w:szCs w:val="28"/>
        </w:rPr>
      </w:pPr>
      <w:r w:rsidRPr="009B753B">
        <w:rPr>
          <w:rFonts w:ascii="Book Antiqua" w:hAnsi="Book Antiqua"/>
          <w:b/>
          <w:color w:val="000000" w:themeColor="text1"/>
          <w:sz w:val="28"/>
          <w:szCs w:val="28"/>
        </w:rPr>
        <w:t>LEY</w:t>
      </w:r>
    </w:p>
    <w:p w14:paraId="63EA267A" w14:textId="77777777" w:rsidR="00304ACE" w:rsidRPr="009B753B" w:rsidRDefault="00304ACE" w:rsidP="00BC63DB">
      <w:pPr>
        <w:jc w:val="both"/>
        <w:rPr>
          <w:rFonts w:ascii="Book Antiqua" w:hAnsi="Book Antiqua"/>
          <w:color w:val="000000" w:themeColor="text1"/>
        </w:rPr>
      </w:pPr>
    </w:p>
    <w:p w14:paraId="41033F6F" w14:textId="77777777" w:rsidR="00AF3C95" w:rsidRPr="008B5572" w:rsidRDefault="003E0277" w:rsidP="00AF3C95">
      <w:pPr>
        <w:ind w:left="720" w:hanging="720"/>
        <w:jc w:val="both"/>
        <w:rPr>
          <w:rFonts w:ascii="Book Antiqua" w:hAnsi="Book Antiqua"/>
          <w:snapToGrid w:val="0"/>
          <w:szCs w:val="24"/>
        </w:rPr>
      </w:pPr>
      <w:r w:rsidRPr="009B753B">
        <w:rPr>
          <w:rFonts w:ascii="Book Antiqua" w:eastAsia="Book Antiqua" w:hAnsi="Book Antiqua" w:cs="Book Antiqua"/>
          <w:color w:val="000000" w:themeColor="text1"/>
          <w:szCs w:val="24"/>
        </w:rPr>
        <w:t xml:space="preserve">Para </w:t>
      </w:r>
      <w:r w:rsidR="00AF3C95" w:rsidRPr="008B5572">
        <w:rPr>
          <w:rFonts w:ascii="Book Antiqua" w:hAnsi="Book Antiqua"/>
          <w:snapToGrid w:val="0"/>
          <w:szCs w:val="24"/>
        </w:rPr>
        <w:t>añadir un nuevo inciso (24) del Artículo 61.020; renumerar los subsiguientes incisos y añadir un nuevo Artículo 61.051 a la Ley Núm. 77 del 19 de junio de 1957, según enmendada, conocida como “Código de Seguros de Puerto Rico”, para crear las Subclases 3-M, 4-M y 5-M, aplicables a los aseguradores internacionales que suscriban o asuman riesgos en reaseguro residentes, localizados o a ejecutarse en otro estado o territorio de Estados Unidos; alinear los parámetros de regulación bajo los cuales estas subclases podrán hacer negocios de seguros en otro estado o territorio de Estados Unidos conforme los estándares uniformes de regulación de solvencia financiera promulgados por la “</w:t>
      </w:r>
      <w:proofErr w:type="spellStart"/>
      <w:r w:rsidR="00AF3C95" w:rsidRPr="008B5572">
        <w:rPr>
          <w:rFonts w:ascii="Book Antiqua" w:hAnsi="Book Antiqua"/>
          <w:snapToGrid w:val="0"/>
          <w:szCs w:val="24"/>
        </w:rPr>
        <w:t>National</w:t>
      </w:r>
      <w:proofErr w:type="spellEnd"/>
      <w:r w:rsidR="00AF3C95" w:rsidRPr="008B5572">
        <w:rPr>
          <w:rFonts w:ascii="Book Antiqua" w:hAnsi="Book Antiqua"/>
          <w:snapToGrid w:val="0"/>
          <w:szCs w:val="24"/>
        </w:rPr>
        <w:t xml:space="preserve"> </w:t>
      </w:r>
      <w:proofErr w:type="spellStart"/>
      <w:r w:rsidR="00AF3C95" w:rsidRPr="008B5572">
        <w:rPr>
          <w:rFonts w:ascii="Book Antiqua" w:hAnsi="Book Antiqua"/>
          <w:snapToGrid w:val="0"/>
          <w:szCs w:val="24"/>
        </w:rPr>
        <w:t>Association</w:t>
      </w:r>
      <w:proofErr w:type="spellEnd"/>
      <w:r w:rsidR="00AF3C95" w:rsidRPr="008B5572">
        <w:rPr>
          <w:rFonts w:ascii="Book Antiqua" w:hAnsi="Book Antiqua"/>
          <w:snapToGrid w:val="0"/>
          <w:szCs w:val="24"/>
        </w:rPr>
        <w:t xml:space="preserve"> </w:t>
      </w:r>
      <w:proofErr w:type="spellStart"/>
      <w:r w:rsidR="00AF3C95" w:rsidRPr="008B5572">
        <w:rPr>
          <w:rFonts w:ascii="Book Antiqua" w:hAnsi="Book Antiqua"/>
          <w:snapToGrid w:val="0"/>
          <w:szCs w:val="24"/>
        </w:rPr>
        <w:t>of</w:t>
      </w:r>
      <w:proofErr w:type="spellEnd"/>
      <w:r w:rsidR="00AF3C95" w:rsidRPr="008B5572">
        <w:rPr>
          <w:rFonts w:ascii="Book Antiqua" w:hAnsi="Book Antiqua"/>
          <w:snapToGrid w:val="0"/>
          <w:szCs w:val="24"/>
        </w:rPr>
        <w:t xml:space="preserve"> </w:t>
      </w:r>
      <w:proofErr w:type="spellStart"/>
      <w:r w:rsidR="00AF3C95" w:rsidRPr="008B5572">
        <w:rPr>
          <w:rFonts w:ascii="Book Antiqua" w:hAnsi="Book Antiqua"/>
          <w:snapToGrid w:val="0"/>
          <w:szCs w:val="24"/>
        </w:rPr>
        <w:t>Insurance</w:t>
      </w:r>
      <w:proofErr w:type="spellEnd"/>
      <w:r w:rsidR="00AF3C95" w:rsidRPr="008B5572">
        <w:rPr>
          <w:rFonts w:ascii="Book Antiqua" w:hAnsi="Book Antiqua"/>
          <w:snapToGrid w:val="0"/>
          <w:szCs w:val="24"/>
        </w:rPr>
        <w:t xml:space="preserve"> </w:t>
      </w:r>
      <w:proofErr w:type="spellStart"/>
      <w:r w:rsidR="00AF3C95" w:rsidRPr="008B5572">
        <w:rPr>
          <w:rFonts w:ascii="Book Antiqua" w:hAnsi="Book Antiqua"/>
          <w:snapToGrid w:val="0"/>
          <w:szCs w:val="24"/>
        </w:rPr>
        <w:t>Commissioners</w:t>
      </w:r>
      <w:proofErr w:type="spellEnd"/>
      <w:r w:rsidR="00AF3C95" w:rsidRPr="008B5572">
        <w:rPr>
          <w:rFonts w:ascii="Book Antiqua" w:hAnsi="Book Antiqua"/>
          <w:snapToGrid w:val="0"/>
          <w:szCs w:val="24"/>
        </w:rPr>
        <w:t xml:space="preserve">” (NAIC); y para otros fines relacionados.     </w:t>
      </w:r>
    </w:p>
    <w:p w14:paraId="3FD8609E" w14:textId="34A5593F" w:rsidR="00304ACE" w:rsidRPr="009B753B" w:rsidRDefault="00304ACE" w:rsidP="00AF3C95">
      <w:pPr>
        <w:ind w:left="540" w:hanging="540"/>
        <w:jc w:val="both"/>
        <w:rPr>
          <w:rFonts w:ascii="Book Antiqua" w:hAnsi="Book Antiqua"/>
          <w:color w:val="000000" w:themeColor="text1"/>
        </w:rPr>
      </w:pPr>
    </w:p>
    <w:p w14:paraId="6AFF6909" w14:textId="77777777" w:rsidR="00304ACE" w:rsidRPr="009B753B" w:rsidRDefault="003E0277" w:rsidP="00BC63DB">
      <w:pPr>
        <w:jc w:val="center"/>
        <w:rPr>
          <w:rFonts w:ascii="Book Antiqua" w:hAnsi="Book Antiqua"/>
          <w:bCs/>
          <w:color w:val="000000" w:themeColor="text1"/>
          <w:szCs w:val="24"/>
        </w:rPr>
      </w:pPr>
      <w:r w:rsidRPr="009B753B">
        <w:rPr>
          <w:rFonts w:ascii="Book Antiqua" w:hAnsi="Book Antiqua"/>
          <w:bCs/>
          <w:color w:val="000000" w:themeColor="text1"/>
          <w:szCs w:val="24"/>
        </w:rPr>
        <w:t>EXPOSICIÓN DE MOTIVOS</w:t>
      </w:r>
    </w:p>
    <w:p w14:paraId="3A2C95B8" w14:textId="77777777" w:rsidR="00BC63DB" w:rsidRPr="009B753B" w:rsidRDefault="00BC63DB" w:rsidP="00BC63DB">
      <w:pPr>
        <w:jc w:val="center"/>
        <w:rPr>
          <w:rFonts w:ascii="Book Antiqua" w:hAnsi="Book Antiqua"/>
          <w:b/>
          <w:color w:val="000000" w:themeColor="text1"/>
          <w:szCs w:val="24"/>
        </w:rPr>
      </w:pPr>
    </w:p>
    <w:p w14:paraId="17EE8D80" w14:textId="77777777" w:rsidR="00AF3C95" w:rsidRDefault="00AF3C95" w:rsidP="00AF3C95">
      <w:pPr>
        <w:spacing w:before="120"/>
        <w:jc w:val="both"/>
        <w:rPr>
          <w:rFonts w:ascii="Book Antiqua" w:eastAsia="Book Antiqua" w:hAnsi="Book Antiqua" w:cs="Book Antiqua"/>
          <w:color w:val="000000"/>
        </w:rPr>
      </w:pPr>
      <w:r w:rsidRPr="008B5572">
        <w:rPr>
          <w:rFonts w:ascii="Book Antiqua" w:eastAsia="Book Antiqua" w:hAnsi="Book Antiqua" w:cs="Book Antiqua"/>
          <w:color w:val="000000"/>
        </w:rPr>
        <w:t xml:space="preserve">El Centro Internacional de Seguros establecido por la Ley 399-2004, según enmendada, y cuyas disposiciones fueron adoptadas al amparo del Capítulo 61 del Código de Seguros </w:t>
      </w:r>
      <w:r w:rsidRPr="008B5572">
        <w:rPr>
          <w:rFonts w:ascii="Book Antiqua" w:eastAsia="Book Antiqua" w:hAnsi="Book Antiqua" w:cs="Book Antiqua"/>
          <w:color w:val="000000"/>
        </w:rPr>
        <w:lastRenderedPageBreak/>
        <w:t xml:space="preserve">de Puerto Rico, conforman la base legal bajo la cual un asegurador o reasegurador internacional puede quedar autorizado para exportar seguros y servicios relacionados en los mercados internacionales. La infraestructura de servicios y la manera en que puede ser utilizada el Centro Internacional de Seguros provee una diversidad de planes de operaciones como Asegurador Internacional, Compañía Tenedora, Sucursal, Planes de Activos Segregados y valorización de riesgos. Bajo este esquema único se dispone una serie de incentivos especiales que idean una estructura fiscal favorable para insertar estas entidades y sus empresas tenedoras en el mercado internacional de seguros. </w:t>
      </w:r>
    </w:p>
    <w:p w14:paraId="35B71761" w14:textId="77777777" w:rsidR="00AF3C95" w:rsidRDefault="00AF3C95" w:rsidP="00AF3C95">
      <w:pPr>
        <w:spacing w:before="120"/>
        <w:jc w:val="both"/>
        <w:rPr>
          <w:rFonts w:ascii="Book Antiqua" w:eastAsia="Book Antiqua" w:hAnsi="Book Antiqua" w:cs="Book Antiqua"/>
          <w:color w:val="000000"/>
        </w:rPr>
      </w:pPr>
      <w:r w:rsidRPr="008B5572">
        <w:rPr>
          <w:rFonts w:ascii="Book Antiqua" w:eastAsia="Book Antiqua" w:hAnsi="Book Antiqua" w:cs="Book Antiqua"/>
          <w:color w:val="000000"/>
        </w:rPr>
        <w:t>El sector de seguros internacionales en los pasados años ha experimentado una tendencia positiva de crecimiento. La participación de aseguradores y reaseguradores internacionales en el Centro Internacional de Seguros alcanza un total de 34 aseguradores autorizados, con activos que aumentaron de $6,900 millones en 2022 a $10,479 millones en 2023, principalmente por la relocalización de negocios de países extranjeros como Bermudas e Islas Caimán hacia el Centro Internacional de Seguros en Puerto Rico. El total de primas suscritas y asumidas por aseguradores internacionales correspondiente al año 2023 fue de $1,316 millones, experimentando un crecimiento sostenido en los últimos años.</w:t>
      </w:r>
    </w:p>
    <w:p w14:paraId="4C08C0B3" w14:textId="77777777" w:rsidR="00AF3C95" w:rsidRPr="008B5572" w:rsidRDefault="00AF3C95" w:rsidP="00AF3C95">
      <w:pPr>
        <w:spacing w:before="120"/>
        <w:jc w:val="both"/>
        <w:rPr>
          <w:rFonts w:ascii="Book Antiqua" w:eastAsia="Book Antiqua" w:hAnsi="Book Antiqua" w:cs="Book Antiqua"/>
          <w:color w:val="000000"/>
        </w:rPr>
      </w:pPr>
      <w:r w:rsidRPr="008B5572">
        <w:rPr>
          <w:rFonts w:ascii="Book Antiqua" w:eastAsia="Book Antiqua" w:hAnsi="Book Antiqua" w:cs="Book Antiqua"/>
          <w:color w:val="000000"/>
        </w:rPr>
        <w:t xml:space="preserve">El Centro Internacional de Seguros de por sí tiene un gran potencial en términos de crecimiento económico para Puerto Rico, por lo que, en aras de maximizarlo y continuar desarrollándolo, debemos de fomentar un mercado internacional de seguros estable, competitivo y confiable. Esta visión requiere estar centrado en promover el crecimiento del mercado, proteger a los consumidores, aumentar la capacidad de sus operaciones y fortalecer la resiliencia financiera, lo que en última instancia respalda su crecimiento económico.  </w:t>
      </w:r>
    </w:p>
    <w:p w14:paraId="06D5726A" w14:textId="77777777" w:rsidR="00AF3C95" w:rsidRDefault="00AF3C95" w:rsidP="00AF3C95">
      <w:pPr>
        <w:jc w:val="both"/>
        <w:rPr>
          <w:rFonts w:ascii="Book Antiqua" w:eastAsia="Book Antiqua" w:hAnsi="Book Antiqua" w:cs="Book Antiqua"/>
          <w:color w:val="000000"/>
        </w:rPr>
      </w:pPr>
    </w:p>
    <w:p w14:paraId="459308C0" w14:textId="58ACC3AB" w:rsidR="00AF3C95" w:rsidRPr="008B5572" w:rsidRDefault="00AF3C95" w:rsidP="00AF3C95">
      <w:pPr>
        <w:jc w:val="both"/>
        <w:rPr>
          <w:rFonts w:ascii="Book Antiqua" w:eastAsia="Book Antiqua" w:hAnsi="Book Antiqua" w:cs="Book Antiqua"/>
          <w:color w:val="000000"/>
        </w:rPr>
      </w:pPr>
      <w:r w:rsidRPr="008B5572">
        <w:rPr>
          <w:rFonts w:ascii="Book Antiqua" w:eastAsia="Book Antiqua" w:hAnsi="Book Antiqua" w:cs="Book Antiqua"/>
          <w:color w:val="000000"/>
        </w:rPr>
        <w:t xml:space="preserve">Las operaciones del Centro Internacional de Seguros están basadas en disposiciones legales separadas y distintas a la </w:t>
      </w:r>
      <w:r w:rsidR="00B6103B">
        <w:rPr>
          <w:rFonts w:ascii="Book Antiqua" w:eastAsia="Book Antiqua" w:hAnsi="Book Antiqua" w:cs="Book Antiqua"/>
          <w:color w:val="000000"/>
        </w:rPr>
        <w:t>L</w:t>
      </w:r>
      <w:r w:rsidRPr="008B5572">
        <w:rPr>
          <w:rFonts w:ascii="Book Antiqua" w:eastAsia="Book Antiqua" w:hAnsi="Book Antiqua" w:cs="Book Antiqua"/>
          <w:color w:val="000000"/>
        </w:rPr>
        <w:t>ey del Código de Seguros por lo que los aseguradores y reaseguradores internacional operan, con excepciones limitadas, independientemente de las disposiciones generales del Código de Seguros a las que están sujetos los aseguradores locales y aseguradores de los estados. Este tratamiento especial regulatorio crea incompatibilidad regulatoria en cuanto a los parámetros de regulación existentes en los estados y territorios de Estados Unidos, lo que dificulta a los aseguradores y reaseguradores internacionales lograr expandir sus actividades de negocios de seguros en el mercado estadounidense. Claramente el interés de potencializar el desarrollo del Centro Internacional de Seguros nos lleva a la necesidad de alinear nuestra </w:t>
      </w:r>
      <w:r w:rsidR="00B6103B">
        <w:rPr>
          <w:rFonts w:ascii="Book Antiqua" w:eastAsia="Book Antiqua" w:hAnsi="Book Antiqua" w:cs="Book Antiqua"/>
          <w:color w:val="000000"/>
        </w:rPr>
        <w:t>L</w:t>
      </w:r>
      <w:r w:rsidRPr="008B5572">
        <w:rPr>
          <w:rFonts w:ascii="Book Antiqua" w:eastAsia="Book Antiqua" w:hAnsi="Book Antiqua" w:cs="Book Antiqua"/>
          <w:color w:val="000000"/>
        </w:rPr>
        <w:t xml:space="preserve">ey a la par con el resto de los estados y territorios de Estados Unidos para facilitar la integración y expansión de los aseguradores y reaseguradores internacionales en el mercado estadounidense. </w:t>
      </w:r>
    </w:p>
    <w:p w14:paraId="34C38917" w14:textId="77777777" w:rsidR="00AF3C95" w:rsidRDefault="00AF3C95" w:rsidP="00AF3C95">
      <w:pPr>
        <w:jc w:val="both"/>
        <w:rPr>
          <w:rFonts w:ascii="Book Antiqua" w:eastAsia="Book Antiqua" w:hAnsi="Book Antiqua" w:cs="Book Antiqua"/>
          <w:color w:val="000000"/>
        </w:rPr>
      </w:pPr>
    </w:p>
    <w:p w14:paraId="4C6EFAF1" w14:textId="77777777" w:rsidR="00AF3C95" w:rsidRPr="008B5572" w:rsidRDefault="00AF3C95" w:rsidP="00AF3C95">
      <w:pPr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eastAsia="Book Antiqua" w:hAnsi="Book Antiqua" w:cs="Book Antiqua"/>
          <w:color w:val="000000"/>
        </w:rPr>
        <w:t xml:space="preserve">En la industria de seguros nuestra singular relación con Estados Unidos a través de la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</w:rPr>
        <w:t>National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</w:rPr>
        <w:t>Association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</w:rPr>
        <w:t>of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</w:rPr>
        <w:t>Insurance</w:t>
      </w:r>
      <w:proofErr w:type="spellEnd"/>
      <w:r w:rsidRPr="008B5572">
        <w:rPr>
          <w:rFonts w:ascii="Book Antiqua" w:eastAsia="Book Antiqua" w:hAnsi="Book Antiqua" w:cs="Book Antiqua"/>
          <w:i/>
          <w:iCs/>
          <w:color w:val="000000"/>
        </w:rPr>
        <w:t xml:space="preserve"> </w:t>
      </w:r>
      <w:proofErr w:type="spellStart"/>
      <w:r w:rsidRPr="008B5572">
        <w:rPr>
          <w:rFonts w:ascii="Book Antiqua" w:eastAsia="Book Antiqua" w:hAnsi="Book Antiqua" w:cs="Book Antiqua"/>
          <w:i/>
          <w:iCs/>
          <w:color w:val="000000"/>
        </w:rPr>
        <w:t>Commissioners</w:t>
      </w:r>
      <w:proofErr w:type="spellEnd"/>
      <w:r w:rsidRPr="008B5572">
        <w:rPr>
          <w:rFonts w:ascii="Book Antiqua" w:eastAsia="Book Antiqua" w:hAnsi="Book Antiqua" w:cs="Book Antiqua"/>
          <w:color w:val="000000"/>
        </w:rPr>
        <w:t xml:space="preserve"> (NAIC) nos propicia un entorno de regulación uniforme y consistente con los parámetros de solvencia financiera establecidos </w:t>
      </w:r>
      <w:r w:rsidRPr="008B5572">
        <w:rPr>
          <w:rFonts w:ascii="Book Antiqua" w:eastAsia="Book Antiqua" w:hAnsi="Book Antiqua" w:cs="Book Antiqua"/>
          <w:color w:val="000000"/>
        </w:rPr>
        <w:lastRenderedPageBreak/>
        <w:t>en los estados para el negocio de seguros. Los estándares de regulación de</w:t>
      </w:r>
      <w:r w:rsidRPr="008B5572">
        <w:rPr>
          <w:rFonts w:ascii="Book Antiqua" w:hAnsi="Book Antiqua"/>
          <w:snapToGrid w:val="0"/>
          <w:szCs w:val="24"/>
        </w:rPr>
        <w:t xml:space="preserve">l Programa de Acreditación de la NAIC identifican criterios uniformes de solvencia financiera de los aseguradores y fomenta la cooperación entre los reguladores de seguros estatales, lo que mejora la supervisión de las operaciones de aseguradoras </w:t>
      </w:r>
      <w:proofErr w:type="spellStart"/>
      <w:r w:rsidRPr="008B5572">
        <w:rPr>
          <w:rFonts w:ascii="Book Antiqua" w:hAnsi="Book Antiqua"/>
          <w:snapToGrid w:val="0"/>
          <w:szCs w:val="24"/>
        </w:rPr>
        <w:t>multiestatales</w:t>
      </w:r>
      <w:proofErr w:type="spellEnd"/>
      <w:r w:rsidRPr="008B5572">
        <w:rPr>
          <w:rFonts w:ascii="Book Antiqua" w:hAnsi="Book Antiqua"/>
          <w:snapToGrid w:val="0"/>
          <w:szCs w:val="24"/>
        </w:rPr>
        <w:t xml:space="preserve"> y, en última instancia, reduce el costo de las ineficiencias de una pluralidad y variedad de normas regulatorias. Esto sólo funciona si cada jurisdicción acreditada de Estados Unidos adopta e implementa las leyes y regulaciones uniformes requeridas a sus aseguradores nacionales bajo los estándares establecidos por el Programa de Acreditación de la NAIC.</w:t>
      </w:r>
    </w:p>
    <w:p w14:paraId="589DC33F" w14:textId="77777777" w:rsidR="00AF3C95" w:rsidRDefault="00AF3C95" w:rsidP="00AF3C95">
      <w:pPr>
        <w:jc w:val="both"/>
        <w:rPr>
          <w:rFonts w:ascii="Book Antiqua" w:hAnsi="Book Antiqua"/>
          <w:snapToGrid w:val="0"/>
          <w:szCs w:val="24"/>
        </w:rPr>
      </w:pPr>
    </w:p>
    <w:p w14:paraId="37581D9B" w14:textId="18C0871F" w:rsidR="00AF3C95" w:rsidRPr="008B5572" w:rsidRDefault="00AF3C95" w:rsidP="00AF3C95">
      <w:pPr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Es esencial que Puerto Rico continúe caracterizándose por ser una jurisdicción competitiva y respetada y maximizar la acreditación de la NAIC, </w:t>
      </w:r>
      <w:r w:rsidR="00B6103B">
        <w:rPr>
          <w:rFonts w:ascii="Book Antiqua" w:hAnsi="Book Antiqua"/>
          <w:snapToGrid w:val="0"/>
          <w:szCs w:val="24"/>
        </w:rPr>
        <w:t xml:space="preserve">la </w:t>
      </w:r>
      <w:r w:rsidRPr="008B5572">
        <w:rPr>
          <w:rFonts w:ascii="Book Antiqua" w:hAnsi="Book Antiqua"/>
          <w:snapToGrid w:val="0"/>
          <w:szCs w:val="24"/>
        </w:rPr>
        <w:t>cual permite la cooperación interestatal, reduce las redundancias regulatorias y proporciona protecciones básicas para el consumidor y el interés público. El hecho de estar acreditado tiene un componente vital para el desarrollo económico pues garantiza que su marco regulatorio de seguros cumpla con los estándares nacionales - elementos que impactan positivamente el desarrollo económico, fortalece la estabilidad financiera y la confianza del mercado.</w:t>
      </w:r>
    </w:p>
    <w:p w14:paraId="4A74955B" w14:textId="77777777" w:rsidR="00AF3C95" w:rsidRDefault="00AF3C95" w:rsidP="00AF3C95">
      <w:pPr>
        <w:jc w:val="both"/>
        <w:rPr>
          <w:rFonts w:ascii="Book Antiqua" w:hAnsi="Book Antiqua"/>
          <w:snapToGrid w:val="0"/>
          <w:szCs w:val="24"/>
        </w:rPr>
      </w:pPr>
    </w:p>
    <w:p w14:paraId="759299EC" w14:textId="77777777" w:rsidR="00AF3C95" w:rsidRPr="008B5572" w:rsidRDefault="00AF3C95" w:rsidP="00AF3C95">
      <w:pPr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Esta legislación tiene el propósito de establecer los parámetros regulatorios aplicables a un asegurador internacional o reasegurador con Autoridad de Clase 3, 4, 5, o combinación de estas clases, con arreglo al Capítulo 61, y que además suscriba o asuma riesgos en reaseguro residentes, localizados o a ejecutarse en otro estado o territorio de Estados Unidos, sujeto y conforme a la autoridad conferida por el regulador de dicho estado o territorio de Estados Unidos. Los aseguradores o reaseguradores internacionales que gocen de la designación de Subclase 3-M, 4-M </w:t>
      </w:r>
      <w:proofErr w:type="spellStart"/>
      <w:r w:rsidRPr="008B5572">
        <w:rPr>
          <w:rFonts w:ascii="Book Antiqua" w:hAnsi="Book Antiqua"/>
          <w:snapToGrid w:val="0"/>
          <w:szCs w:val="24"/>
        </w:rPr>
        <w:t>ó</w:t>
      </w:r>
      <w:proofErr w:type="spellEnd"/>
      <w:r w:rsidRPr="008B5572">
        <w:rPr>
          <w:rFonts w:ascii="Book Antiqua" w:hAnsi="Book Antiqua"/>
          <w:snapToGrid w:val="0"/>
          <w:szCs w:val="24"/>
        </w:rPr>
        <w:t xml:space="preserve"> 5-M, que se establece en esta legislación, para suscribir riesgos directos y/o reasegurar riesgos residentes, localizados o a ejecutarse en otro estado o territorio de Estados Unidos, estarán sujeto al cumplimiento de las disposiciones de regulación de solvencia financiera consistentes con las normas uniformes del Programa de Acreditación de la NAIC. </w:t>
      </w:r>
    </w:p>
    <w:p w14:paraId="1427F915" w14:textId="77777777" w:rsidR="00AF3C95" w:rsidRDefault="00AF3C95" w:rsidP="00AF3C95">
      <w:pPr>
        <w:jc w:val="both"/>
        <w:rPr>
          <w:rFonts w:ascii="Book Antiqua" w:hAnsi="Book Antiqua"/>
          <w:snapToGrid w:val="0"/>
          <w:szCs w:val="24"/>
        </w:rPr>
      </w:pPr>
    </w:p>
    <w:p w14:paraId="5C8B6854" w14:textId="77777777" w:rsidR="00AF3C95" w:rsidRPr="008B5572" w:rsidRDefault="00AF3C95" w:rsidP="00AF3C95">
      <w:pPr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Con las enmiendas aquí propuestas propiciamos que Puerto Rico sea un destino confiable y respetable para hacer negocios, permitiendo operar en nuestra jurisdicción un mercado en que los aseguradores extiendan sus negocios en y fuera de Puerto Rico y que, a su vez, nuevos aseguradores se interesen por el mercado de Puerto Rico como resultado de la reciprocidad y compatibilidad regulatoria existente con los estados en Estados Unidos. </w:t>
      </w:r>
    </w:p>
    <w:p w14:paraId="6B2E4637" w14:textId="77777777" w:rsidR="00AF3C95" w:rsidRDefault="00AF3C95" w:rsidP="00AF3C95">
      <w:pPr>
        <w:jc w:val="both"/>
        <w:rPr>
          <w:rFonts w:ascii="Book Antiqua" w:hAnsi="Book Antiqua"/>
          <w:snapToGrid w:val="0"/>
          <w:szCs w:val="24"/>
        </w:rPr>
      </w:pPr>
    </w:p>
    <w:p w14:paraId="694894CE" w14:textId="77777777" w:rsidR="00AF3C95" w:rsidRDefault="00AF3C95" w:rsidP="00AF3C95">
      <w:pPr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De esta manera aseguramos que la industria de seguros sea una efectiva y eficiente, que promueva en los aseguradores y consumidores la confiabilidad, el respeto, la efectividad y eficiencia que requiere para mantenerse como una pieza vital de la estabilidad económica y el crecimiento de las inversiones en Puerto Rico. </w:t>
      </w:r>
    </w:p>
    <w:p w14:paraId="368687F9" w14:textId="77777777" w:rsidR="00AF3C95" w:rsidRDefault="00AF3C95" w:rsidP="00AF3C95">
      <w:pPr>
        <w:jc w:val="both"/>
        <w:rPr>
          <w:rFonts w:ascii="Book Antiqua" w:hAnsi="Book Antiqua"/>
          <w:snapToGrid w:val="0"/>
          <w:szCs w:val="24"/>
        </w:rPr>
      </w:pPr>
    </w:p>
    <w:p w14:paraId="44E783AD" w14:textId="77777777" w:rsidR="00AF3C95" w:rsidRPr="008B5572" w:rsidRDefault="00AF3C95" w:rsidP="00AF3C95">
      <w:pPr>
        <w:jc w:val="both"/>
        <w:rPr>
          <w:rFonts w:ascii="Book Antiqua" w:hAnsi="Book Antiqua"/>
          <w:snapToGrid w:val="0"/>
          <w:szCs w:val="24"/>
        </w:rPr>
      </w:pPr>
    </w:p>
    <w:p w14:paraId="59068DBE" w14:textId="626A4160" w:rsidR="00C85921" w:rsidRPr="009B753B" w:rsidRDefault="00A41FCD" w:rsidP="001B0E0C">
      <w:pPr>
        <w:jc w:val="both"/>
        <w:rPr>
          <w:rFonts w:ascii="Book Antiqua" w:eastAsia="Book Antiqua" w:hAnsi="Book Antiqua" w:cs="Book Antiqua"/>
          <w:color w:val="000000" w:themeColor="text1"/>
          <w:szCs w:val="24"/>
        </w:rPr>
      </w:pPr>
      <w:r w:rsidRPr="009B753B"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  <w:r w:rsidR="004A3646" w:rsidRPr="009B753B"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</w:p>
    <w:p w14:paraId="38462C66" w14:textId="77777777" w:rsidR="00304ACE" w:rsidRPr="009B753B" w:rsidRDefault="003E0277" w:rsidP="00BC63DB">
      <w:pPr>
        <w:spacing w:line="480" w:lineRule="auto"/>
        <w:jc w:val="both"/>
        <w:rPr>
          <w:rFonts w:ascii="Book Antiqua" w:hAnsi="Book Antiqua"/>
          <w:bCs/>
          <w:i/>
          <w:iCs/>
          <w:color w:val="000000" w:themeColor="text1"/>
          <w:szCs w:val="24"/>
        </w:rPr>
      </w:pPr>
      <w:r w:rsidRPr="009B753B">
        <w:rPr>
          <w:rFonts w:ascii="Book Antiqua" w:hAnsi="Book Antiqua"/>
          <w:bCs/>
          <w:i/>
          <w:iCs/>
          <w:color w:val="000000" w:themeColor="text1"/>
          <w:szCs w:val="24"/>
        </w:rPr>
        <w:lastRenderedPageBreak/>
        <w:t>DECRÉTASE POR LA ASAMBLEA LEGISLATIVA DE PUERTO RICO:</w:t>
      </w:r>
    </w:p>
    <w:p w14:paraId="75C2E103" w14:textId="77777777" w:rsidR="00304ACE" w:rsidRPr="009B753B" w:rsidRDefault="00304ACE">
      <w:pPr>
        <w:spacing w:line="480" w:lineRule="auto"/>
        <w:jc w:val="both"/>
        <w:rPr>
          <w:rFonts w:ascii="Book Antiqua" w:hAnsi="Book Antiqua"/>
          <w:color w:val="000000" w:themeColor="text1"/>
          <w:szCs w:val="24"/>
        </w:rPr>
        <w:sectPr w:rsidR="00304ACE" w:rsidRPr="009B753B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BC511A9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Sección 1. - Se añade un inciso (24) y se renumeran los subsiguientes incisos del Artículo 61.020 de la Ley Núm. 77 de 19 de junio de 1957, según enmendada, el cual se leerá como sigue:         </w:t>
      </w:r>
    </w:p>
    <w:p w14:paraId="6243592F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“Artículo 61.020. — Definiciones</w:t>
      </w:r>
      <w:r w:rsidRPr="008B5572">
        <w:rPr>
          <w:rFonts w:ascii="Book Antiqua" w:hAnsi="Book Antiqua"/>
          <w:i/>
          <w:iCs/>
          <w:snapToGrid w:val="0"/>
          <w:szCs w:val="24"/>
        </w:rPr>
        <w:t>.</w:t>
      </w:r>
    </w:p>
    <w:p w14:paraId="4CC14347" w14:textId="77777777" w:rsidR="00AF3C95" w:rsidRPr="008B5572" w:rsidRDefault="00AF3C95" w:rsidP="00AF3C95">
      <w:pPr>
        <w:pStyle w:val="ListParagraph"/>
        <w:numPr>
          <w:ilvl w:val="0"/>
          <w:numId w:val="11"/>
        </w:numPr>
        <w:spacing w:line="480" w:lineRule="auto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...</w:t>
      </w:r>
    </w:p>
    <w:p w14:paraId="2D3EE784" w14:textId="77777777" w:rsidR="00AF3C95" w:rsidRPr="008B5572" w:rsidRDefault="00AF3C95" w:rsidP="00AF3C95">
      <w:pPr>
        <w:spacing w:line="480" w:lineRule="auto"/>
        <w:ind w:left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(23) “Seguro de Vida” …</w:t>
      </w:r>
    </w:p>
    <w:p w14:paraId="61447BEE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i/>
          <w:iCs/>
          <w:snapToGrid w:val="0"/>
          <w:szCs w:val="24"/>
        </w:rPr>
        <w:t xml:space="preserve">(24) “Subclase 3-M, 4-M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ó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 5-M” – significa la designación conferida a un asegurador internacional o reasegurador con Autoridad de Clase 3, 4, 5, o combinación de estas clases, con arreglo a este Capítulo, y que además suscriba o asuma riesgos en reaseguro residentes, localizados o a ejecutarse en otro estado o territorio de Estados Unidos, sujeto y conforme a la autoridad conferida por el regulador de dicho estado o territorio de Estados Unidos.     </w:t>
      </w:r>
    </w:p>
    <w:p w14:paraId="1B535685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iCs/>
          <w:snapToGrid w:val="0"/>
          <w:szCs w:val="24"/>
        </w:rPr>
      </w:pPr>
      <w:r w:rsidRPr="008B5572">
        <w:rPr>
          <w:rFonts w:ascii="Book Antiqua" w:hAnsi="Book Antiqua"/>
          <w:b/>
          <w:bCs/>
          <w:snapToGrid w:val="0"/>
          <w:szCs w:val="24"/>
        </w:rPr>
        <w:t>[(24)]</w:t>
      </w:r>
      <w:r w:rsidRPr="008B5572">
        <w:rPr>
          <w:rFonts w:ascii="Book Antiqua" w:hAnsi="Book Antiqua"/>
          <w:snapToGrid w:val="0"/>
          <w:szCs w:val="24"/>
        </w:rPr>
        <w:t xml:space="preserve"> </w:t>
      </w:r>
      <w:r w:rsidRPr="008B5572">
        <w:rPr>
          <w:rFonts w:ascii="Book Antiqua" w:hAnsi="Book Antiqua"/>
          <w:i/>
          <w:snapToGrid w:val="0"/>
          <w:szCs w:val="24"/>
        </w:rPr>
        <w:t xml:space="preserve">(25) </w:t>
      </w:r>
      <w:r w:rsidRPr="008B5572">
        <w:rPr>
          <w:rFonts w:ascii="Book Antiqua" w:hAnsi="Book Antiqua"/>
          <w:iCs/>
          <w:snapToGrid w:val="0"/>
          <w:szCs w:val="24"/>
        </w:rPr>
        <w:t>“Sucursal” …</w:t>
      </w:r>
    </w:p>
    <w:p w14:paraId="672AE5DC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iCs/>
          <w:snapToGrid w:val="0"/>
          <w:szCs w:val="24"/>
        </w:rPr>
      </w:pPr>
      <w:r w:rsidRPr="008B5572">
        <w:rPr>
          <w:rFonts w:ascii="Book Antiqua" w:hAnsi="Book Antiqua"/>
          <w:b/>
          <w:bCs/>
          <w:iCs/>
          <w:snapToGrid w:val="0"/>
          <w:szCs w:val="24"/>
        </w:rPr>
        <w:t>[(25)]</w:t>
      </w:r>
      <w:r w:rsidRPr="008B5572">
        <w:rPr>
          <w:rFonts w:ascii="Book Antiqua" w:hAnsi="Book Antiqua"/>
          <w:iCs/>
          <w:snapToGrid w:val="0"/>
          <w:szCs w:val="24"/>
        </w:rPr>
        <w:t xml:space="preserve"> </w:t>
      </w:r>
      <w:r w:rsidRPr="008B5572">
        <w:rPr>
          <w:rFonts w:ascii="Book Antiqua" w:hAnsi="Book Antiqua"/>
          <w:i/>
          <w:snapToGrid w:val="0"/>
          <w:szCs w:val="24"/>
        </w:rPr>
        <w:t>(26)</w:t>
      </w:r>
      <w:r w:rsidRPr="008B5572">
        <w:rPr>
          <w:rFonts w:ascii="Book Antiqua" w:hAnsi="Book Antiqua"/>
          <w:iCs/>
          <w:snapToGrid w:val="0"/>
          <w:szCs w:val="24"/>
        </w:rPr>
        <w:t xml:space="preserve"> “Código” …</w:t>
      </w:r>
    </w:p>
    <w:p w14:paraId="73C115F1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iCs/>
          <w:snapToGrid w:val="0"/>
          <w:szCs w:val="24"/>
        </w:rPr>
      </w:pPr>
      <w:r w:rsidRPr="008B5572">
        <w:rPr>
          <w:rFonts w:ascii="Book Antiqua" w:hAnsi="Book Antiqua"/>
          <w:b/>
          <w:bCs/>
          <w:iCs/>
          <w:snapToGrid w:val="0"/>
          <w:szCs w:val="24"/>
        </w:rPr>
        <w:t>[(26)]</w:t>
      </w:r>
      <w:r w:rsidRPr="008B5572">
        <w:rPr>
          <w:rFonts w:ascii="Book Antiqua" w:hAnsi="Book Antiqua"/>
          <w:iCs/>
          <w:snapToGrid w:val="0"/>
          <w:szCs w:val="24"/>
        </w:rPr>
        <w:t xml:space="preserve"> </w:t>
      </w:r>
      <w:r w:rsidRPr="008B5572">
        <w:rPr>
          <w:rFonts w:ascii="Book Antiqua" w:hAnsi="Book Antiqua"/>
          <w:i/>
          <w:snapToGrid w:val="0"/>
          <w:szCs w:val="24"/>
        </w:rPr>
        <w:t>(27)</w:t>
      </w:r>
      <w:r w:rsidRPr="008B5572">
        <w:rPr>
          <w:rFonts w:ascii="Book Antiqua" w:hAnsi="Book Antiqua"/>
          <w:iCs/>
          <w:snapToGrid w:val="0"/>
          <w:szCs w:val="24"/>
        </w:rPr>
        <w:t xml:space="preserve"> “Valorización de riesgos” …”</w:t>
      </w:r>
    </w:p>
    <w:p w14:paraId="5173A367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Sección 2. - Se añade un Artículo 61.051 de la Ley 77-1957, según enmendada, para que se lea como sigue:     </w:t>
      </w:r>
    </w:p>
    <w:p w14:paraId="5C509323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i/>
          <w:iCs/>
          <w:snapToGrid w:val="0"/>
          <w:szCs w:val="24"/>
        </w:rPr>
        <w:t xml:space="preserve">“Artículo 61.051. – Requisitos de Autorización de Aseguradores Internacionales para la Subclase 3-M, 4-M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ó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 5-M.</w:t>
      </w:r>
    </w:p>
    <w:p w14:paraId="1A299510" w14:textId="77777777" w:rsidR="00AF3C95" w:rsidRPr="008B5572" w:rsidRDefault="00AF3C95" w:rsidP="00AF3C95">
      <w:pPr>
        <w:numPr>
          <w:ilvl w:val="0"/>
          <w:numId w:val="10"/>
        </w:numPr>
        <w:spacing w:line="480" w:lineRule="auto"/>
        <w:ind w:leftChars="-1" w:left="0" w:hangingChars="1" w:hanging="2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i/>
          <w:iCs/>
          <w:snapToGrid w:val="0"/>
          <w:szCs w:val="24"/>
        </w:rPr>
        <w:t xml:space="preserve"> Los aseguradores o reaseguradores internacionales con Autoridad de Clase 3, 4, 5, o combinación de estas clases, con arreglo al Artículo 61.050 de este Capítulo que además suscriban o asuman riesgos en reaseguro residentes, localizados o a ejecutarse en otro estado o territorio de </w:t>
      </w:r>
      <w:r w:rsidRPr="008B5572">
        <w:rPr>
          <w:rFonts w:ascii="Book Antiqua" w:hAnsi="Book Antiqua"/>
          <w:i/>
          <w:iCs/>
          <w:snapToGrid w:val="0"/>
          <w:szCs w:val="24"/>
        </w:rPr>
        <w:lastRenderedPageBreak/>
        <w:t>Estados Unidos, sujeto y conforme a la autoridad conferida por el regulador de dicho estado o territorio de Estados Unidos, gozarán de una designación de Subclase 3-M, 4-M o 5-M, según corresponda, y deberán cumplir con las disposiciones de este Artículo.</w:t>
      </w:r>
    </w:p>
    <w:p w14:paraId="48483724" w14:textId="77777777" w:rsidR="00AF3C95" w:rsidRPr="008B5572" w:rsidRDefault="00AF3C95" w:rsidP="00AF3C95">
      <w:pPr>
        <w:numPr>
          <w:ilvl w:val="0"/>
          <w:numId w:val="10"/>
        </w:numPr>
        <w:spacing w:line="480" w:lineRule="auto"/>
        <w:ind w:leftChars="-1" w:left="0" w:hangingChars="1" w:hanging="2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i/>
          <w:iCs/>
          <w:snapToGrid w:val="0"/>
          <w:szCs w:val="24"/>
        </w:rPr>
        <w:t xml:space="preserve">Los aseguradores o reaseguradores internacionales que gocen de la designación de Subclase 3-M, 4-M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ó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 5-M, para suscribir riesgos directos y/o reasegurar riesgos residentes, localizados o a ejecutarse en otro estado o territorio de Estados Unidos, por excepción a lo dispuesto en el Artículo 61.030, estarán sujeto al cumplimiento de las disposiciones de regulación de solvencia financiera establecidas en este Código y la reglamentación adoptada a su amparo consistentes con las normas uniformes de la NAIC para aseguradores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multiestatales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.   </w:t>
      </w:r>
    </w:p>
    <w:p w14:paraId="15783FFD" w14:textId="77777777" w:rsidR="00AF3C95" w:rsidRPr="008B5572" w:rsidRDefault="00AF3C95" w:rsidP="00AF3C95">
      <w:pPr>
        <w:numPr>
          <w:ilvl w:val="0"/>
          <w:numId w:val="10"/>
        </w:numPr>
        <w:spacing w:line="480" w:lineRule="auto"/>
        <w:ind w:leftChars="-1" w:left="0" w:hangingChars="1" w:hanging="2"/>
        <w:jc w:val="both"/>
        <w:rPr>
          <w:rFonts w:ascii="Book Antiqua" w:hAnsi="Book Antiqua"/>
          <w:i/>
          <w:iCs/>
          <w:snapToGrid w:val="0"/>
          <w:szCs w:val="24"/>
        </w:rPr>
      </w:pPr>
      <w:bookmarkStart w:id="0" w:name="_heading=h.gjdgxs" w:colFirst="0" w:colLast="0"/>
      <w:bookmarkEnd w:id="0"/>
      <w:r w:rsidRPr="008B5572">
        <w:rPr>
          <w:rFonts w:ascii="Book Antiqua" w:hAnsi="Book Antiqua"/>
          <w:i/>
          <w:iCs/>
          <w:snapToGrid w:val="0"/>
          <w:szCs w:val="24"/>
        </w:rPr>
        <w:t xml:space="preserve">El término “aseguradores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multiestatales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”, tal como se utiliza en este Artículo, incluirá cualquier otro estado o territorio de Estados Unidos acreditado por la NAIC, distinto a Puerto Rico, en donde el asegurador o reasegurador internacional suscriba o asuma riesgos en reaseguro, sujeto y conforme a la autoridad emitida por el regulador de dicho estado o territorio de Estados Unidos.          </w:t>
      </w:r>
    </w:p>
    <w:p w14:paraId="413B9391" w14:textId="77777777" w:rsidR="00AF3C95" w:rsidRPr="008B5572" w:rsidRDefault="00AF3C95" w:rsidP="00AF3C95">
      <w:pPr>
        <w:numPr>
          <w:ilvl w:val="0"/>
          <w:numId w:val="10"/>
        </w:numPr>
        <w:spacing w:line="480" w:lineRule="auto"/>
        <w:ind w:leftChars="-1" w:left="0" w:hangingChars="1" w:hanging="2"/>
        <w:jc w:val="both"/>
        <w:rPr>
          <w:rFonts w:ascii="Book Antiqua" w:hAnsi="Book Antiqua"/>
          <w:i/>
          <w:iCs/>
          <w:snapToGrid w:val="0"/>
          <w:szCs w:val="24"/>
        </w:rPr>
      </w:pPr>
      <w:bookmarkStart w:id="1" w:name="_heading=h.30j0zll" w:colFirst="0" w:colLast="0"/>
      <w:bookmarkEnd w:id="1"/>
      <w:r w:rsidRPr="008B5572">
        <w:rPr>
          <w:rFonts w:ascii="Book Antiqua" w:hAnsi="Book Antiqua"/>
          <w:i/>
          <w:iCs/>
          <w:snapToGrid w:val="0"/>
          <w:szCs w:val="24"/>
        </w:rPr>
        <w:t xml:space="preserve">Los aseguradores o reaseguradores internacionales que ostenten la designación de Subclase 3-M, 4-M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ó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 5-M gozarán del mismo tratamiento contributivo reconocido con arreglo a la Clase de Autoridad 3, 4 o 5 en este Capítulo.    </w:t>
      </w:r>
    </w:p>
    <w:p w14:paraId="25990688" w14:textId="77777777" w:rsidR="00AF3C95" w:rsidRPr="008B5572" w:rsidRDefault="00AF3C95" w:rsidP="00AF3C95">
      <w:pPr>
        <w:numPr>
          <w:ilvl w:val="0"/>
          <w:numId w:val="10"/>
        </w:numPr>
        <w:spacing w:line="480" w:lineRule="auto"/>
        <w:ind w:leftChars="-1" w:left="0" w:hangingChars="1" w:hanging="2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i/>
          <w:iCs/>
          <w:snapToGrid w:val="0"/>
          <w:szCs w:val="24"/>
        </w:rPr>
        <w:t xml:space="preserve">El Certificado de Autoridad del asegurador o reasegurador internacional que, conforme este Artículo, ostente la Subclase 3-M, 4-M </w:t>
      </w:r>
      <w:proofErr w:type="spellStart"/>
      <w:r w:rsidRPr="008B5572">
        <w:rPr>
          <w:rFonts w:ascii="Book Antiqua" w:hAnsi="Book Antiqua"/>
          <w:i/>
          <w:iCs/>
          <w:snapToGrid w:val="0"/>
          <w:szCs w:val="24"/>
        </w:rPr>
        <w:t>ó</w:t>
      </w:r>
      <w:proofErr w:type="spellEnd"/>
      <w:r w:rsidRPr="008B5572">
        <w:rPr>
          <w:rFonts w:ascii="Book Antiqua" w:hAnsi="Book Antiqua"/>
          <w:i/>
          <w:iCs/>
          <w:snapToGrid w:val="0"/>
          <w:szCs w:val="24"/>
        </w:rPr>
        <w:t xml:space="preserve"> 5-M expresamente indicará su designación, según corresponda, como una distinción de su capacidad para suscribir o asumir riesgos en reaseguro en otro estado o territorio de Estados Unidos.    </w:t>
      </w:r>
    </w:p>
    <w:p w14:paraId="7A9C559C" w14:textId="77777777" w:rsidR="00AF3C95" w:rsidRPr="008B5572" w:rsidRDefault="00AF3C95" w:rsidP="00AF3C95">
      <w:pPr>
        <w:numPr>
          <w:ilvl w:val="0"/>
          <w:numId w:val="10"/>
        </w:numPr>
        <w:spacing w:line="480" w:lineRule="auto"/>
        <w:ind w:leftChars="-1" w:left="0" w:hangingChars="1" w:hanging="2"/>
        <w:jc w:val="both"/>
        <w:rPr>
          <w:rFonts w:ascii="Book Antiqua" w:hAnsi="Book Antiqua"/>
          <w:i/>
          <w:iCs/>
          <w:snapToGrid w:val="0"/>
          <w:szCs w:val="24"/>
        </w:rPr>
      </w:pPr>
      <w:r w:rsidRPr="008B5572">
        <w:rPr>
          <w:rFonts w:ascii="Book Antiqua" w:hAnsi="Book Antiqua"/>
          <w:i/>
          <w:iCs/>
          <w:snapToGrid w:val="0"/>
          <w:szCs w:val="24"/>
        </w:rPr>
        <w:lastRenderedPageBreak/>
        <w:t xml:space="preserve">Nada de lo dispuesto en este Artículo será aplicable a un asegurador o reasegurador internacional autorizado conforme a este Capítulo que, de acuerdo con su plan de negocios, suscriba o asuma riesgos en reaseguros localizados o a ejecutarse en países fuera de la jurisdicción de Estados Unidos, o que opere como asegurador cautivo o bajo plan(es) de activos segregados.”      </w:t>
      </w:r>
    </w:p>
    <w:p w14:paraId="5A8D4971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Sección 3. – Reglamentación.</w:t>
      </w:r>
    </w:p>
    <w:p w14:paraId="794752FB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El Comisionado de Seguros de Puerto Rico podrá promulgar mediante reglamentación las disposiciones aplicables a las Subclases 3-M, 4-M y 5-M, de acuerdo con lo establecido en la Ley de Procedimiento Administrativo Uniforme o cualquier ley posterior que sustituya la misma.</w:t>
      </w:r>
    </w:p>
    <w:p w14:paraId="40476CB5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Sección 4. – Separabilidad.</w:t>
      </w:r>
    </w:p>
    <w:p w14:paraId="0F22299C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 El efecto de dicha resolución, dictamen o sentencia quedará limitado a la cláusula, párrafo, subpárrafo, oración, palabra, letra, artículo, disposición, sección, subsección, título, capítulo, subcapítulo, acápite o parte de esta que así hubiere sido anulada o declarada inconstitucional.  Si la aplicación a una persona o a una circunstancia de cualquier cláusula, párrafo, subpárrafo, oración, palabra, 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</w:t>
      </w:r>
      <w:r w:rsidRPr="008B5572">
        <w:rPr>
          <w:rFonts w:ascii="Book Antiqua" w:hAnsi="Book Antiqua"/>
          <w:snapToGrid w:val="0"/>
          <w:szCs w:val="24"/>
        </w:rPr>
        <w:lastRenderedPageBreak/>
        <w:t xml:space="preserve">circunstancia en que se pueda aplicar válidamente.  Es la voluntad expresa e inequívoca de esta Asamblea Legislativa que los tribunales hagan cumplir las disposiciones y la aplicación de esta Ley en la mayor medida posible, aunque se deje sin efecto, anule, invalide, perjudique o declare inconstitucional alguna de sus partes, </w:t>
      </w:r>
      <w:proofErr w:type="gramStart"/>
      <w:r w:rsidRPr="008B5572">
        <w:rPr>
          <w:rFonts w:ascii="Book Antiqua" w:hAnsi="Book Antiqua"/>
          <w:snapToGrid w:val="0"/>
          <w:szCs w:val="24"/>
        </w:rPr>
        <w:t>o</w:t>
      </w:r>
      <w:proofErr w:type="gramEnd"/>
      <w:r w:rsidRPr="008B5572">
        <w:rPr>
          <w:rFonts w:ascii="Book Antiqua" w:hAnsi="Book Antiqua"/>
          <w:snapToGrid w:val="0"/>
          <w:szCs w:val="24"/>
        </w:rPr>
        <w:t xml:space="preserve"> aunque se deje sin efecto, invalide, perjudique o declare inconstitucional su aplicación a alguna persona o circunstancia.  Esta Asamblea Legislativa hubiera aprobado esta ley sin importar la determinación de separabilidad que el Tribunal pueda hacer.</w:t>
      </w:r>
    </w:p>
    <w:p w14:paraId="2CA2EE96" w14:textId="77777777" w:rsidR="00AF3C95" w:rsidRPr="008B5572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Sección 5. – Vigencia.</w:t>
      </w:r>
    </w:p>
    <w:p w14:paraId="49B448D1" w14:textId="7277B6D6" w:rsidR="006B008C" w:rsidRPr="00AF3C95" w:rsidRDefault="00AF3C95" w:rsidP="00AF3C95">
      <w:pPr>
        <w:spacing w:line="480" w:lineRule="auto"/>
        <w:ind w:firstLine="720"/>
        <w:jc w:val="both"/>
        <w:rPr>
          <w:rFonts w:ascii="Book Antiqua" w:hAnsi="Book Antiqua"/>
          <w:snapToGrid w:val="0"/>
          <w:szCs w:val="24"/>
        </w:rPr>
      </w:pPr>
      <w:r w:rsidRPr="008B5572">
        <w:rPr>
          <w:rFonts w:ascii="Book Antiqua" w:hAnsi="Book Antiqua"/>
          <w:snapToGrid w:val="0"/>
          <w:szCs w:val="24"/>
        </w:rPr>
        <w:t>Esta Ley comenzará a regir inmediatamente después de su aprobación.</w:t>
      </w:r>
    </w:p>
    <w:sectPr w:rsidR="006B008C" w:rsidRPr="00AF3C95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825E0" w14:textId="77777777" w:rsidR="00481F7C" w:rsidRPr="006B008C" w:rsidRDefault="00481F7C">
      <w:r w:rsidRPr="006B008C">
        <w:separator/>
      </w:r>
    </w:p>
  </w:endnote>
  <w:endnote w:type="continuationSeparator" w:id="0">
    <w:p w14:paraId="6DE74D71" w14:textId="77777777" w:rsidR="00481F7C" w:rsidRPr="006B008C" w:rsidRDefault="00481F7C">
      <w:r w:rsidRPr="006B008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:rsidRPr="006B008C" w14:paraId="27B51498" w14:textId="77777777">
      <w:trPr>
        <w:trHeight w:val="300"/>
      </w:trPr>
      <w:tc>
        <w:tcPr>
          <w:tcW w:w="3120" w:type="dxa"/>
        </w:tcPr>
        <w:p w14:paraId="1372B401" w14:textId="77777777" w:rsidR="00304ACE" w:rsidRPr="006B008C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0CD21879" w14:textId="77777777" w:rsidR="00304ACE" w:rsidRPr="006B008C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376E4C1A" w14:textId="77777777" w:rsidR="00304ACE" w:rsidRPr="006B008C" w:rsidRDefault="00304ACE">
          <w:pPr>
            <w:pStyle w:val="Header"/>
            <w:ind w:right="-115"/>
            <w:jc w:val="right"/>
          </w:pPr>
        </w:p>
      </w:tc>
    </w:tr>
  </w:tbl>
  <w:p w14:paraId="53F709D1" w14:textId="77777777" w:rsidR="00304ACE" w:rsidRPr="006B008C" w:rsidRDefault="00304A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:rsidRPr="006B008C" w14:paraId="0D43943A" w14:textId="77777777">
      <w:trPr>
        <w:trHeight w:val="300"/>
      </w:trPr>
      <w:tc>
        <w:tcPr>
          <w:tcW w:w="3120" w:type="dxa"/>
        </w:tcPr>
        <w:p w14:paraId="6D856A40" w14:textId="77777777" w:rsidR="00304ACE" w:rsidRPr="006B008C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3FC66069" w14:textId="77777777" w:rsidR="00304ACE" w:rsidRPr="006B008C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5B843AB" w14:textId="77777777" w:rsidR="00304ACE" w:rsidRPr="006B008C" w:rsidRDefault="00304ACE">
          <w:pPr>
            <w:pStyle w:val="Header"/>
            <w:ind w:right="-115"/>
            <w:jc w:val="right"/>
          </w:pPr>
        </w:p>
      </w:tc>
    </w:tr>
  </w:tbl>
  <w:p w14:paraId="07CC875E" w14:textId="77777777" w:rsidR="00304ACE" w:rsidRPr="006B008C" w:rsidRDefault="00304A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:rsidRPr="006B008C" w14:paraId="2C5CD6B7" w14:textId="77777777">
      <w:trPr>
        <w:trHeight w:val="300"/>
      </w:trPr>
      <w:tc>
        <w:tcPr>
          <w:tcW w:w="3120" w:type="dxa"/>
        </w:tcPr>
        <w:p w14:paraId="235885D7" w14:textId="77777777" w:rsidR="00304ACE" w:rsidRPr="006B008C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259584CD" w14:textId="77777777" w:rsidR="00304ACE" w:rsidRPr="006B008C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AFCDF3C" w14:textId="77777777" w:rsidR="00304ACE" w:rsidRPr="006B008C" w:rsidRDefault="00304ACE">
          <w:pPr>
            <w:pStyle w:val="Header"/>
            <w:ind w:right="-115"/>
            <w:jc w:val="right"/>
          </w:pPr>
        </w:p>
      </w:tc>
    </w:tr>
  </w:tbl>
  <w:p w14:paraId="34BCF0AB" w14:textId="77777777" w:rsidR="00304ACE" w:rsidRPr="006B008C" w:rsidRDefault="00304A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:rsidRPr="006B008C" w14:paraId="799041E9" w14:textId="77777777">
      <w:trPr>
        <w:trHeight w:val="300"/>
      </w:trPr>
      <w:tc>
        <w:tcPr>
          <w:tcW w:w="3120" w:type="dxa"/>
        </w:tcPr>
        <w:p w14:paraId="30DDBBD4" w14:textId="77777777" w:rsidR="00304ACE" w:rsidRPr="006B008C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42A3A4A0" w14:textId="77777777" w:rsidR="00304ACE" w:rsidRPr="006B008C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1BBBE86A" w14:textId="77777777" w:rsidR="00304ACE" w:rsidRPr="006B008C" w:rsidRDefault="00304ACE">
          <w:pPr>
            <w:pStyle w:val="Header"/>
            <w:ind w:right="-115"/>
            <w:jc w:val="right"/>
          </w:pPr>
        </w:p>
      </w:tc>
    </w:tr>
  </w:tbl>
  <w:p w14:paraId="21B3D43F" w14:textId="77777777" w:rsidR="00304ACE" w:rsidRPr="006B008C" w:rsidRDefault="00304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320E6" w14:textId="77777777" w:rsidR="00481F7C" w:rsidRPr="006B008C" w:rsidRDefault="00481F7C">
      <w:r w:rsidRPr="006B008C">
        <w:separator/>
      </w:r>
    </w:p>
  </w:footnote>
  <w:footnote w:type="continuationSeparator" w:id="0">
    <w:p w14:paraId="03AE38C6" w14:textId="77777777" w:rsidR="00481F7C" w:rsidRPr="006B008C" w:rsidRDefault="00481F7C">
      <w:r w:rsidRPr="006B008C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304ACE" w:rsidRPr="006B008C" w:rsidRDefault="003E0277">
    <w:pPr>
      <w:pStyle w:val="Header"/>
      <w:jc w:val="center"/>
    </w:pPr>
    <w:r w:rsidRPr="006B008C">
      <w:rPr>
        <w:rStyle w:val="PageNumber"/>
      </w:rPr>
      <w:fldChar w:fldCharType="begin"/>
    </w:r>
    <w:r w:rsidRPr="006B008C">
      <w:rPr>
        <w:rStyle w:val="PageNumber"/>
      </w:rPr>
      <w:instrText xml:space="preserve"> PAGE </w:instrText>
    </w:r>
    <w:r w:rsidRPr="006B008C">
      <w:rPr>
        <w:rStyle w:val="PageNumber"/>
      </w:rPr>
      <w:fldChar w:fldCharType="separate"/>
    </w:r>
    <w:r w:rsidRPr="006B008C">
      <w:rPr>
        <w:rStyle w:val="PageNumber"/>
      </w:rPr>
      <w:t>20</w:t>
    </w:r>
    <w:r w:rsidRPr="006B008C"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4106A516" w:rsidR="00304ACE" w:rsidRPr="006B008C" w:rsidRDefault="003E0277">
    <w:pPr>
      <w:pStyle w:val="Header"/>
      <w:jc w:val="right"/>
    </w:pPr>
    <w:r w:rsidRPr="006B008C">
      <w:t>A-0</w:t>
    </w:r>
    <w:r w:rsidR="00EB4A4E">
      <w:t>2</w:t>
    </w:r>
    <w:r w:rsidR="00AF3C95">
      <w:t>2</w:t>
    </w:r>
  </w:p>
  <w:p w14:paraId="5AB6B40E" w14:textId="77777777" w:rsidR="00304ACE" w:rsidRPr="006B008C" w:rsidRDefault="003E0277">
    <w:pPr>
      <w:pStyle w:val="Header"/>
    </w:pPr>
    <w:r w:rsidRPr="006B008C">
      <w:tab/>
    </w:r>
    <w:r w:rsidRPr="006B008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E0385"/>
    <w:multiLevelType w:val="multilevel"/>
    <w:tmpl w:val="07DE0385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47FEA"/>
    <w:multiLevelType w:val="multilevel"/>
    <w:tmpl w:val="0F247FEA"/>
    <w:lvl w:ilvl="0">
      <w:start w:val="1"/>
      <w:numFmt w:val="decimal"/>
      <w:lvlText w:val="%1)"/>
      <w:lvlJc w:val="left"/>
      <w:pPr>
        <w:ind w:left="720" w:hanging="360"/>
      </w:pPr>
      <w:rPr>
        <w:rFonts w:eastAsia="Book Antiqua" w:cs="Book Antiqua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3C20BC"/>
    <w:multiLevelType w:val="hybridMultilevel"/>
    <w:tmpl w:val="5AEA32B6"/>
    <w:lvl w:ilvl="0" w:tplc="3E76C378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A4020DA"/>
    <w:multiLevelType w:val="hybridMultilevel"/>
    <w:tmpl w:val="2C2CEED4"/>
    <w:lvl w:ilvl="0" w:tplc="2DE617B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0A5652"/>
    <w:multiLevelType w:val="hybridMultilevel"/>
    <w:tmpl w:val="9782D19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42470A"/>
    <w:multiLevelType w:val="hybridMultilevel"/>
    <w:tmpl w:val="3A1E03B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A6D1429"/>
    <w:multiLevelType w:val="multilevel"/>
    <w:tmpl w:val="3A6D1429"/>
    <w:lvl w:ilvl="0">
      <w:start w:val="1"/>
      <w:numFmt w:val="decimal"/>
      <w:lvlText w:val="(%1)"/>
      <w:lvlJc w:val="left"/>
      <w:pPr>
        <w:ind w:left="180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52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24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96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68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40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12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84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568" w:hanging="180"/>
      </w:pPr>
      <w:rPr>
        <w:vertAlign w:val="baseline"/>
      </w:rPr>
    </w:lvl>
  </w:abstractNum>
  <w:abstractNum w:abstractNumId="7" w15:restartNumberingAfterBreak="0">
    <w:nsid w:val="3B445286"/>
    <w:multiLevelType w:val="hybridMultilevel"/>
    <w:tmpl w:val="FB6852CE"/>
    <w:lvl w:ilvl="0" w:tplc="EFAA15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CF4EDB"/>
    <w:multiLevelType w:val="hybridMultilevel"/>
    <w:tmpl w:val="B78AA31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6753D18"/>
    <w:multiLevelType w:val="hybridMultilevel"/>
    <w:tmpl w:val="F8CEA71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6B9651D"/>
    <w:multiLevelType w:val="hybridMultilevel"/>
    <w:tmpl w:val="9DD20BD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15867">
    <w:abstractNumId w:val="1"/>
  </w:num>
  <w:num w:numId="2" w16cid:durableId="2024747634">
    <w:abstractNumId w:val="0"/>
  </w:num>
  <w:num w:numId="3" w16cid:durableId="87820209">
    <w:abstractNumId w:val="8"/>
  </w:num>
  <w:num w:numId="4" w16cid:durableId="1394088064">
    <w:abstractNumId w:val="5"/>
  </w:num>
  <w:num w:numId="5" w16cid:durableId="1735541428">
    <w:abstractNumId w:val="9"/>
  </w:num>
  <w:num w:numId="6" w16cid:durableId="1276332284">
    <w:abstractNumId w:val="4"/>
  </w:num>
  <w:num w:numId="7" w16cid:durableId="562447119">
    <w:abstractNumId w:val="10"/>
  </w:num>
  <w:num w:numId="8" w16cid:durableId="1668096731">
    <w:abstractNumId w:val="7"/>
  </w:num>
  <w:num w:numId="9" w16cid:durableId="27800362">
    <w:abstractNumId w:val="2"/>
  </w:num>
  <w:num w:numId="10" w16cid:durableId="1148936030">
    <w:abstractNumId w:val="6"/>
  </w:num>
  <w:num w:numId="11" w16cid:durableId="203792775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C81B01"/>
    <w:rsid w:val="000205C0"/>
    <w:rsid w:val="00037E63"/>
    <w:rsid w:val="00060E28"/>
    <w:rsid w:val="000673AC"/>
    <w:rsid w:val="000711FC"/>
    <w:rsid w:val="000C2389"/>
    <w:rsid w:val="000D61CF"/>
    <w:rsid w:val="00112EDA"/>
    <w:rsid w:val="00190F6B"/>
    <w:rsid w:val="001939E3"/>
    <w:rsid w:val="001B0E0C"/>
    <w:rsid w:val="001B188F"/>
    <w:rsid w:val="001B1D59"/>
    <w:rsid w:val="001C1D48"/>
    <w:rsid w:val="001E0B7B"/>
    <w:rsid w:val="00206B76"/>
    <w:rsid w:val="002B7D33"/>
    <w:rsid w:val="002F52F0"/>
    <w:rsid w:val="002F54B9"/>
    <w:rsid w:val="00304ACE"/>
    <w:rsid w:val="0034727D"/>
    <w:rsid w:val="00350CB2"/>
    <w:rsid w:val="00354AE4"/>
    <w:rsid w:val="00366C55"/>
    <w:rsid w:val="00383348"/>
    <w:rsid w:val="003B343A"/>
    <w:rsid w:val="003D6D2C"/>
    <w:rsid w:val="003E0277"/>
    <w:rsid w:val="00481F7C"/>
    <w:rsid w:val="00487A51"/>
    <w:rsid w:val="0049470F"/>
    <w:rsid w:val="004A3646"/>
    <w:rsid w:val="004A4D5D"/>
    <w:rsid w:val="004D0C82"/>
    <w:rsid w:val="004F01DC"/>
    <w:rsid w:val="00515692"/>
    <w:rsid w:val="00540F1F"/>
    <w:rsid w:val="00565300"/>
    <w:rsid w:val="0057485F"/>
    <w:rsid w:val="00574B2F"/>
    <w:rsid w:val="005B38AC"/>
    <w:rsid w:val="005D3293"/>
    <w:rsid w:val="00624E1F"/>
    <w:rsid w:val="00692B2C"/>
    <w:rsid w:val="00693E70"/>
    <w:rsid w:val="006B008C"/>
    <w:rsid w:val="006B1844"/>
    <w:rsid w:val="006C0376"/>
    <w:rsid w:val="0072354E"/>
    <w:rsid w:val="00754865"/>
    <w:rsid w:val="007900BB"/>
    <w:rsid w:val="007E10A5"/>
    <w:rsid w:val="00826CF1"/>
    <w:rsid w:val="00872C01"/>
    <w:rsid w:val="00874B4C"/>
    <w:rsid w:val="008770F9"/>
    <w:rsid w:val="00882420"/>
    <w:rsid w:val="008B58FB"/>
    <w:rsid w:val="008E4942"/>
    <w:rsid w:val="00926EA4"/>
    <w:rsid w:val="00952B9F"/>
    <w:rsid w:val="00991118"/>
    <w:rsid w:val="009B753B"/>
    <w:rsid w:val="009F64FD"/>
    <w:rsid w:val="00A132F7"/>
    <w:rsid w:val="00A22CA3"/>
    <w:rsid w:val="00A271DF"/>
    <w:rsid w:val="00A37ACE"/>
    <w:rsid w:val="00A41FCD"/>
    <w:rsid w:val="00AB1E75"/>
    <w:rsid w:val="00AD01AF"/>
    <w:rsid w:val="00AE782E"/>
    <w:rsid w:val="00AF3C95"/>
    <w:rsid w:val="00B05551"/>
    <w:rsid w:val="00B16B28"/>
    <w:rsid w:val="00B1780B"/>
    <w:rsid w:val="00B2644F"/>
    <w:rsid w:val="00B34389"/>
    <w:rsid w:val="00B3482D"/>
    <w:rsid w:val="00B532BB"/>
    <w:rsid w:val="00B60B8A"/>
    <w:rsid w:val="00B6103B"/>
    <w:rsid w:val="00BC63DB"/>
    <w:rsid w:val="00BC7EEE"/>
    <w:rsid w:val="00C02CD4"/>
    <w:rsid w:val="00C0396E"/>
    <w:rsid w:val="00C15767"/>
    <w:rsid w:val="00C85921"/>
    <w:rsid w:val="00D2761C"/>
    <w:rsid w:val="00D763D9"/>
    <w:rsid w:val="00DF4C50"/>
    <w:rsid w:val="00E349DB"/>
    <w:rsid w:val="00E93228"/>
    <w:rsid w:val="00EB4A4E"/>
    <w:rsid w:val="00FD6D23"/>
    <w:rsid w:val="00FD741B"/>
    <w:rsid w:val="2CD33F1A"/>
    <w:rsid w:val="2DC81B01"/>
    <w:rsid w:val="7AC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57AB5A02"/>
  <w15:docId w15:val="{40782A5A-DD4B-4EBF-8945-15A27277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lang w:val="es-P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efaultParagraphFont"/>
  </w:style>
  <w:style w:type="character" w:styleId="LineNumber">
    <w:name w:val="line number"/>
    <w:basedOn w:val="DefaultParagraphFont"/>
    <w:rsid w:val="003E0277"/>
  </w:style>
  <w:style w:type="paragraph" w:styleId="BodyText">
    <w:name w:val="Body Text"/>
    <w:basedOn w:val="Normal"/>
    <w:link w:val="BodyTextChar"/>
    <w:qFormat/>
    <w:rsid w:val="00565300"/>
    <w:pPr>
      <w:jc w:val="both"/>
    </w:pPr>
    <w:rPr>
      <w:szCs w:val="24"/>
    </w:rPr>
  </w:style>
  <w:style w:type="character" w:customStyle="1" w:styleId="BodyTextChar">
    <w:name w:val="Body Text Char"/>
    <w:basedOn w:val="DefaultParagraphFont"/>
    <w:link w:val="BodyText"/>
    <w:rsid w:val="00565300"/>
    <w:rPr>
      <w:rFonts w:ascii="Times New Roman" w:eastAsia="Times New Roman" w:hAnsi="Times New Roman" w:cs="Times New Roman"/>
      <w:sz w:val="24"/>
      <w:szCs w:val="24"/>
      <w:lang w:val="es-PR"/>
    </w:rPr>
  </w:style>
  <w:style w:type="paragraph" w:styleId="Revision">
    <w:name w:val="Revision"/>
    <w:hidden/>
    <w:uiPriority w:val="99"/>
    <w:unhideWhenUsed/>
    <w:rsid w:val="00354AE4"/>
    <w:rPr>
      <w:rFonts w:ascii="Times New Roman" w:eastAsia="Times New Roman" w:hAnsi="Times New Roman" w:cs="Times New Roman"/>
      <w:sz w:val="24"/>
      <w:lang w:val="es-PR"/>
    </w:rPr>
  </w:style>
  <w:style w:type="character" w:styleId="CommentReference">
    <w:name w:val="annotation reference"/>
    <w:basedOn w:val="DefaultParagraphFont"/>
    <w:rsid w:val="00354AE4"/>
    <w:rPr>
      <w:sz w:val="16"/>
      <w:szCs w:val="16"/>
    </w:rPr>
  </w:style>
  <w:style w:type="paragraph" w:styleId="CommentText">
    <w:name w:val="annotation text"/>
    <w:basedOn w:val="Normal"/>
    <w:link w:val="CommentTextChar"/>
    <w:rsid w:val="00354AE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354AE4"/>
    <w:rPr>
      <w:rFonts w:ascii="Times New Roman" w:eastAsia="Times New Roman" w:hAnsi="Times New Roman" w:cs="Times New Roman"/>
      <w:lang w:val="es-PR"/>
    </w:rPr>
  </w:style>
  <w:style w:type="paragraph" w:styleId="CommentSubject">
    <w:name w:val="annotation subject"/>
    <w:basedOn w:val="CommentText"/>
    <w:next w:val="CommentText"/>
    <w:link w:val="CommentSubjectChar"/>
    <w:rsid w:val="00354A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354AE4"/>
    <w:rPr>
      <w:rFonts w:ascii="Times New Roman" w:eastAsia="Times New Roman" w:hAnsi="Times New Roman" w:cs="Times New Roman"/>
      <w:b/>
      <w:bCs/>
      <w:lang w:val="es-PR"/>
    </w:rPr>
  </w:style>
  <w:style w:type="paragraph" w:styleId="FootnoteText">
    <w:name w:val="footnote text"/>
    <w:basedOn w:val="Normal"/>
    <w:link w:val="FootnoteTextChar"/>
    <w:rsid w:val="00693E70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693E70"/>
    <w:rPr>
      <w:rFonts w:ascii="Times New Roman" w:eastAsia="Times New Roman" w:hAnsi="Times New Roman" w:cs="Times New Roman"/>
      <w:lang w:val="es-PR"/>
    </w:rPr>
  </w:style>
  <w:style w:type="character" w:styleId="FootnoteReference">
    <w:name w:val="footnote reference"/>
    <w:basedOn w:val="DefaultParagraphFont"/>
    <w:rsid w:val="00693E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2F75CA-EB50-4D34-9881-F975147DC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2025</Words>
  <Characters>11709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crivera</dc:creator>
  <cp:lastModifiedBy>Bárbara Sierra Nieves</cp:lastModifiedBy>
  <cp:revision>3</cp:revision>
  <cp:lastPrinted>2025-01-27T17:21:00Z</cp:lastPrinted>
  <dcterms:created xsi:type="dcterms:W3CDTF">2025-03-20T16:48:00Z</dcterms:created>
  <dcterms:modified xsi:type="dcterms:W3CDTF">2025-03-21T18:19:00Z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40389CF9253D49298D128A5D0F079CBD_11</vt:lpwstr>
  </property>
</Properties>
</file>