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79730435"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580C00">
        <w:rPr>
          <w:rFonts w:ascii="Book Antiqua" w:eastAsia="Times New Roman" w:hAnsi="Book Antiqua" w:cs="Times New Roman"/>
          <w:sz w:val="24"/>
          <w:szCs w:val="20"/>
          <w:lang w:val="es-ES_tradnl"/>
        </w:rPr>
        <w:t>3</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1474315B" w:rsidR="002573CC" w:rsidRPr="002573CC" w:rsidRDefault="00856EF1" w:rsidP="002573CC">
      <w:pPr>
        <w:spacing w:after="0" w:line="240" w:lineRule="auto"/>
        <w:jc w:val="center"/>
        <w:rPr>
          <w:rFonts w:ascii="Book Antiqua" w:eastAsia="Times New Roman" w:hAnsi="Book Antiqua" w:cs="Times New Roman"/>
          <w:b/>
          <w:sz w:val="52"/>
          <w:szCs w:val="52"/>
          <w:lang w:val="es-ES_tradnl"/>
        </w:rPr>
      </w:pPr>
      <w:r>
        <w:rPr>
          <w:rFonts w:ascii="Book Antiqua" w:eastAsia="Times New Roman" w:hAnsi="Book Antiqua" w:cs="Times New Roman"/>
          <w:b/>
          <w:sz w:val="52"/>
          <w:szCs w:val="52"/>
          <w:lang w:val="es-ES_tradnl"/>
        </w:rPr>
        <w:t>P</w:t>
      </w:r>
      <w:r w:rsidR="002573CC" w:rsidRPr="002573CC">
        <w:rPr>
          <w:rFonts w:ascii="Book Antiqua" w:eastAsia="Times New Roman" w:hAnsi="Book Antiqua" w:cs="Times New Roman"/>
          <w:b/>
          <w:sz w:val="52"/>
          <w:szCs w:val="52"/>
          <w:lang w:val="es-ES_tradnl"/>
        </w:rPr>
        <w:t>. de</w:t>
      </w:r>
      <w:r w:rsidR="00E07F28">
        <w:rPr>
          <w:rFonts w:ascii="Book Antiqua" w:eastAsia="Times New Roman" w:hAnsi="Book Antiqua" w:cs="Times New Roman"/>
          <w:b/>
          <w:sz w:val="52"/>
          <w:szCs w:val="52"/>
          <w:lang w:val="es-ES_tradnl"/>
        </w:rPr>
        <w:t xml:space="preserve"> </w:t>
      </w:r>
      <w:r w:rsidR="007B3187">
        <w:rPr>
          <w:rFonts w:ascii="Book Antiqua" w:eastAsia="Times New Roman" w:hAnsi="Book Antiqua" w:cs="Times New Roman"/>
          <w:b/>
          <w:sz w:val="52"/>
          <w:szCs w:val="52"/>
          <w:lang w:val="es-ES_tradnl"/>
        </w:rPr>
        <w:t>l</w:t>
      </w:r>
      <w:r w:rsidR="00E07F28">
        <w:rPr>
          <w:rFonts w:ascii="Book Antiqua" w:eastAsia="Times New Roman" w:hAnsi="Book Antiqua" w:cs="Times New Roman"/>
          <w:b/>
          <w:sz w:val="52"/>
          <w:szCs w:val="52"/>
          <w:lang w:val="es-ES_tradnl"/>
        </w:rPr>
        <w:t>a</w:t>
      </w:r>
      <w:r>
        <w:rPr>
          <w:rFonts w:ascii="Book Antiqua" w:eastAsia="Times New Roman" w:hAnsi="Book Antiqua" w:cs="Times New Roman"/>
          <w:b/>
          <w:sz w:val="52"/>
          <w:szCs w:val="52"/>
          <w:lang w:val="es-ES_tradnl"/>
        </w:rPr>
        <w:t xml:space="preserve"> </w:t>
      </w:r>
      <w:r w:rsidR="00E07F28">
        <w:rPr>
          <w:rFonts w:ascii="Book Antiqua" w:eastAsia="Times New Roman" w:hAnsi="Book Antiqua" w:cs="Times New Roman"/>
          <w:b/>
          <w:sz w:val="52"/>
          <w:szCs w:val="52"/>
          <w:lang w:val="es-ES_tradnl"/>
        </w:rPr>
        <w:t>C</w:t>
      </w:r>
      <w:r w:rsidR="00B03370">
        <w:rPr>
          <w:rFonts w:ascii="Book Antiqua" w:eastAsia="Times New Roman" w:hAnsi="Book Antiqua" w:cs="Times New Roman"/>
          <w:b/>
          <w:sz w:val="52"/>
          <w:szCs w:val="52"/>
          <w:lang w:val="es-ES_tradnl"/>
        </w:rPr>
        <w:t xml:space="preserve">. </w:t>
      </w:r>
      <w:r w:rsidR="00FD4016">
        <w:rPr>
          <w:rFonts w:ascii="Book Antiqua" w:eastAsia="Times New Roman" w:hAnsi="Book Antiqua" w:cs="Times New Roman"/>
          <w:b/>
          <w:sz w:val="52"/>
          <w:szCs w:val="52"/>
          <w:lang w:val="es-ES_tradnl"/>
        </w:rPr>
        <w:t>429</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25A79749" w:rsidR="002573CC" w:rsidRPr="002573CC" w:rsidRDefault="00580C00" w:rsidP="002573CC">
      <w:pPr>
        <w:spacing w:after="0" w:line="240" w:lineRule="auto"/>
        <w:jc w:val="center"/>
        <w:rPr>
          <w:rFonts w:ascii="Book Antiqua" w:eastAsia="Times New Roman" w:hAnsi="Book Antiqua" w:cs="Times New Roman"/>
          <w:b/>
          <w:sz w:val="24"/>
          <w:szCs w:val="24"/>
          <w:lang w:val="es-ES_tradnl"/>
        </w:rPr>
      </w:pPr>
      <w:r>
        <w:rPr>
          <w:rFonts w:ascii="Book Antiqua" w:eastAsia="Times New Roman" w:hAnsi="Book Antiqua" w:cs="Times New Roman"/>
          <w:b/>
          <w:sz w:val="24"/>
          <w:szCs w:val="24"/>
          <w:lang w:val="es-ES_tradnl"/>
        </w:rPr>
        <w:t xml:space="preserve">SEGUNDO </w:t>
      </w:r>
      <w:r w:rsidR="002573CC"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5E9F4348" w:rsidR="002573CC" w:rsidRPr="002573CC" w:rsidRDefault="005F105E"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 xml:space="preserve">22 </w:t>
      </w:r>
      <w:r w:rsidR="007B3187">
        <w:rPr>
          <w:rFonts w:ascii="Book Antiqua" w:eastAsia="Times New Roman" w:hAnsi="Book Antiqua" w:cs="Times New Roman"/>
          <w:sz w:val="24"/>
          <w:szCs w:val="24"/>
          <w:lang w:val="es-ES_tradnl"/>
        </w:rPr>
        <w:t>de junio</w:t>
      </w:r>
      <w:r w:rsidR="009C1DD7">
        <w:rPr>
          <w:rFonts w:ascii="Book Antiqua" w:eastAsia="Times New Roman" w:hAnsi="Book Antiqua" w:cs="Times New Roman"/>
          <w:sz w:val="24"/>
          <w:szCs w:val="24"/>
          <w:lang w:val="es-ES_tradnl"/>
        </w:rPr>
        <w:t xml:space="preserve"> de 202</w:t>
      </w:r>
      <w:r w:rsidR="00580C00">
        <w:rPr>
          <w:rFonts w:ascii="Book Antiqua" w:eastAsia="Times New Roman" w:hAnsi="Book Antiqua" w:cs="Times New Roman"/>
          <w:sz w:val="24"/>
          <w:szCs w:val="24"/>
          <w:lang w:val="es-ES_tradnl"/>
        </w:rPr>
        <w:t>6</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593D1069"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EE2682">
        <w:rPr>
          <w:rFonts w:ascii="Book Antiqua" w:eastAsia="Times New Roman" w:hAnsi="Book Antiqua" w:cs="Times New Roman"/>
          <w:sz w:val="24"/>
          <w:szCs w:val="24"/>
          <w:lang w:val="es-ES_tradnl"/>
        </w:rPr>
        <w:t xml:space="preserve"> Asuntos del Consumidor</w:t>
      </w:r>
      <w:r w:rsidR="004620B0" w:rsidRPr="0023263A">
        <w:rPr>
          <w:rFonts w:ascii="Book Antiqua" w:eastAsia="Times New Roman" w:hAnsi="Book Antiqua" w:cs="Times New Roman"/>
          <w:sz w:val="24"/>
          <w:szCs w:val="24"/>
          <w:lang w:val="es-ES_tradnl"/>
        </w:rPr>
        <w:t xml:space="preserve">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xml:space="preserve">, previo estudio y </w:t>
      </w:r>
      <w:r w:rsidR="00CC169A">
        <w:rPr>
          <w:rFonts w:ascii="Book Antiqua" w:eastAsia="Times New Roman" w:hAnsi="Book Antiqua" w:cs="Times New Roman"/>
          <w:sz w:val="24"/>
          <w:szCs w:val="24"/>
          <w:lang w:val="es-ES_tradnl"/>
        </w:rPr>
        <w:t>consideración</w:t>
      </w:r>
      <w:r w:rsidRPr="0023263A">
        <w:rPr>
          <w:rFonts w:ascii="Book Antiqua" w:eastAsia="Times New Roman" w:hAnsi="Book Antiqua" w:cs="Times New Roman"/>
          <w:sz w:val="24"/>
          <w:szCs w:val="24"/>
          <w:lang w:val="es-ES_tradnl"/>
        </w:rPr>
        <w:t xml:space="preserve"> del</w:t>
      </w:r>
      <w:r w:rsidR="00856EF1">
        <w:rPr>
          <w:rFonts w:ascii="Book Antiqua" w:eastAsia="Times New Roman" w:hAnsi="Book Antiqua" w:cs="Times New Roman"/>
          <w:sz w:val="24"/>
          <w:szCs w:val="24"/>
          <w:lang w:val="es-ES_tradnl"/>
        </w:rPr>
        <w:t xml:space="preserve"> </w:t>
      </w:r>
      <w:r w:rsidR="00856EF1">
        <w:rPr>
          <w:rFonts w:ascii="Book Antiqua" w:eastAsia="Times New Roman" w:hAnsi="Book Antiqua" w:cs="Times New Roman"/>
          <w:b/>
          <w:bCs/>
          <w:sz w:val="24"/>
          <w:szCs w:val="24"/>
          <w:lang w:val="es-ES_tradnl"/>
        </w:rPr>
        <w:t>Proyecto</w:t>
      </w:r>
      <w:r w:rsidR="00470B60" w:rsidRPr="0023263A">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de</w:t>
      </w:r>
      <w:r w:rsidR="00E07F28">
        <w:rPr>
          <w:rFonts w:ascii="Book Antiqua" w:eastAsia="Times New Roman" w:hAnsi="Book Antiqua" w:cs="Times New Roman"/>
          <w:b/>
          <w:bCs/>
          <w:sz w:val="24"/>
          <w:szCs w:val="24"/>
          <w:lang w:val="es-ES_tradnl"/>
        </w:rPr>
        <w:t xml:space="preserve"> </w:t>
      </w:r>
      <w:r w:rsidR="00856EF1">
        <w:rPr>
          <w:rFonts w:ascii="Book Antiqua" w:eastAsia="Times New Roman" w:hAnsi="Book Antiqua" w:cs="Times New Roman"/>
          <w:b/>
          <w:bCs/>
          <w:sz w:val="24"/>
          <w:szCs w:val="24"/>
          <w:lang w:val="es-ES_tradnl"/>
        </w:rPr>
        <w:t>l</w:t>
      </w:r>
      <w:r w:rsidR="00E07F28">
        <w:rPr>
          <w:rFonts w:ascii="Book Antiqua" w:eastAsia="Times New Roman" w:hAnsi="Book Antiqua" w:cs="Times New Roman"/>
          <w:b/>
          <w:bCs/>
          <w:sz w:val="24"/>
          <w:szCs w:val="24"/>
          <w:lang w:val="es-ES_tradnl"/>
        </w:rPr>
        <w:t>a</w:t>
      </w:r>
      <w:r w:rsidR="007B3187" w:rsidRPr="0023263A">
        <w:rPr>
          <w:rFonts w:ascii="Book Antiqua" w:eastAsia="Times New Roman" w:hAnsi="Book Antiqua" w:cs="Times New Roman"/>
          <w:b/>
          <w:bCs/>
          <w:sz w:val="24"/>
          <w:szCs w:val="24"/>
          <w:lang w:val="es-ES_tradnl"/>
        </w:rPr>
        <w:t xml:space="preserve"> </w:t>
      </w:r>
      <w:r w:rsidR="00E07F28">
        <w:rPr>
          <w:rFonts w:ascii="Book Antiqua" w:eastAsia="Times New Roman" w:hAnsi="Book Antiqua" w:cs="Times New Roman"/>
          <w:b/>
          <w:bCs/>
          <w:sz w:val="24"/>
          <w:szCs w:val="24"/>
          <w:lang w:val="es-ES_tradnl"/>
        </w:rPr>
        <w:t>Cámara</w:t>
      </w:r>
      <w:r w:rsidR="005E0023">
        <w:rPr>
          <w:rFonts w:ascii="Book Antiqua" w:eastAsia="Times New Roman" w:hAnsi="Book Antiqua" w:cs="Times New Roman"/>
          <w:b/>
          <w:bCs/>
          <w:sz w:val="24"/>
          <w:szCs w:val="24"/>
          <w:lang w:val="es-ES_tradnl"/>
        </w:rPr>
        <w:t xml:space="preserve"> </w:t>
      </w:r>
      <w:r w:rsidR="00FD4016">
        <w:rPr>
          <w:rFonts w:ascii="Book Antiqua" w:eastAsia="Times New Roman" w:hAnsi="Book Antiqua" w:cs="Times New Roman"/>
          <w:b/>
          <w:bCs/>
          <w:sz w:val="24"/>
          <w:szCs w:val="24"/>
          <w:lang w:val="es-ES_tradnl"/>
        </w:rPr>
        <w:t>429</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w:t>
      </w:r>
      <w:r w:rsidR="00327AEE">
        <w:rPr>
          <w:rFonts w:ascii="Book Antiqua" w:eastAsia="Times New Roman" w:hAnsi="Book Antiqua" w:cs="Times New Roman"/>
          <w:sz w:val="24"/>
          <w:szCs w:val="24"/>
          <w:lang w:val="es-ES_tradnl"/>
        </w:rPr>
        <w:t xml:space="preserve">tiene el honor de recomendar a este Alto Cuerpo la </w:t>
      </w:r>
      <w:r w:rsidR="00327AEE">
        <w:rPr>
          <w:rFonts w:ascii="Book Antiqua" w:eastAsia="Times New Roman" w:hAnsi="Book Antiqua" w:cs="Times New Roman"/>
          <w:b/>
          <w:bCs/>
          <w:sz w:val="24"/>
          <w:szCs w:val="24"/>
          <w:lang w:val="es-ES_tradnl"/>
        </w:rPr>
        <w:t xml:space="preserve">aprobación </w:t>
      </w:r>
      <w:r w:rsidR="00327AEE">
        <w:rPr>
          <w:rFonts w:ascii="Book Antiqua" w:eastAsia="Times New Roman" w:hAnsi="Book Antiqua" w:cs="Times New Roman"/>
          <w:sz w:val="24"/>
          <w:szCs w:val="24"/>
          <w:lang w:val="es-ES_tradnl"/>
        </w:rPr>
        <w:t xml:space="preserve">de esta pieza legislativa, </w:t>
      </w:r>
      <w:r w:rsidR="00FD4016">
        <w:rPr>
          <w:rFonts w:ascii="Book Antiqua" w:eastAsia="Times New Roman" w:hAnsi="Book Antiqua" w:cs="Times New Roman"/>
          <w:sz w:val="24"/>
          <w:szCs w:val="24"/>
          <w:lang w:val="es-ES_tradnl"/>
        </w:rPr>
        <w:t xml:space="preserve">con las enmiendas incluidas en el entirillado electrónico que acompaña este </w:t>
      </w:r>
      <w:r w:rsidR="00A3068E">
        <w:rPr>
          <w:rFonts w:ascii="Book Antiqua" w:eastAsia="Times New Roman" w:hAnsi="Book Antiqua" w:cs="Times New Roman"/>
          <w:sz w:val="24"/>
          <w:szCs w:val="24"/>
          <w:lang w:val="es-ES_tradnl"/>
        </w:rPr>
        <w:t>Segundo I</w:t>
      </w:r>
      <w:r w:rsidR="00FD4016">
        <w:rPr>
          <w:rFonts w:ascii="Book Antiqua" w:eastAsia="Times New Roman" w:hAnsi="Book Antiqua" w:cs="Times New Roman"/>
          <w:sz w:val="24"/>
          <w:szCs w:val="24"/>
          <w:lang w:val="es-ES_tradnl"/>
        </w:rPr>
        <w:t>nforme</w:t>
      </w:r>
      <w:r w:rsidR="00825412">
        <w:rPr>
          <w:rFonts w:ascii="Book Antiqua" w:eastAsia="Times New Roman" w:hAnsi="Book Antiqua" w:cs="Times New Roman"/>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239137F2" w14:textId="5E8E34D1" w:rsidR="002117A6" w:rsidRPr="00313408" w:rsidRDefault="00AB58E1" w:rsidP="002117A6">
      <w:pPr>
        <w:pStyle w:val="NormalWeb"/>
        <w:spacing w:before="0" w:beforeAutospacing="0" w:after="0" w:afterAutospacing="0"/>
        <w:ind w:firstLine="708"/>
        <w:jc w:val="both"/>
        <w:rPr>
          <w:rFonts w:ascii="Book Antiqua" w:hAnsi="Book Antiqua"/>
          <w:lang w:val="es-ES_tradnl"/>
        </w:rPr>
      </w:pPr>
      <w:r w:rsidRPr="00313408">
        <w:rPr>
          <w:rFonts w:ascii="Book Antiqua" w:hAnsi="Book Antiqua"/>
          <w:bCs/>
          <w:lang w:val="es-ES"/>
        </w:rPr>
        <w:t>El Proyecto de</w:t>
      </w:r>
      <w:r w:rsidR="00095735">
        <w:rPr>
          <w:rFonts w:ascii="Book Antiqua" w:hAnsi="Book Antiqua"/>
          <w:bCs/>
          <w:lang w:val="es-ES"/>
        </w:rPr>
        <w:t xml:space="preserve"> </w:t>
      </w:r>
      <w:r w:rsidRPr="00313408">
        <w:rPr>
          <w:rFonts w:ascii="Book Antiqua" w:hAnsi="Book Antiqua"/>
          <w:bCs/>
          <w:lang w:val="es-ES"/>
        </w:rPr>
        <w:t>l</w:t>
      </w:r>
      <w:r w:rsidR="00095735">
        <w:rPr>
          <w:rFonts w:ascii="Book Antiqua" w:hAnsi="Book Antiqua"/>
          <w:bCs/>
          <w:lang w:val="es-ES"/>
        </w:rPr>
        <w:t>a</w:t>
      </w:r>
      <w:r w:rsidRPr="00313408">
        <w:rPr>
          <w:rFonts w:ascii="Book Antiqua" w:hAnsi="Book Antiqua"/>
          <w:bCs/>
          <w:lang w:val="es-ES"/>
        </w:rPr>
        <w:t xml:space="preserve"> </w:t>
      </w:r>
      <w:r w:rsidR="00095735">
        <w:rPr>
          <w:rFonts w:ascii="Book Antiqua" w:hAnsi="Book Antiqua"/>
          <w:bCs/>
          <w:lang w:val="es-ES"/>
        </w:rPr>
        <w:t>Cámara</w:t>
      </w:r>
      <w:r w:rsidRPr="00313408">
        <w:rPr>
          <w:rFonts w:ascii="Book Antiqua" w:hAnsi="Book Antiqua"/>
          <w:bCs/>
          <w:lang w:val="es-ES"/>
        </w:rPr>
        <w:t xml:space="preserve"> </w:t>
      </w:r>
      <w:r w:rsidR="00FD4016">
        <w:rPr>
          <w:rFonts w:ascii="Book Antiqua" w:hAnsi="Book Antiqua"/>
          <w:bCs/>
          <w:lang w:val="es-ES"/>
        </w:rPr>
        <w:t>429</w:t>
      </w:r>
      <w:r w:rsidR="00DC7AB9" w:rsidRPr="00313408">
        <w:rPr>
          <w:rFonts w:ascii="Book Antiqua" w:hAnsi="Book Antiqua"/>
          <w:bCs/>
          <w:lang w:val="es-ES"/>
        </w:rPr>
        <w:t xml:space="preserve"> fue presentad</w:t>
      </w:r>
      <w:r w:rsidR="00523DF9" w:rsidRPr="00313408">
        <w:rPr>
          <w:rFonts w:ascii="Book Antiqua" w:hAnsi="Book Antiqua"/>
          <w:bCs/>
          <w:lang w:val="es-ES"/>
        </w:rPr>
        <w:t>o</w:t>
      </w:r>
      <w:r w:rsidR="00DC7AB9" w:rsidRPr="00313408">
        <w:rPr>
          <w:rFonts w:ascii="Book Antiqua" w:hAnsi="Book Antiqua"/>
          <w:bCs/>
          <w:lang w:val="es-ES"/>
        </w:rPr>
        <w:t xml:space="preserve"> por </w:t>
      </w:r>
      <w:r w:rsidR="008D32A0">
        <w:rPr>
          <w:rFonts w:ascii="Book Antiqua" w:hAnsi="Book Antiqua"/>
          <w:bCs/>
          <w:lang w:val="es-ES"/>
        </w:rPr>
        <w:t>la</w:t>
      </w:r>
      <w:r w:rsidR="00095735">
        <w:rPr>
          <w:rFonts w:ascii="Book Antiqua" w:hAnsi="Book Antiqua"/>
          <w:bCs/>
          <w:lang w:val="es-ES"/>
        </w:rPr>
        <w:t xml:space="preserve"> representante </w:t>
      </w:r>
      <w:r w:rsidR="008D32A0">
        <w:rPr>
          <w:rFonts w:ascii="Book Antiqua" w:hAnsi="Book Antiqua"/>
          <w:bCs/>
          <w:lang w:val="es-ES"/>
        </w:rPr>
        <w:t>Ramos Rivera, por petición del señor Yamil Liceaga Tav</w:t>
      </w:r>
      <w:r w:rsidR="002C5244">
        <w:rPr>
          <w:rFonts w:ascii="Book Antiqua" w:hAnsi="Book Antiqua"/>
          <w:bCs/>
          <w:lang w:val="es-ES"/>
        </w:rPr>
        <w:t>a</w:t>
      </w:r>
      <w:r w:rsidR="008D32A0">
        <w:rPr>
          <w:rFonts w:ascii="Book Antiqua" w:hAnsi="Book Antiqua"/>
          <w:bCs/>
          <w:lang w:val="es-ES"/>
        </w:rPr>
        <w:t>rez</w:t>
      </w:r>
      <w:r w:rsidR="00DC7AB9" w:rsidRPr="00313408">
        <w:rPr>
          <w:rFonts w:ascii="Book Antiqua" w:hAnsi="Book Antiqua"/>
          <w:bCs/>
          <w:lang w:val="es-ES"/>
        </w:rPr>
        <w:t xml:space="preserve">, </w:t>
      </w:r>
      <w:r w:rsidR="00766E9E" w:rsidRPr="00313408">
        <w:rPr>
          <w:rFonts w:ascii="Book Antiqua" w:hAnsi="Book Antiqua"/>
          <w:bCs/>
          <w:lang w:val="es-ES"/>
        </w:rPr>
        <w:t xml:space="preserve">persigue </w:t>
      </w:r>
      <w:r w:rsidR="00FB0487" w:rsidRPr="00FB0487">
        <w:rPr>
          <w:rFonts w:ascii="Book Antiqua" w:hAnsi="Book Antiqua"/>
          <w:lang w:val="es-ES"/>
        </w:rPr>
        <w:t xml:space="preserve">disponer la devolución al consumidor de la totalidad de los cargos, incluyendo los cargos por servicios en la venta de boletos, Impuesto Sobre Ventas y Uso (IVU) y demás cargos sufragados por el consumidor como parte de la compra de boletos cuando los espectáculos hayan sido suspendidos o cancelados; imponer la obligación al promotor de reembolsar dichos cargos al consumidor; y establecer una multa administrativa por incumplimiento del promotor con </w:t>
      </w:r>
      <w:r w:rsidR="00FB0487" w:rsidRPr="005B7E4B">
        <w:rPr>
          <w:rFonts w:ascii="Book Antiqua" w:hAnsi="Book Antiqua"/>
          <w:lang w:val="es-ES"/>
        </w:rPr>
        <w:t>su</w:t>
      </w:r>
      <w:r w:rsidR="00FB0487" w:rsidRPr="00FB0487">
        <w:rPr>
          <w:rFonts w:ascii="Book Antiqua" w:hAnsi="Book Antiqua"/>
          <w:lang w:val="es-ES"/>
        </w:rPr>
        <w:t xml:space="preserve"> obligación de reembolso en casos de suspensión o cancelación de espectáculos públicos y los términos y condiciones establecidos para ello</w:t>
      </w:r>
      <w:r w:rsidR="006218B9" w:rsidRPr="00313408">
        <w:rPr>
          <w:rFonts w:ascii="Book Antiqua" w:hAnsi="Book Antiqua"/>
          <w:lang w:val="es-ES_tradnl"/>
        </w:rPr>
        <w:t>.</w:t>
      </w:r>
    </w:p>
    <w:p w14:paraId="28903B71" w14:textId="77777777" w:rsidR="00313408" w:rsidRPr="00313408" w:rsidRDefault="00313408" w:rsidP="002117A6">
      <w:pPr>
        <w:pStyle w:val="NormalWeb"/>
        <w:spacing w:before="0" w:beforeAutospacing="0" w:after="0" w:afterAutospacing="0"/>
        <w:ind w:firstLine="708"/>
        <w:jc w:val="both"/>
        <w:rPr>
          <w:rFonts w:ascii="Book Antiqua" w:hAnsi="Book Antiqua"/>
          <w:lang w:val="es-ES_tradnl"/>
        </w:rPr>
      </w:pPr>
    </w:p>
    <w:p w14:paraId="0CA54E66" w14:textId="7A1F15E5" w:rsidR="00B36284" w:rsidRDefault="00934DEB" w:rsidP="00B36284">
      <w:pPr>
        <w:pStyle w:val="NormalWeb"/>
        <w:suppressLineNumbers/>
        <w:spacing w:before="0" w:beforeAutospacing="0" w:after="0" w:afterAutospacing="0"/>
        <w:ind w:firstLine="720"/>
        <w:jc w:val="both"/>
        <w:rPr>
          <w:rFonts w:ascii="Book Antiqua" w:hAnsi="Book Antiqua"/>
          <w:lang w:val="es-PR"/>
        </w:rPr>
      </w:pPr>
      <w:r w:rsidRPr="00313408">
        <w:rPr>
          <w:rFonts w:ascii="Book Antiqua" w:hAnsi="Book Antiqua"/>
          <w:bCs/>
          <w:lang w:val="es-ES"/>
        </w:rPr>
        <w:t xml:space="preserve">Se desprende de la Exposición de Motivos de la </w:t>
      </w:r>
      <w:r w:rsidR="00313408">
        <w:rPr>
          <w:rFonts w:ascii="Book Antiqua" w:hAnsi="Book Antiqua"/>
          <w:bCs/>
          <w:lang w:val="es-ES"/>
        </w:rPr>
        <w:t>medida objeto de análisis</w:t>
      </w:r>
      <w:r w:rsidRPr="00313408">
        <w:rPr>
          <w:rFonts w:ascii="Book Antiqua" w:hAnsi="Book Antiqua"/>
          <w:bCs/>
          <w:lang w:val="es-ES"/>
        </w:rPr>
        <w:t xml:space="preserve"> que </w:t>
      </w:r>
      <w:r w:rsidR="00F87D14">
        <w:rPr>
          <w:rFonts w:ascii="Book Antiqua" w:hAnsi="Book Antiqua"/>
          <w:bCs/>
          <w:lang w:val="es-ES"/>
        </w:rPr>
        <w:t xml:space="preserve">en </w:t>
      </w:r>
      <w:r w:rsidR="00F87D14" w:rsidRPr="0039078C">
        <w:rPr>
          <w:rFonts w:ascii="Book Antiqua" w:hAnsi="Book Antiqua"/>
          <w:lang w:val="es-PR"/>
        </w:rPr>
        <w:t xml:space="preserve">la industria del espectáculo </w:t>
      </w:r>
      <w:r w:rsidR="00F87D14">
        <w:rPr>
          <w:rFonts w:ascii="Book Antiqua" w:hAnsi="Book Antiqua"/>
          <w:lang w:val="es-PR"/>
        </w:rPr>
        <w:t xml:space="preserve">la </w:t>
      </w:r>
      <w:r w:rsidR="00F87D14" w:rsidRPr="0039078C">
        <w:rPr>
          <w:rFonts w:ascii="Book Antiqua" w:hAnsi="Book Antiqua"/>
          <w:lang w:val="es-PR"/>
        </w:rPr>
        <w:t xml:space="preserve">celebración de estas actividades envuelve riesgos para el promotor, bien porque no tenga la aceptación esperada o </w:t>
      </w:r>
      <w:r w:rsidR="00F87D14">
        <w:rPr>
          <w:rFonts w:ascii="Book Antiqua" w:hAnsi="Book Antiqua"/>
          <w:lang w:val="es-PR"/>
        </w:rPr>
        <w:t xml:space="preserve">que </w:t>
      </w:r>
      <w:r w:rsidR="00F87D14" w:rsidRPr="0039078C">
        <w:rPr>
          <w:rFonts w:ascii="Book Antiqua" w:hAnsi="Book Antiqua"/>
          <w:lang w:val="es-PR"/>
        </w:rPr>
        <w:t xml:space="preserve">por razones fuera de su control se vea precisado a cancelarlo. En tales casos, </w:t>
      </w:r>
      <w:r w:rsidR="00F87D14">
        <w:rPr>
          <w:rFonts w:ascii="Book Antiqua" w:hAnsi="Book Antiqua"/>
          <w:lang w:val="es-PR"/>
        </w:rPr>
        <w:t xml:space="preserve">es </w:t>
      </w:r>
      <w:r w:rsidR="00F87D14" w:rsidRPr="0039078C">
        <w:rPr>
          <w:rFonts w:ascii="Book Antiqua" w:hAnsi="Book Antiqua"/>
          <w:lang w:val="es-PR"/>
        </w:rPr>
        <w:t xml:space="preserve">el promotor </w:t>
      </w:r>
      <w:r w:rsidR="00F87D14">
        <w:rPr>
          <w:rFonts w:ascii="Book Antiqua" w:hAnsi="Book Antiqua"/>
          <w:lang w:val="es-PR"/>
        </w:rPr>
        <w:t xml:space="preserve">el que </w:t>
      </w:r>
      <w:r w:rsidR="00F87D14" w:rsidRPr="0039078C">
        <w:rPr>
          <w:rFonts w:ascii="Book Antiqua" w:hAnsi="Book Antiqua"/>
          <w:lang w:val="es-PR"/>
        </w:rPr>
        <w:t>asume la totalidad de la pérdida. No obstante, es usual que</w:t>
      </w:r>
      <w:r w:rsidR="00002870" w:rsidRPr="00610813">
        <w:rPr>
          <w:rFonts w:ascii="Book Antiqua" w:hAnsi="Book Antiqua"/>
          <w:lang w:val="es-PR"/>
        </w:rPr>
        <w:t>,</w:t>
      </w:r>
      <w:r w:rsidR="00F87D14" w:rsidRPr="0039078C">
        <w:rPr>
          <w:rFonts w:ascii="Book Antiqua" w:hAnsi="Book Antiqua"/>
          <w:lang w:val="es-PR"/>
        </w:rPr>
        <w:t xml:space="preserve"> en el caso de las empresas de boletería</w:t>
      </w:r>
      <w:r w:rsidR="00F87D14">
        <w:rPr>
          <w:rFonts w:ascii="Book Antiqua" w:hAnsi="Book Antiqua"/>
          <w:lang w:val="es-PR"/>
        </w:rPr>
        <w:t>,</w:t>
      </w:r>
      <w:r w:rsidR="00F87D14" w:rsidRPr="0039078C">
        <w:rPr>
          <w:rFonts w:ascii="Book Antiqua" w:hAnsi="Book Antiqua"/>
          <w:lang w:val="es-PR"/>
        </w:rPr>
        <w:t xml:space="preserve"> estas cobran por su servicio indistint</w:t>
      </w:r>
      <w:r w:rsidR="00F87D14">
        <w:rPr>
          <w:rFonts w:ascii="Book Antiqua" w:hAnsi="Book Antiqua"/>
          <w:lang w:val="es-PR"/>
        </w:rPr>
        <w:t>amente</w:t>
      </w:r>
      <w:r w:rsidR="00F87D14" w:rsidRPr="0039078C">
        <w:rPr>
          <w:rFonts w:ascii="Book Antiqua" w:hAnsi="Book Antiqua"/>
          <w:lang w:val="es-PR"/>
        </w:rPr>
        <w:t xml:space="preserve"> de que el espectáculo sea cancelado</w:t>
      </w:r>
      <w:r w:rsidR="00F87D14">
        <w:rPr>
          <w:rFonts w:ascii="Book Antiqua" w:hAnsi="Book Antiqua"/>
          <w:lang w:val="es-PR"/>
        </w:rPr>
        <w:t>; lo que</w:t>
      </w:r>
      <w:r w:rsidR="00F87D14" w:rsidRPr="0039078C">
        <w:rPr>
          <w:rFonts w:ascii="Book Antiqua" w:hAnsi="Book Antiqua"/>
          <w:lang w:val="es-PR"/>
        </w:rPr>
        <w:t xml:space="preserve"> </w:t>
      </w:r>
      <w:r w:rsidR="00F87D14">
        <w:rPr>
          <w:rFonts w:ascii="Book Antiqua" w:hAnsi="Book Antiqua"/>
          <w:lang w:val="es-PR"/>
        </w:rPr>
        <w:t>impide</w:t>
      </w:r>
      <w:r w:rsidR="00F87D14" w:rsidRPr="0039078C">
        <w:rPr>
          <w:rFonts w:ascii="Book Antiqua" w:hAnsi="Book Antiqua"/>
          <w:lang w:val="es-PR"/>
        </w:rPr>
        <w:t xml:space="preserve"> que se devuelvan es</w:t>
      </w:r>
      <w:r w:rsidR="00F87D14">
        <w:rPr>
          <w:rFonts w:ascii="Book Antiqua" w:hAnsi="Book Antiqua"/>
          <w:lang w:val="es-PR"/>
        </w:rPr>
        <w:t>t</w:t>
      </w:r>
      <w:r w:rsidR="00F87D14" w:rsidRPr="0039078C">
        <w:rPr>
          <w:rFonts w:ascii="Book Antiqua" w:hAnsi="Book Antiqua"/>
          <w:lang w:val="es-PR"/>
        </w:rPr>
        <w:t>os costos al consumidor</w:t>
      </w:r>
      <w:r w:rsidR="00610813">
        <w:rPr>
          <w:rFonts w:ascii="Book Antiqua" w:hAnsi="Book Antiqua"/>
          <w:lang w:val="es-PR"/>
        </w:rPr>
        <w:t>.</w:t>
      </w:r>
    </w:p>
    <w:p w14:paraId="6E58729F" w14:textId="77777777" w:rsidR="000E29BD" w:rsidRDefault="000E29BD" w:rsidP="00B36284">
      <w:pPr>
        <w:pStyle w:val="NormalWeb"/>
        <w:suppressLineNumbers/>
        <w:spacing w:before="0" w:beforeAutospacing="0" w:after="0" w:afterAutospacing="0"/>
        <w:ind w:firstLine="720"/>
        <w:jc w:val="both"/>
        <w:rPr>
          <w:rFonts w:ascii="Book Antiqua" w:hAnsi="Book Antiqua"/>
          <w:lang w:val="es-PR"/>
        </w:rPr>
      </w:pPr>
    </w:p>
    <w:p w14:paraId="68472F1A" w14:textId="372C4D24" w:rsidR="000E29BD" w:rsidRDefault="000E29BD" w:rsidP="00B36284">
      <w:pPr>
        <w:pStyle w:val="NormalWeb"/>
        <w:suppressLineNumbers/>
        <w:spacing w:before="0" w:beforeAutospacing="0" w:after="0" w:afterAutospacing="0"/>
        <w:ind w:firstLine="720"/>
        <w:jc w:val="both"/>
        <w:rPr>
          <w:rFonts w:ascii="Book Antiqua" w:hAnsi="Book Antiqua"/>
          <w:lang w:val="es-PR"/>
        </w:rPr>
      </w:pPr>
      <w:r>
        <w:rPr>
          <w:rFonts w:ascii="Book Antiqua" w:hAnsi="Book Antiqua"/>
          <w:lang w:val="es-PR"/>
        </w:rPr>
        <w:lastRenderedPageBreak/>
        <w:t xml:space="preserve">Este tipo de actuación ha generado en los consumidores un gran descontento y molestia. Ello, </w:t>
      </w:r>
      <w:r w:rsidR="008F65D3">
        <w:rPr>
          <w:rFonts w:ascii="Book Antiqua" w:hAnsi="Book Antiqua"/>
          <w:lang w:val="es-PR"/>
        </w:rPr>
        <w:t>ya que,</w:t>
      </w:r>
      <w:r>
        <w:rPr>
          <w:rFonts w:ascii="Book Antiqua" w:hAnsi="Book Antiqua"/>
          <w:lang w:val="es-PR"/>
        </w:rPr>
        <w:t xml:space="preserve"> al cancelar un espectáculo, </w:t>
      </w:r>
      <w:r w:rsidRPr="0039078C">
        <w:rPr>
          <w:rFonts w:ascii="Book Antiqua" w:hAnsi="Book Antiqua"/>
          <w:lang w:val="es-PR"/>
        </w:rPr>
        <w:t>en lugar de devolver el monto total del boleto comprado por el consumidor</w:t>
      </w:r>
      <w:r>
        <w:rPr>
          <w:rFonts w:ascii="Book Antiqua" w:hAnsi="Book Antiqua"/>
          <w:lang w:val="es-PR"/>
        </w:rPr>
        <w:t>,</w:t>
      </w:r>
      <w:r w:rsidRPr="0039078C">
        <w:rPr>
          <w:rFonts w:ascii="Book Antiqua" w:hAnsi="Book Antiqua"/>
          <w:lang w:val="es-PR"/>
        </w:rPr>
        <w:t xml:space="preserve"> </w:t>
      </w:r>
      <w:r>
        <w:rPr>
          <w:rFonts w:ascii="Book Antiqua" w:hAnsi="Book Antiqua"/>
          <w:lang w:val="es-PR"/>
        </w:rPr>
        <w:t>se le devuelve</w:t>
      </w:r>
      <w:r w:rsidRPr="0039078C">
        <w:rPr>
          <w:rFonts w:ascii="Book Antiqua" w:hAnsi="Book Antiqua"/>
          <w:lang w:val="es-PR"/>
        </w:rPr>
        <w:t xml:space="preserve"> </w:t>
      </w:r>
      <w:r>
        <w:rPr>
          <w:rFonts w:ascii="Book Antiqua" w:hAnsi="Book Antiqua"/>
          <w:lang w:val="es-PR"/>
        </w:rPr>
        <w:t>solamente</w:t>
      </w:r>
      <w:r w:rsidRPr="0039078C">
        <w:rPr>
          <w:rFonts w:ascii="Book Antiqua" w:hAnsi="Book Antiqua"/>
          <w:lang w:val="es-PR"/>
        </w:rPr>
        <w:t xml:space="preserve"> lo recibido por derechos de admisión</w:t>
      </w:r>
      <w:r>
        <w:rPr>
          <w:rFonts w:ascii="Book Antiqua" w:hAnsi="Book Antiqua"/>
          <w:lang w:val="es-PR"/>
        </w:rPr>
        <w:t xml:space="preserve">; </w:t>
      </w:r>
      <w:r w:rsidRPr="0039078C">
        <w:rPr>
          <w:rFonts w:ascii="Book Antiqua" w:hAnsi="Book Antiqua"/>
          <w:lang w:val="es-PR"/>
        </w:rPr>
        <w:t xml:space="preserve">pero </w:t>
      </w:r>
      <w:r>
        <w:rPr>
          <w:rFonts w:ascii="Book Antiqua" w:hAnsi="Book Antiqua"/>
          <w:lang w:val="es-PR"/>
        </w:rPr>
        <w:t>no así lo que pagó</w:t>
      </w:r>
      <w:r w:rsidRPr="0039078C">
        <w:rPr>
          <w:rFonts w:ascii="Book Antiqua" w:hAnsi="Book Antiqua"/>
          <w:lang w:val="es-PR"/>
        </w:rPr>
        <w:t xml:space="preserve"> por </w:t>
      </w:r>
      <w:r>
        <w:rPr>
          <w:rFonts w:ascii="Book Antiqua" w:hAnsi="Book Antiqua"/>
          <w:lang w:val="es-PR"/>
        </w:rPr>
        <w:t xml:space="preserve">los </w:t>
      </w:r>
      <w:r w:rsidRPr="0039078C">
        <w:rPr>
          <w:rFonts w:ascii="Book Antiqua" w:hAnsi="Book Antiqua"/>
          <w:lang w:val="es-PR"/>
        </w:rPr>
        <w:t>cargos por servicio y otros conceptos</w:t>
      </w:r>
      <w:r>
        <w:rPr>
          <w:rFonts w:ascii="Book Antiqua" w:hAnsi="Book Antiqua"/>
          <w:lang w:val="es-PR"/>
        </w:rPr>
        <w:t>.</w:t>
      </w:r>
    </w:p>
    <w:p w14:paraId="77B8840B" w14:textId="77777777" w:rsidR="002F6DD7" w:rsidRDefault="002F6DD7" w:rsidP="00B36284">
      <w:pPr>
        <w:pStyle w:val="NormalWeb"/>
        <w:suppressLineNumbers/>
        <w:spacing w:before="0" w:beforeAutospacing="0" w:after="0" w:afterAutospacing="0"/>
        <w:ind w:firstLine="720"/>
        <w:jc w:val="both"/>
        <w:rPr>
          <w:rFonts w:ascii="Book Antiqua" w:hAnsi="Book Antiqua"/>
          <w:lang w:val="es-PR"/>
        </w:rPr>
      </w:pPr>
    </w:p>
    <w:p w14:paraId="4E05CED0" w14:textId="7572B403" w:rsidR="002F6DD7" w:rsidRDefault="002F6DD7" w:rsidP="00B36284">
      <w:pPr>
        <w:pStyle w:val="NormalWeb"/>
        <w:suppressLineNumbers/>
        <w:spacing w:before="0" w:beforeAutospacing="0" w:after="0" w:afterAutospacing="0"/>
        <w:ind w:firstLine="720"/>
        <w:jc w:val="both"/>
        <w:rPr>
          <w:rFonts w:ascii="Book Antiqua" w:hAnsi="Book Antiqua" w:cs="Arial"/>
          <w:lang w:val="es-ES"/>
        </w:rPr>
      </w:pPr>
      <w:r>
        <w:rPr>
          <w:rFonts w:ascii="Book Antiqua" w:hAnsi="Book Antiqua"/>
          <w:lang w:val="es-PR"/>
        </w:rPr>
        <w:t>Por lo antes mencionado, la Asamblea Legislativa estima necesario exigir por Ley la devolución al consumidor del dinero y los cargos relacionados cuando se cancela algún evento o espectáculo.</w:t>
      </w:r>
    </w:p>
    <w:p w14:paraId="2E393A9A" w14:textId="77777777" w:rsidR="009B7976" w:rsidRDefault="009B7976" w:rsidP="008F65D3">
      <w:pPr>
        <w:spacing w:after="0" w:line="240" w:lineRule="auto"/>
        <w:rPr>
          <w:rFonts w:ascii="Book Antiqua" w:eastAsia="Times New Roman" w:hAnsi="Book Antiqua"/>
          <w:b/>
          <w:sz w:val="24"/>
          <w:szCs w:val="24"/>
          <w:lang w:val="es-ES"/>
        </w:rPr>
      </w:pPr>
    </w:p>
    <w:p w14:paraId="2EF835E6" w14:textId="718C4B7F"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t>ANÁLISIS DE LA MEDIDA</w:t>
      </w:r>
    </w:p>
    <w:p w14:paraId="5AEF2228" w14:textId="77777777" w:rsidR="00ED50F5" w:rsidRPr="00392523" w:rsidRDefault="00ED50F5" w:rsidP="00ED50F5">
      <w:pPr>
        <w:jc w:val="both"/>
        <w:rPr>
          <w:rFonts w:ascii="Book Antiqua" w:eastAsia="Times New Roman" w:hAnsi="Book Antiqua"/>
          <w:b/>
          <w:sz w:val="24"/>
          <w:szCs w:val="24"/>
          <w:lang w:val="es-ES"/>
        </w:rPr>
      </w:pPr>
    </w:p>
    <w:p w14:paraId="794AB669" w14:textId="4259E8F5" w:rsidR="005D4AFA" w:rsidRDefault="00CD530A" w:rsidP="00A06E0D">
      <w:pPr>
        <w:ind w:firstLine="708"/>
        <w:jc w:val="both"/>
        <w:rPr>
          <w:rFonts w:ascii="Book Antiqua" w:hAnsi="Book Antiqua"/>
          <w:sz w:val="24"/>
          <w:szCs w:val="24"/>
        </w:rPr>
      </w:pPr>
      <w:r w:rsidRPr="00392523">
        <w:rPr>
          <w:rFonts w:ascii="Book Antiqua" w:hAnsi="Book Antiqua"/>
          <w:sz w:val="24"/>
          <w:szCs w:val="24"/>
        </w:rPr>
        <w:t>Como parte del análisis a esta medida</w:t>
      </w:r>
      <w:r w:rsidR="000937D1">
        <w:rPr>
          <w:rFonts w:ascii="Book Antiqua" w:hAnsi="Book Antiqua"/>
          <w:sz w:val="24"/>
          <w:szCs w:val="24"/>
        </w:rPr>
        <w:t xml:space="preserve"> y </w:t>
      </w:r>
      <w:r w:rsidR="001C1DBE">
        <w:rPr>
          <w:rFonts w:ascii="Book Antiqua" w:hAnsi="Book Antiqua"/>
          <w:sz w:val="24"/>
          <w:szCs w:val="24"/>
        </w:rPr>
        <w:t>la preparación de este Segundo Informe Positivo se solicitaron ponencias a Antonio ¨Tony¨</w:t>
      </w:r>
      <w:r w:rsidR="00D575C0">
        <w:rPr>
          <w:rFonts w:ascii="Book Antiqua" w:hAnsi="Book Antiqua"/>
          <w:sz w:val="24"/>
          <w:szCs w:val="24"/>
        </w:rPr>
        <w:t xml:space="preserve"> </w:t>
      </w:r>
      <w:r w:rsidR="001C1DBE">
        <w:rPr>
          <w:rFonts w:ascii="Book Antiqua" w:hAnsi="Book Antiqua"/>
          <w:sz w:val="24"/>
          <w:szCs w:val="24"/>
        </w:rPr>
        <w:t>Mojena;</w:t>
      </w:r>
      <w:r w:rsidR="001C2411">
        <w:rPr>
          <w:rFonts w:ascii="Book Antiqua" w:hAnsi="Book Antiqua"/>
          <w:sz w:val="24"/>
          <w:szCs w:val="24"/>
        </w:rPr>
        <w:t xml:space="preserve"> Boletera; Centro de Bellas Artes de Santurce; Cesar Sainz;</w:t>
      </w:r>
      <w:r w:rsidR="00B32624">
        <w:rPr>
          <w:rFonts w:ascii="Book Antiqua" w:hAnsi="Book Antiqua"/>
          <w:sz w:val="24"/>
          <w:szCs w:val="24"/>
        </w:rPr>
        <w:t xml:space="preserve"> Colegio de Productores de </w:t>
      </w:r>
      <w:r w:rsidR="00FF522E">
        <w:rPr>
          <w:rFonts w:ascii="Book Antiqua" w:hAnsi="Book Antiqua"/>
          <w:sz w:val="24"/>
          <w:szCs w:val="24"/>
        </w:rPr>
        <w:t>Espectáculos</w:t>
      </w:r>
      <w:r w:rsidR="00B32624">
        <w:rPr>
          <w:rFonts w:ascii="Book Antiqua" w:hAnsi="Book Antiqua"/>
          <w:sz w:val="24"/>
          <w:szCs w:val="24"/>
        </w:rPr>
        <w:t xml:space="preserve"> (Roberto Sueiro); </w:t>
      </w:r>
      <w:r w:rsidR="00FB5034">
        <w:rPr>
          <w:rFonts w:ascii="Book Antiqua" w:hAnsi="Book Antiqua"/>
          <w:sz w:val="24"/>
          <w:szCs w:val="24"/>
        </w:rPr>
        <w:t>Departamento de Asuntos del Consumidor; Eduardo Cajina; Ender Vega</w:t>
      </w:r>
      <w:r w:rsidR="00D516AF">
        <w:rPr>
          <w:rFonts w:ascii="Book Antiqua" w:hAnsi="Book Antiqua"/>
          <w:sz w:val="24"/>
          <w:szCs w:val="24"/>
        </w:rPr>
        <w:t>; Yamil Quiñones (</w:t>
      </w:r>
      <w:proofErr w:type="spellStart"/>
      <w:r w:rsidR="00D516AF">
        <w:rPr>
          <w:rFonts w:ascii="Book Antiqua" w:hAnsi="Book Antiqua"/>
          <w:sz w:val="24"/>
          <w:szCs w:val="24"/>
        </w:rPr>
        <w:t>EventosPR</w:t>
      </w:r>
      <w:proofErr w:type="spellEnd"/>
      <w:r w:rsidR="00D516AF">
        <w:rPr>
          <w:rFonts w:ascii="Book Antiqua" w:hAnsi="Book Antiqua"/>
          <w:sz w:val="24"/>
          <w:szCs w:val="24"/>
        </w:rPr>
        <w:t>); Francisco ¨Paco¨ López; Departamento de Hacienda</w:t>
      </w:r>
      <w:r w:rsidR="003928BF">
        <w:rPr>
          <w:rFonts w:ascii="Book Antiqua" w:hAnsi="Book Antiqua"/>
          <w:sz w:val="24"/>
          <w:szCs w:val="24"/>
        </w:rPr>
        <w:t xml:space="preserve">; José ¨Pompi¨ Vallejo; José Antonio Mellado; </w:t>
      </w:r>
      <w:proofErr w:type="spellStart"/>
      <w:r w:rsidR="003928BF">
        <w:rPr>
          <w:rFonts w:ascii="Book Antiqua" w:hAnsi="Book Antiqua"/>
          <w:sz w:val="24"/>
          <w:szCs w:val="24"/>
        </w:rPr>
        <w:t>Jose</w:t>
      </w:r>
      <w:proofErr w:type="spellEnd"/>
      <w:r w:rsidR="003928BF">
        <w:rPr>
          <w:rFonts w:ascii="Book Antiqua" w:hAnsi="Book Antiqua"/>
          <w:sz w:val="24"/>
          <w:szCs w:val="24"/>
        </w:rPr>
        <w:t xml:space="preserve"> Rafael ¨Pepe¨ Dueño</w:t>
      </w:r>
      <w:r w:rsidR="00025906">
        <w:rPr>
          <w:rFonts w:ascii="Book Antiqua" w:hAnsi="Book Antiqua"/>
          <w:sz w:val="24"/>
          <w:szCs w:val="24"/>
        </w:rPr>
        <w:t>; Nicole Rosa (</w:t>
      </w:r>
      <w:proofErr w:type="spellStart"/>
      <w:r w:rsidR="00025906">
        <w:rPr>
          <w:rFonts w:ascii="Book Antiqua" w:hAnsi="Book Antiqua"/>
          <w:sz w:val="24"/>
          <w:szCs w:val="24"/>
        </w:rPr>
        <w:t>PieTix</w:t>
      </w:r>
      <w:proofErr w:type="spellEnd"/>
      <w:r w:rsidR="00025906">
        <w:rPr>
          <w:rFonts w:ascii="Book Antiqua" w:hAnsi="Book Antiqua"/>
          <w:sz w:val="24"/>
          <w:szCs w:val="24"/>
        </w:rPr>
        <w:t>)</w:t>
      </w:r>
      <w:r w:rsidR="0071593D">
        <w:rPr>
          <w:rFonts w:ascii="Book Antiqua" w:hAnsi="Book Antiqua"/>
          <w:sz w:val="24"/>
          <w:szCs w:val="24"/>
        </w:rPr>
        <w:t>; Rafael ¨Rafo¨ Muñiz; Rolando Santa</w:t>
      </w:r>
      <w:r w:rsidR="00023132">
        <w:rPr>
          <w:rFonts w:ascii="Book Antiqua" w:hAnsi="Book Antiqua"/>
          <w:sz w:val="24"/>
          <w:szCs w:val="24"/>
        </w:rPr>
        <w:t xml:space="preserve">; Ticket Center; </w:t>
      </w:r>
      <w:proofErr w:type="spellStart"/>
      <w:r w:rsidR="00023132">
        <w:rPr>
          <w:rFonts w:ascii="Book Antiqua" w:hAnsi="Book Antiqua"/>
          <w:sz w:val="24"/>
          <w:szCs w:val="24"/>
        </w:rPr>
        <w:t>Ticketera</w:t>
      </w:r>
      <w:proofErr w:type="spellEnd"/>
      <w:r w:rsidR="00023132">
        <w:rPr>
          <w:rFonts w:ascii="Book Antiqua" w:hAnsi="Book Antiqua"/>
          <w:sz w:val="24"/>
          <w:szCs w:val="24"/>
        </w:rPr>
        <w:t xml:space="preserve">; </w:t>
      </w:r>
      <w:r w:rsidR="005D4AFA">
        <w:rPr>
          <w:rFonts w:ascii="Book Antiqua" w:hAnsi="Book Antiqua"/>
          <w:sz w:val="24"/>
          <w:szCs w:val="24"/>
        </w:rPr>
        <w:t xml:space="preserve">y </w:t>
      </w:r>
      <w:r w:rsidR="00023132">
        <w:rPr>
          <w:rFonts w:ascii="Book Antiqua" w:hAnsi="Book Antiqua"/>
          <w:sz w:val="24"/>
          <w:szCs w:val="24"/>
        </w:rPr>
        <w:t>Yamil Liceaga</w:t>
      </w:r>
      <w:r w:rsidR="005D4AFA">
        <w:rPr>
          <w:rFonts w:ascii="Book Antiqua" w:hAnsi="Book Antiqua"/>
          <w:sz w:val="24"/>
          <w:szCs w:val="24"/>
        </w:rPr>
        <w:t>.</w:t>
      </w:r>
    </w:p>
    <w:p w14:paraId="0B2175EB" w14:textId="53F43F98" w:rsidR="00CD530A" w:rsidRDefault="005D4AFA" w:rsidP="005D4AFA">
      <w:pPr>
        <w:ind w:firstLine="708"/>
        <w:jc w:val="both"/>
        <w:rPr>
          <w:rFonts w:ascii="Book Antiqua" w:hAnsi="Book Antiqua"/>
          <w:sz w:val="24"/>
          <w:szCs w:val="24"/>
        </w:rPr>
      </w:pPr>
      <w:r>
        <w:rPr>
          <w:rFonts w:ascii="Book Antiqua" w:hAnsi="Book Antiqua"/>
          <w:sz w:val="24"/>
          <w:szCs w:val="24"/>
        </w:rPr>
        <w:t xml:space="preserve">Se recibieron y </w:t>
      </w:r>
      <w:r w:rsidR="00ED50F5" w:rsidRPr="00392523">
        <w:rPr>
          <w:rFonts w:ascii="Book Antiqua" w:hAnsi="Book Antiqua"/>
          <w:sz w:val="24"/>
          <w:szCs w:val="24"/>
        </w:rPr>
        <w:t>evaluaron los</w:t>
      </w:r>
      <w:r w:rsidR="00CD530A" w:rsidRPr="00392523">
        <w:rPr>
          <w:rFonts w:ascii="Book Antiqua" w:hAnsi="Book Antiqua"/>
          <w:sz w:val="24"/>
          <w:szCs w:val="24"/>
        </w:rPr>
        <w:t xml:space="preserve"> comentarios </w:t>
      </w:r>
      <w:r w:rsidR="005232E6" w:rsidRPr="00392523">
        <w:rPr>
          <w:rFonts w:ascii="Book Antiqua" w:hAnsi="Book Antiqua"/>
          <w:sz w:val="24"/>
          <w:szCs w:val="24"/>
        </w:rPr>
        <w:t>presentados por parte de</w:t>
      </w:r>
      <w:r w:rsidR="008E4FD8">
        <w:rPr>
          <w:rFonts w:ascii="Book Antiqua" w:hAnsi="Book Antiqua"/>
          <w:sz w:val="24"/>
          <w:szCs w:val="24"/>
        </w:rPr>
        <w:t xml:space="preserve"> </w:t>
      </w:r>
      <w:proofErr w:type="gramStart"/>
      <w:r w:rsidR="008E4FD8" w:rsidRPr="005D4AFA">
        <w:rPr>
          <w:rFonts w:ascii="Book Antiqua" w:hAnsi="Book Antiqua"/>
          <w:sz w:val="24"/>
          <w:szCs w:val="24"/>
        </w:rPr>
        <w:t>Ticket</w:t>
      </w:r>
      <w:proofErr w:type="gramEnd"/>
      <w:r w:rsidR="008E4FD8" w:rsidRPr="005D4AFA">
        <w:rPr>
          <w:rFonts w:ascii="Book Antiqua" w:hAnsi="Book Antiqua"/>
          <w:sz w:val="24"/>
          <w:szCs w:val="24"/>
        </w:rPr>
        <w:t xml:space="preserve"> Center</w:t>
      </w:r>
      <w:r w:rsidR="00CD530A" w:rsidRPr="00392523">
        <w:rPr>
          <w:rFonts w:ascii="Book Antiqua" w:hAnsi="Book Antiqua"/>
          <w:sz w:val="24"/>
          <w:szCs w:val="24"/>
        </w:rPr>
        <w:t xml:space="preserve">; </w:t>
      </w:r>
      <w:r w:rsidR="002C23B7">
        <w:rPr>
          <w:rFonts w:ascii="Book Antiqua" w:hAnsi="Book Antiqua"/>
          <w:sz w:val="24"/>
          <w:szCs w:val="24"/>
        </w:rPr>
        <w:t>Departamento de Asuntos del Consumidor</w:t>
      </w:r>
      <w:r w:rsidR="004F64A5">
        <w:rPr>
          <w:rFonts w:ascii="Book Antiqua" w:hAnsi="Book Antiqua"/>
          <w:sz w:val="24"/>
          <w:szCs w:val="24"/>
        </w:rPr>
        <w:t>;</w:t>
      </w:r>
      <w:r w:rsidR="002C23B7">
        <w:rPr>
          <w:rFonts w:ascii="Book Antiqua" w:hAnsi="Book Antiqua"/>
          <w:sz w:val="24"/>
          <w:szCs w:val="24"/>
        </w:rPr>
        <w:t xml:space="preserve"> </w:t>
      </w:r>
      <w:r w:rsidR="00924994">
        <w:rPr>
          <w:rFonts w:ascii="Book Antiqua" w:hAnsi="Book Antiqua"/>
          <w:sz w:val="24"/>
          <w:szCs w:val="24"/>
        </w:rPr>
        <w:t xml:space="preserve">Colegio de Productores de </w:t>
      </w:r>
      <w:proofErr w:type="gramStart"/>
      <w:r w:rsidR="00924994">
        <w:rPr>
          <w:rFonts w:ascii="Book Antiqua" w:hAnsi="Book Antiqua"/>
          <w:sz w:val="24"/>
          <w:szCs w:val="24"/>
        </w:rPr>
        <w:t>Espectáculos</w:t>
      </w:r>
      <w:r w:rsidR="00D6357D">
        <w:rPr>
          <w:rFonts w:ascii="Book Antiqua" w:hAnsi="Book Antiqua"/>
          <w:sz w:val="24"/>
          <w:szCs w:val="24"/>
        </w:rPr>
        <w:t xml:space="preserve">; </w:t>
      </w:r>
      <w:r w:rsidR="00F87BB1">
        <w:rPr>
          <w:rFonts w:ascii="Book Antiqua" w:hAnsi="Book Antiqua"/>
          <w:sz w:val="24"/>
          <w:szCs w:val="24"/>
        </w:rPr>
        <w:t xml:space="preserve"> </w:t>
      </w:r>
      <w:r w:rsidR="0046395B">
        <w:rPr>
          <w:rFonts w:ascii="Book Antiqua" w:hAnsi="Book Antiqua"/>
          <w:sz w:val="24"/>
          <w:szCs w:val="24"/>
        </w:rPr>
        <w:t>Asociación</w:t>
      </w:r>
      <w:proofErr w:type="gramEnd"/>
      <w:r w:rsidR="0046395B">
        <w:rPr>
          <w:rFonts w:ascii="Book Antiqua" w:hAnsi="Book Antiqua"/>
          <w:sz w:val="24"/>
          <w:szCs w:val="24"/>
        </w:rPr>
        <w:t xml:space="preserve"> de Productores y Profesionales del Entetenimiento de Puerto</w:t>
      </w:r>
      <w:r w:rsidR="00FA0F9F">
        <w:rPr>
          <w:rFonts w:ascii="Book Antiqua" w:hAnsi="Book Antiqua"/>
          <w:sz w:val="24"/>
          <w:szCs w:val="24"/>
        </w:rPr>
        <w:t xml:space="preserve"> Rico</w:t>
      </w:r>
      <w:r w:rsidR="00D6357D">
        <w:rPr>
          <w:rFonts w:ascii="Book Antiqua" w:hAnsi="Book Antiqua"/>
          <w:sz w:val="24"/>
          <w:szCs w:val="24"/>
        </w:rPr>
        <w:t>;</w:t>
      </w:r>
      <w:r w:rsidR="00BA345B">
        <w:rPr>
          <w:rFonts w:ascii="Book Antiqua" w:hAnsi="Book Antiqua"/>
          <w:sz w:val="24"/>
          <w:szCs w:val="24"/>
        </w:rPr>
        <w:t xml:space="preserve"> </w:t>
      </w:r>
      <w:proofErr w:type="spellStart"/>
      <w:r w:rsidR="00BA345B">
        <w:rPr>
          <w:rFonts w:ascii="Book Antiqua" w:hAnsi="Book Antiqua"/>
          <w:sz w:val="24"/>
          <w:szCs w:val="24"/>
        </w:rPr>
        <w:t>Josantonio</w:t>
      </w:r>
      <w:proofErr w:type="spellEnd"/>
      <w:r w:rsidR="00BA345B">
        <w:rPr>
          <w:rFonts w:ascii="Book Antiqua" w:hAnsi="Book Antiqua"/>
          <w:sz w:val="24"/>
          <w:szCs w:val="24"/>
        </w:rPr>
        <w:t xml:space="preserve"> Mellado; Pie Tix</w:t>
      </w:r>
      <w:r w:rsidR="00AF39B9">
        <w:rPr>
          <w:rFonts w:ascii="Book Antiqua" w:hAnsi="Book Antiqua"/>
          <w:sz w:val="24"/>
          <w:szCs w:val="24"/>
        </w:rPr>
        <w:t xml:space="preserve">; </w:t>
      </w:r>
      <w:r w:rsidR="00EC0476">
        <w:rPr>
          <w:rFonts w:ascii="Book Antiqua" w:hAnsi="Book Antiqua"/>
          <w:sz w:val="24"/>
          <w:szCs w:val="24"/>
        </w:rPr>
        <w:t xml:space="preserve">y </w:t>
      </w:r>
      <w:r w:rsidR="00AF39B9">
        <w:rPr>
          <w:rFonts w:ascii="Book Antiqua" w:hAnsi="Book Antiqua"/>
          <w:sz w:val="24"/>
          <w:szCs w:val="24"/>
        </w:rPr>
        <w:t>Rolando Santa</w:t>
      </w:r>
      <w:r w:rsidR="00EC0476">
        <w:rPr>
          <w:rFonts w:ascii="Book Antiqua" w:hAnsi="Book Antiqua"/>
          <w:sz w:val="24"/>
          <w:szCs w:val="24"/>
        </w:rPr>
        <w:t>.</w:t>
      </w:r>
    </w:p>
    <w:p w14:paraId="7140509C" w14:textId="171D8819" w:rsidR="00920769" w:rsidRDefault="00920769" w:rsidP="004B1A98">
      <w:pPr>
        <w:ind w:firstLine="708"/>
        <w:jc w:val="both"/>
        <w:rPr>
          <w:rFonts w:ascii="Book Antiqua" w:hAnsi="Book Antiqua"/>
          <w:sz w:val="24"/>
          <w:szCs w:val="24"/>
        </w:rPr>
      </w:pPr>
      <w:r>
        <w:rPr>
          <w:rFonts w:ascii="Book Antiqua" w:hAnsi="Book Antiqua"/>
          <w:sz w:val="24"/>
          <w:szCs w:val="24"/>
        </w:rPr>
        <w:t xml:space="preserve">Asimismo, se realizó una </w:t>
      </w:r>
      <w:r w:rsidRPr="006A4CD9">
        <w:rPr>
          <w:rFonts w:ascii="Book Antiqua" w:hAnsi="Book Antiqua"/>
          <w:b/>
          <w:bCs/>
          <w:sz w:val="24"/>
          <w:szCs w:val="24"/>
        </w:rPr>
        <w:t>Vista P</w:t>
      </w:r>
      <w:r w:rsidR="00F53B5D" w:rsidRPr="006A4CD9">
        <w:rPr>
          <w:rFonts w:ascii="Book Antiqua" w:hAnsi="Book Antiqua"/>
          <w:b/>
          <w:bCs/>
          <w:sz w:val="24"/>
          <w:szCs w:val="24"/>
        </w:rPr>
        <w:t xml:space="preserve">ública </w:t>
      </w:r>
      <w:r w:rsidR="00F53B5D" w:rsidRPr="006A4CD9">
        <w:rPr>
          <w:rFonts w:ascii="Book Antiqua" w:hAnsi="Book Antiqua"/>
          <w:sz w:val="24"/>
          <w:szCs w:val="24"/>
        </w:rPr>
        <w:t>el lunes,</w:t>
      </w:r>
      <w:r w:rsidR="00F53B5D" w:rsidRPr="006A4CD9">
        <w:rPr>
          <w:rFonts w:ascii="Book Antiqua" w:hAnsi="Book Antiqua"/>
          <w:b/>
          <w:bCs/>
          <w:sz w:val="24"/>
          <w:szCs w:val="24"/>
        </w:rPr>
        <w:t xml:space="preserve"> 9 de febrero de 2026</w:t>
      </w:r>
      <w:r w:rsidR="00F53B5D">
        <w:rPr>
          <w:rFonts w:ascii="Book Antiqua" w:hAnsi="Book Antiqua"/>
          <w:sz w:val="24"/>
          <w:szCs w:val="24"/>
        </w:rPr>
        <w:t xml:space="preserve">, a la cual comparecieron Tix </w:t>
      </w:r>
      <w:proofErr w:type="spellStart"/>
      <w:r w:rsidR="00F53B5D">
        <w:rPr>
          <w:rFonts w:ascii="Book Antiqua" w:hAnsi="Book Antiqua"/>
          <w:sz w:val="24"/>
          <w:szCs w:val="24"/>
        </w:rPr>
        <w:t>By</w:t>
      </w:r>
      <w:proofErr w:type="spellEnd"/>
      <w:r w:rsidR="00F53B5D">
        <w:rPr>
          <w:rFonts w:ascii="Book Antiqua" w:hAnsi="Book Antiqua"/>
          <w:sz w:val="24"/>
          <w:szCs w:val="24"/>
        </w:rPr>
        <w:t>, LLC</w:t>
      </w:r>
      <w:r w:rsidR="00F6606D">
        <w:rPr>
          <w:rFonts w:ascii="Book Antiqua" w:hAnsi="Book Antiqua"/>
          <w:sz w:val="24"/>
          <w:szCs w:val="24"/>
        </w:rPr>
        <w:t xml:space="preserve"> (</w:t>
      </w:r>
      <w:proofErr w:type="spellStart"/>
      <w:r w:rsidR="00F6606D">
        <w:rPr>
          <w:rFonts w:ascii="Book Antiqua" w:hAnsi="Book Antiqua"/>
          <w:sz w:val="24"/>
          <w:szCs w:val="24"/>
        </w:rPr>
        <w:t>Ticketera</w:t>
      </w:r>
      <w:proofErr w:type="spellEnd"/>
      <w:proofErr w:type="gramStart"/>
      <w:r w:rsidR="00F6606D">
        <w:rPr>
          <w:rFonts w:ascii="Book Antiqua" w:hAnsi="Book Antiqua"/>
          <w:sz w:val="24"/>
          <w:szCs w:val="24"/>
        </w:rPr>
        <w:t>)</w:t>
      </w:r>
      <w:r w:rsidR="008F27AF">
        <w:rPr>
          <w:rFonts w:ascii="Book Antiqua" w:hAnsi="Book Antiqua"/>
          <w:sz w:val="24"/>
          <w:szCs w:val="24"/>
        </w:rPr>
        <w:t xml:space="preserve">; </w:t>
      </w:r>
      <w:r w:rsidR="002F7BFD">
        <w:rPr>
          <w:rFonts w:ascii="Book Antiqua" w:hAnsi="Book Antiqua"/>
          <w:sz w:val="24"/>
          <w:szCs w:val="24"/>
        </w:rPr>
        <w:t xml:space="preserve"> el</w:t>
      </w:r>
      <w:proofErr w:type="gramEnd"/>
      <w:r w:rsidR="002F7BFD">
        <w:rPr>
          <w:rFonts w:ascii="Book Antiqua" w:hAnsi="Book Antiqua"/>
          <w:sz w:val="24"/>
          <w:szCs w:val="24"/>
        </w:rPr>
        <w:t xml:space="preserve"> Colegio de Productores de Espectáculos Públicos de Puerto Rico (COPEP)</w:t>
      </w:r>
      <w:r w:rsidR="00F656D0">
        <w:rPr>
          <w:rFonts w:ascii="Book Antiqua" w:hAnsi="Book Antiqua"/>
          <w:sz w:val="24"/>
          <w:szCs w:val="24"/>
        </w:rPr>
        <w:t xml:space="preserve">; el Departamento de Asuntos del Consumidor (DACO); </w:t>
      </w:r>
      <w:proofErr w:type="spellStart"/>
      <w:r w:rsidR="005E5E8E">
        <w:rPr>
          <w:rFonts w:ascii="Book Antiqua" w:hAnsi="Book Antiqua"/>
          <w:sz w:val="24"/>
          <w:szCs w:val="24"/>
        </w:rPr>
        <w:t>Josantonio</w:t>
      </w:r>
      <w:proofErr w:type="spellEnd"/>
      <w:r w:rsidR="005E5E8E">
        <w:rPr>
          <w:rFonts w:ascii="Book Antiqua" w:hAnsi="Book Antiqua"/>
          <w:sz w:val="24"/>
          <w:szCs w:val="24"/>
        </w:rPr>
        <w:t xml:space="preserve"> Mellado González</w:t>
      </w:r>
      <w:r w:rsidR="00501623">
        <w:rPr>
          <w:rFonts w:ascii="Book Antiqua" w:hAnsi="Book Antiqua"/>
          <w:sz w:val="24"/>
          <w:szCs w:val="24"/>
        </w:rPr>
        <w:t xml:space="preserve">; </w:t>
      </w:r>
      <w:r w:rsidR="005F349F">
        <w:rPr>
          <w:rFonts w:ascii="Book Antiqua" w:hAnsi="Book Antiqua"/>
          <w:sz w:val="24"/>
          <w:szCs w:val="24"/>
        </w:rPr>
        <w:t xml:space="preserve">y </w:t>
      </w:r>
      <w:r w:rsidR="004139EE">
        <w:rPr>
          <w:rFonts w:ascii="Book Antiqua" w:hAnsi="Book Antiqua"/>
          <w:sz w:val="24"/>
          <w:szCs w:val="24"/>
        </w:rPr>
        <w:t>Rolando Santa Báez</w:t>
      </w:r>
      <w:r w:rsidR="005F349F">
        <w:rPr>
          <w:rFonts w:ascii="Book Antiqua" w:hAnsi="Book Antiqua"/>
          <w:sz w:val="24"/>
          <w:szCs w:val="24"/>
        </w:rPr>
        <w:t xml:space="preserve">. Por su parte, </w:t>
      </w:r>
      <w:r w:rsidR="004334E9">
        <w:rPr>
          <w:rFonts w:ascii="Book Antiqua" w:hAnsi="Book Antiqua"/>
          <w:sz w:val="24"/>
          <w:szCs w:val="24"/>
        </w:rPr>
        <w:t xml:space="preserve">Tix </w:t>
      </w:r>
      <w:proofErr w:type="spellStart"/>
      <w:r w:rsidR="004334E9">
        <w:rPr>
          <w:rFonts w:ascii="Book Antiqua" w:hAnsi="Book Antiqua"/>
          <w:sz w:val="24"/>
          <w:szCs w:val="24"/>
        </w:rPr>
        <w:t>By</w:t>
      </w:r>
      <w:proofErr w:type="spellEnd"/>
      <w:r w:rsidR="004334E9">
        <w:rPr>
          <w:rFonts w:ascii="Book Antiqua" w:hAnsi="Book Antiqua"/>
          <w:sz w:val="24"/>
          <w:szCs w:val="24"/>
        </w:rPr>
        <w:t>, LLC (</w:t>
      </w:r>
      <w:proofErr w:type="spellStart"/>
      <w:r w:rsidR="004334E9">
        <w:rPr>
          <w:rFonts w:ascii="Book Antiqua" w:hAnsi="Book Antiqua"/>
          <w:sz w:val="24"/>
          <w:szCs w:val="24"/>
        </w:rPr>
        <w:t>Ticketera</w:t>
      </w:r>
      <w:proofErr w:type="spellEnd"/>
      <w:r w:rsidR="004334E9">
        <w:rPr>
          <w:rFonts w:ascii="Book Antiqua" w:hAnsi="Book Antiqua"/>
          <w:sz w:val="24"/>
          <w:szCs w:val="24"/>
        </w:rPr>
        <w:t>) se excusó, pero expresó por escrito que endosaban en su totalidad</w:t>
      </w:r>
      <w:r w:rsidR="00A42D2A">
        <w:rPr>
          <w:rFonts w:ascii="Book Antiqua" w:hAnsi="Book Antiqua"/>
          <w:sz w:val="24"/>
          <w:szCs w:val="24"/>
        </w:rPr>
        <w:t xml:space="preserve"> la ponencia de la Asociación de Productores y Profesionales del Entretenimiento de Puerto Rico</w:t>
      </w:r>
      <w:r w:rsidR="00B67B11">
        <w:rPr>
          <w:rFonts w:ascii="Book Antiqua" w:hAnsi="Book Antiqua"/>
          <w:sz w:val="24"/>
          <w:szCs w:val="24"/>
        </w:rPr>
        <w:t>.</w:t>
      </w:r>
    </w:p>
    <w:p w14:paraId="3BBC851F" w14:textId="7B378C59" w:rsidR="00B73AC6" w:rsidRDefault="00B73AC6" w:rsidP="004B1A98">
      <w:pPr>
        <w:ind w:firstLine="708"/>
        <w:jc w:val="both"/>
        <w:rPr>
          <w:rFonts w:ascii="Book Antiqua" w:hAnsi="Book Antiqua"/>
          <w:sz w:val="24"/>
          <w:szCs w:val="24"/>
        </w:rPr>
      </w:pPr>
      <w:r>
        <w:rPr>
          <w:rFonts w:ascii="Book Antiqua" w:hAnsi="Book Antiqua"/>
          <w:sz w:val="24"/>
          <w:szCs w:val="24"/>
        </w:rPr>
        <w:t>Tras analizar las ponencias presentadas, se identificaron opiniones que podemos identificar en tres tipos de opiniones definidas:</w:t>
      </w:r>
    </w:p>
    <w:p w14:paraId="107B2E96" w14:textId="12135ADF" w:rsidR="00B73AC6" w:rsidRPr="00787019" w:rsidRDefault="00746697" w:rsidP="00746697">
      <w:pPr>
        <w:pStyle w:val="ListParagraph"/>
        <w:numPr>
          <w:ilvl w:val="0"/>
          <w:numId w:val="20"/>
        </w:numPr>
        <w:jc w:val="both"/>
        <w:rPr>
          <w:rFonts w:ascii="Book Antiqua" w:hAnsi="Book Antiqua"/>
          <w:sz w:val="24"/>
          <w:szCs w:val="24"/>
        </w:rPr>
      </w:pPr>
      <w:r>
        <w:rPr>
          <w:rFonts w:ascii="Book Antiqua" w:hAnsi="Book Antiqua"/>
          <w:sz w:val="24"/>
          <w:szCs w:val="24"/>
        </w:rPr>
        <w:t>Defensa absoluta del consumidor</w:t>
      </w:r>
      <w:r w:rsidR="00787019">
        <w:rPr>
          <w:rFonts w:ascii="Book Antiqua" w:hAnsi="Book Antiqua"/>
          <w:sz w:val="24"/>
          <w:szCs w:val="24"/>
        </w:rPr>
        <w:t>:</w:t>
      </w:r>
      <w:r>
        <w:rPr>
          <w:rFonts w:ascii="Book Antiqua" w:hAnsi="Book Antiqua"/>
          <w:sz w:val="24"/>
          <w:szCs w:val="24"/>
        </w:rPr>
        <w:t xml:space="preserve"> (COPEP </w:t>
      </w:r>
      <w:r w:rsidR="00C325F8">
        <w:rPr>
          <w:rFonts w:ascii="Book Antiqua" w:hAnsi="Book Antiqua"/>
          <w:sz w:val="24"/>
          <w:szCs w:val="24"/>
        </w:rPr>
        <w:t>y Rolando Santa)</w:t>
      </w:r>
      <w:r w:rsidR="00787019">
        <w:rPr>
          <w:rFonts w:ascii="Book Antiqua" w:hAnsi="Book Antiqua"/>
          <w:sz w:val="24"/>
          <w:szCs w:val="24"/>
        </w:rPr>
        <w:t xml:space="preserve"> -</w:t>
      </w:r>
      <w:r w:rsidR="00C325F8">
        <w:rPr>
          <w:rFonts w:ascii="Book Antiqua" w:hAnsi="Book Antiqua"/>
          <w:sz w:val="24"/>
          <w:szCs w:val="24"/>
        </w:rPr>
        <w:t xml:space="preserve"> favorecen el proyecto sin reservas, Argumentan </w:t>
      </w:r>
      <w:proofErr w:type="gramStart"/>
      <w:r w:rsidR="00C325F8">
        <w:rPr>
          <w:rFonts w:ascii="Book Antiqua" w:hAnsi="Book Antiqua"/>
          <w:sz w:val="24"/>
          <w:szCs w:val="24"/>
        </w:rPr>
        <w:t>que</w:t>
      </w:r>
      <w:proofErr w:type="gramEnd"/>
      <w:r w:rsidR="00C325F8">
        <w:rPr>
          <w:rFonts w:ascii="Book Antiqua" w:hAnsi="Book Antiqua"/>
          <w:sz w:val="24"/>
          <w:szCs w:val="24"/>
        </w:rPr>
        <w:t xml:space="preserve"> si el evento no se celebra, el consumidor no recibe el </w:t>
      </w:r>
      <w:r w:rsidR="00646AE0" w:rsidRPr="00646AE0">
        <w:rPr>
          <w:rFonts w:ascii="Book Antiqua" w:hAnsi="Book Antiqua"/>
          <w:sz w:val="24"/>
          <w:szCs w:val="24"/>
        </w:rPr>
        <w:t>servicio principal y no debe financiar ineficiencias o riesgos contractuales ajenos. Denuncia un "secuestro del boleto" por esquemas monopólicos entre boleterías y "</w:t>
      </w:r>
      <w:proofErr w:type="spellStart"/>
      <w:r w:rsidR="00646AE0" w:rsidRPr="00646AE0">
        <w:rPr>
          <w:rFonts w:ascii="Book Antiqua" w:hAnsi="Book Antiqua"/>
          <w:sz w:val="24"/>
          <w:szCs w:val="24"/>
        </w:rPr>
        <w:t>venues</w:t>
      </w:r>
      <w:proofErr w:type="spellEnd"/>
      <w:r w:rsidR="00646AE0" w:rsidRPr="00646AE0">
        <w:rPr>
          <w:rFonts w:ascii="Book Antiqua" w:hAnsi="Book Antiqua"/>
          <w:sz w:val="24"/>
          <w:szCs w:val="24"/>
        </w:rPr>
        <w:t>"</w:t>
      </w:r>
      <w:r w:rsidR="00646AE0">
        <w:rPr>
          <w:rFonts w:ascii="Book Antiqua" w:hAnsi="Book Antiqua"/>
          <w:i/>
          <w:iCs/>
          <w:sz w:val="24"/>
          <w:szCs w:val="24"/>
        </w:rPr>
        <w:t>.</w:t>
      </w:r>
    </w:p>
    <w:p w14:paraId="61C9C0CF" w14:textId="108AB622" w:rsidR="00787019" w:rsidRDefault="00787019" w:rsidP="00746697">
      <w:pPr>
        <w:pStyle w:val="ListParagraph"/>
        <w:numPr>
          <w:ilvl w:val="0"/>
          <w:numId w:val="20"/>
        </w:numPr>
        <w:jc w:val="both"/>
        <w:rPr>
          <w:rFonts w:ascii="Book Antiqua" w:hAnsi="Book Antiqua"/>
          <w:sz w:val="24"/>
          <w:szCs w:val="24"/>
        </w:rPr>
      </w:pPr>
      <w:r>
        <w:rPr>
          <w:rFonts w:ascii="Book Antiqua" w:hAnsi="Book Antiqua"/>
          <w:sz w:val="24"/>
          <w:szCs w:val="24"/>
        </w:rPr>
        <w:t xml:space="preserve">Oposición de las Boleterías y Productores Asociados: </w:t>
      </w:r>
      <w:r w:rsidR="00C0768C">
        <w:rPr>
          <w:rFonts w:ascii="Book Antiqua" w:hAnsi="Book Antiqua"/>
          <w:sz w:val="24"/>
          <w:szCs w:val="24"/>
        </w:rPr>
        <w:t>(</w:t>
      </w:r>
      <w:proofErr w:type="gramStart"/>
      <w:r w:rsidR="007E21C9" w:rsidRPr="007E21C9">
        <w:rPr>
          <w:rFonts w:ascii="Book Antiqua" w:hAnsi="Book Antiqua"/>
          <w:sz w:val="24"/>
          <w:szCs w:val="24"/>
        </w:rPr>
        <w:t>Ticket</w:t>
      </w:r>
      <w:proofErr w:type="gramEnd"/>
      <w:r w:rsidR="007E21C9" w:rsidRPr="007E21C9">
        <w:rPr>
          <w:rFonts w:ascii="Book Antiqua" w:hAnsi="Book Antiqua"/>
          <w:sz w:val="24"/>
          <w:szCs w:val="24"/>
        </w:rPr>
        <w:t xml:space="preserve"> Center, </w:t>
      </w:r>
      <w:proofErr w:type="spellStart"/>
      <w:r w:rsidR="007E21C9" w:rsidRPr="007E21C9">
        <w:rPr>
          <w:rFonts w:ascii="Book Antiqua" w:hAnsi="Book Antiqua"/>
          <w:sz w:val="24"/>
          <w:szCs w:val="24"/>
        </w:rPr>
        <w:t>PieTix</w:t>
      </w:r>
      <w:proofErr w:type="spellEnd"/>
      <w:r w:rsidR="007E21C9" w:rsidRPr="007E21C9">
        <w:rPr>
          <w:rFonts w:ascii="Book Antiqua" w:hAnsi="Book Antiqua"/>
          <w:sz w:val="24"/>
          <w:szCs w:val="24"/>
        </w:rPr>
        <w:t xml:space="preserve">, APPEP, </w:t>
      </w:r>
      <w:proofErr w:type="spellStart"/>
      <w:r w:rsidR="007E21C9" w:rsidRPr="007E21C9">
        <w:rPr>
          <w:rFonts w:ascii="Book Antiqua" w:hAnsi="Book Antiqua"/>
          <w:sz w:val="24"/>
          <w:szCs w:val="24"/>
        </w:rPr>
        <w:t>Ticketera</w:t>
      </w:r>
      <w:proofErr w:type="spellEnd"/>
      <w:r w:rsidR="007E21C9" w:rsidRPr="007E21C9">
        <w:rPr>
          <w:rFonts w:ascii="Book Antiqua" w:hAnsi="Book Antiqua"/>
          <w:sz w:val="24"/>
          <w:szCs w:val="24"/>
        </w:rPr>
        <w:t>)</w:t>
      </w:r>
      <w:r w:rsidR="007E21C9">
        <w:rPr>
          <w:rFonts w:ascii="Book Antiqua" w:hAnsi="Book Antiqua"/>
          <w:sz w:val="24"/>
          <w:szCs w:val="24"/>
        </w:rPr>
        <w:t xml:space="preserve"> - </w:t>
      </w:r>
      <w:r w:rsidR="007E21C9" w:rsidRPr="007E21C9">
        <w:rPr>
          <w:rFonts w:ascii="Book Antiqua" w:hAnsi="Book Antiqua"/>
          <w:sz w:val="24"/>
          <w:szCs w:val="24"/>
        </w:rPr>
        <w:t>Argumentan que el cargo por servicio (</w:t>
      </w:r>
      <w:r w:rsidR="007E21C9" w:rsidRPr="007E21C9">
        <w:rPr>
          <w:rFonts w:ascii="Book Antiqua" w:hAnsi="Book Antiqua"/>
          <w:i/>
          <w:iCs/>
          <w:sz w:val="24"/>
          <w:szCs w:val="24"/>
        </w:rPr>
        <w:t>fee</w:t>
      </w:r>
      <w:r w:rsidR="007E21C9" w:rsidRPr="007E21C9">
        <w:rPr>
          <w:rFonts w:ascii="Book Antiqua" w:hAnsi="Book Antiqua"/>
          <w:sz w:val="24"/>
          <w:szCs w:val="24"/>
        </w:rPr>
        <w:t xml:space="preserve">) sufraga una transacción tecnológica que se agota y completa en el momento de la </w:t>
      </w:r>
      <w:r w:rsidR="007E21C9" w:rsidRPr="007E21C9">
        <w:rPr>
          <w:rFonts w:ascii="Book Antiqua" w:hAnsi="Book Antiqua"/>
          <w:sz w:val="24"/>
          <w:szCs w:val="24"/>
        </w:rPr>
        <w:lastRenderedPageBreak/>
        <w:t>compra. Sostienen que obligar al promotor a devolver lo que no recibió (o a la boletería a devolver su ingreso operativo) causaría enriquecimiento injusto y afectaría la sostenibilidad de la industria. Levantan la bandera de los cargos bancarios por procesamiento y devolución que no son reversibles.</w:t>
      </w:r>
    </w:p>
    <w:p w14:paraId="5F836F68" w14:textId="17727738" w:rsidR="007E21C9" w:rsidRPr="00746697" w:rsidRDefault="00C0768C" w:rsidP="00746697">
      <w:pPr>
        <w:pStyle w:val="ListParagraph"/>
        <w:numPr>
          <w:ilvl w:val="0"/>
          <w:numId w:val="20"/>
        </w:numPr>
        <w:jc w:val="both"/>
        <w:rPr>
          <w:rFonts w:ascii="Book Antiqua" w:hAnsi="Book Antiqua"/>
          <w:sz w:val="24"/>
          <w:szCs w:val="24"/>
        </w:rPr>
      </w:pPr>
      <w:r>
        <w:rPr>
          <w:rFonts w:ascii="Book Antiqua" w:hAnsi="Book Antiqua"/>
          <w:sz w:val="24"/>
          <w:szCs w:val="24"/>
        </w:rPr>
        <w:t xml:space="preserve">Posturas de Balance y Regulación: (DACO y </w:t>
      </w:r>
      <w:proofErr w:type="spellStart"/>
      <w:r>
        <w:rPr>
          <w:rFonts w:ascii="Book Antiqua" w:hAnsi="Book Antiqua"/>
          <w:sz w:val="24"/>
          <w:szCs w:val="24"/>
        </w:rPr>
        <w:t>Josantonio</w:t>
      </w:r>
      <w:proofErr w:type="spellEnd"/>
      <w:r>
        <w:rPr>
          <w:rFonts w:ascii="Book Antiqua" w:hAnsi="Book Antiqua"/>
          <w:sz w:val="24"/>
          <w:szCs w:val="24"/>
        </w:rPr>
        <w:t xml:space="preserve"> Mellado) - </w:t>
      </w:r>
      <w:r w:rsidR="001E1F86" w:rsidRPr="001E1F86">
        <w:rPr>
          <w:rFonts w:ascii="Book Antiqua" w:hAnsi="Book Antiqua"/>
          <w:sz w:val="24"/>
          <w:szCs w:val="24"/>
        </w:rPr>
        <w:t>DACO respalda el fin loable de proteger al consumidor, pero sugiere evaluar la naturaleza contractual del servicio ya ejecutado por las tiqueteras. Por su parte, Mellado (productor y tiquetera) ofrece un punto de equilibrio técnico crucial: coincide en que el consumidor no debe pagar por un evento cancelado, pero advierte que las procesadoras de tarjetas de crédito cobran entre un 3% y 4% por transacción que es irreversible. Sugiere que la ley contemple esto para no asfixiar financieramente a los intermediarios.</w:t>
      </w:r>
    </w:p>
    <w:p w14:paraId="61B5495B" w14:textId="77777777" w:rsidR="0031624E" w:rsidRDefault="0031624E" w:rsidP="004B1A98">
      <w:pPr>
        <w:ind w:firstLine="708"/>
        <w:jc w:val="both"/>
        <w:rPr>
          <w:rFonts w:ascii="Book Antiqua" w:hAnsi="Book Antiqua"/>
          <w:sz w:val="24"/>
          <w:szCs w:val="24"/>
        </w:rPr>
      </w:pPr>
    </w:p>
    <w:p w14:paraId="736C5514" w14:textId="18B7FF8D" w:rsidR="004B1A98" w:rsidRPr="0031624E" w:rsidRDefault="0031624E" w:rsidP="004B1A98">
      <w:pPr>
        <w:ind w:firstLine="708"/>
        <w:jc w:val="both"/>
        <w:rPr>
          <w:rFonts w:ascii="Book Antiqua" w:hAnsi="Book Antiqua"/>
          <w:sz w:val="24"/>
          <w:szCs w:val="24"/>
        </w:rPr>
      </w:pPr>
      <w:r w:rsidRPr="0031624E">
        <w:rPr>
          <w:rFonts w:ascii="Book Antiqua" w:hAnsi="Book Antiqua"/>
          <w:sz w:val="24"/>
          <w:szCs w:val="24"/>
        </w:rPr>
        <w:t xml:space="preserve">A </w:t>
      </w:r>
      <w:proofErr w:type="gramStart"/>
      <w:r w:rsidRPr="0031624E">
        <w:rPr>
          <w:rFonts w:ascii="Book Antiqua" w:hAnsi="Book Antiqua"/>
          <w:sz w:val="24"/>
          <w:szCs w:val="24"/>
        </w:rPr>
        <w:t>continuación</w:t>
      </w:r>
      <w:proofErr w:type="gramEnd"/>
      <w:r w:rsidRPr="0031624E">
        <w:rPr>
          <w:rFonts w:ascii="Book Antiqua" w:hAnsi="Book Antiqua"/>
          <w:sz w:val="24"/>
          <w:szCs w:val="24"/>
        </w:rPr>
        <w:t xml:space="preserve"> se presenta un resumen de los comentarios presentados en las ponencias</w:t>
      </w:r>
      <w:r w:rsidR="00EA2C61">
        <w:rPr>
          <w:rFonts w:ascii="Book Antiqua" w:hAnsi="Book Antiqua"/>
          <w:sz w:val="24"/>
          <w:szCs w:val="24"/>
        </w:rPr>
        <w:t xml:space="preserve"> recibidas por la Comisión</w:t>
      </w:r>
      <w:r w:rsidRPr="0031624E">
        <w:rPr>
          <w:rFonts w:ascii="Book Antiqua" w:hAnsi="Book Antiqua"/>
          <w:sz w:val="24"/>
          <w:szCs w:val="24"/>
        </w:rPr>
        <w:t>:</w:t>
      </w:r>
    </w:p>
    <w:p w14:paraId="219F8D11" w14:textId="14D590FE" w:rsidR="00E96C8C" w:rsidRDefault="000E6BA6" w:rsidP="001F2D45">
      <w:pPr>
        <w:jc w:val="both"/>
        <w:rPr>
          <w:rFonts w:ascii="Book Antiqua" w:hAnsi="Book Antiqua"/>
          <w:b/>
          <w:bCs/>
          <w:sz w:val="24"/>
          <w:szCs w:val="24"/>
          <w:u w:val="single"/>
          <w:lang w:val="es-ES" w:eastAsia="x-none"/>
        </w:rPr>
      </w:pPr>
      <w:proofErr w:type="gramStart"/>
      <w:r>
        <w:rPr>
          <w:rFonts w:ascii="Book Antiqua" w:hAnsi="Book Antiqua"/>
          <w:b/>
          <w:bCs/>
          <w:sz w:val="24"/>
          <w:szCs w:val="24"/>
          <w:u w:val="single"/>
          <w:lang w:val="es-ES" w:eastAsia="x-none"/>
        </w:rPr>
        <w:t>TICKET</w:t>
      </w:r>
      <w:proofErr w:type="gramEnd"/>
      <w:r>
        <w:rPr>
          <w:rFonts w:ascii="Book Antiqua" w:hAnsi="Book Antiqua"/>
          <w:b/>
          <w:bCs/>
          <w:sz w:val="24"/>
          <w:szCs w:val="24"/>
          <w:u w:val="single"/>
          <w:lang w:val="es-ES" w:eastAsia="x-none"/>
        </w:rPr>
        <w:t xml:space="preserve"> CENTER</w:t>
      </w:r>
    </w:p>
    <w:p w14:paraId="72807277" w14:textId="59E36047" w:rsidR="00D76804" w:rsidRDefault="004B1A98" w:rsidP="00FB014F">
      <w:pPr>
        <w:tabs>
          <w:tab w:val="left" w:pos="0"/>
        </w:tabs>
        <w:jc w:val="both"/>
        <w:rPr>
          <w:rFonts w:ascii="Book Antiqua" w:hAnsi="Book Antiqua"/>
          <w:sz w:val="24"/>
          <w:szCs w:val="28"/>
          <w:lang w:val="es-ES"/>
        </w:rPr>
      </w:pPr>
      <w:r>
        <w:rPr>
          <w:rFonts w:ascii="Book Antiqua" w:hAnsi="Book Antiqua"/>
          <w:sz w:val="24"/>
          <w:szCs w:val="28"/>
          <w:lang w:val="es-ES"/>
        </w:rPr>
        <w:tab/>
      </w:r>
      <w:proofErr w:type="gramStart"/>
      <w:r w:rsidR="000E6BA6">
        <w:rPr>
          <w:rFonts w:ascii="Book Antiqua" w:hAnsi="Book Antiqua"/>
          <w:sz w:val="24"/>
          <w:szCs w:val="28"/>
          <w:lang w:val="es-ES"/>
        </w:rPr>
        <w:t>Ticket</w:t>
      </w:r>
      <w:proofErr w:type="gramEnd"/>
      <w:r w:rsidR="000E6BA6">
        <w:rPr>
          <w:rFonts w:ascii="Book Antiqua" w:hAnsi="Book Antiqua"/>
          <w:sz w:val="24"/>
          <w:szCs w:val="28"/>
          <w:lang w:val="es-ES"/>
        </w:rPr>
        <w:t xml:space="preserve"> Center</w:t>
      </w:r>
      <w:r w:rsidR="00D76804">
        <w:rPr>
          <w:rFonts w:ascii="Book Antiqua" w:hAnsi="Book Antiqua"/>
          <w:sz w:val="24"/>
          <w:szCs w:val="28"/>
          <w:lang w:val="es-ES"/>
        </w:rPr>
        <w:t xml:space="preserve"> comparece por escrito con unos comentarios de </w:t>
      </w:r>
      <w:r w:rsidR="00826A7F">
        <w:rPr>
          <w:rFonts w:ascii="Book Antiqua" w:hAnsi="Book Antiqua"/>
          <w:sz w:val="24"/>
          <w:szCs w:val="28"/>
          <w:lang w:val="es-ES"/>
        </w:rPr>
        <w:t xml:space="preserve">José Grau, miembro de su Junta de </w:t>
      </w:r>
      <w:proofErr w:type="gramStart"/>
      <w:r w:rsidR="00826A7F">
        <w:rPr>
          <w:rFonts w:ascii="Book Antiqua" w:hAnsi="Book Antiqua"/>
          <w:sz w:val="24"/>
          <w:szCs w:val="28"/>
          <w:lang w:val="es-ES"/>
        </w:rPr>
        <w:t>Directores</w:t>
      </w:r>
      <w:proofErr w:type="gramEnd"/>
      <w:r w:rsidR="001F2D45" w:rsidRPr="00D73591">
        <w:rPr>
          <w:rFonts w:ascii="Book Antiqua" w:hAnsi="Book Antiqua"/>
          <w:sz w:val="24"/>
          <w:szCs w:val="28"/>
          <w:lang w:val="es-ES"/>
        </w:rPr>
        <w:t xml:space="preserve">, </w:t>
      </w:r>
      <w:r w:rsidR="008512CA">
        <w:rPr>
          <w:rFonts w:ascii="Book Antiqua" w:hAnsi="Book Antiqua"/>
          <w:sz w:val="24"/>
          <w:szCs w:val="28"/>
          <w:lang w:val="es-ES"/>
        </w:rPr>
        <w:t xml:space="preserve">y </w:t>
      </w:r>
      <w:r w:rsidR="00FB014F">
        <w:rPr>
          <w:rFonts w:ascii="Book Antiqua" w:hAnsi="Book Antiqua"/>
          <w:sz w:val="24"/>
          <w:szCs w:val="28"/>
          <w:lang w:val="es-ES"/>
        </w:rPr>
        <w:t>expresan su firme oposición a</w:t>
      </w:r>
      <w:r w:rsidR="009637FE">
        <w:rPr>
          <w:rFonts w:ascii="Book Antiqua" w:hAnsi="Book Antiqua"/>
          <w:sz w:val="24"/>
          <w:szCs w:val="28"/>
          <w:lang w:val="es-ES"/>
        </w:rPr>
        <w:t>l Proyecto de la Cámara 429.</w:t>
      </w:r>
      <w:r w:rsidR="00DF3911">
        <w:rPr>
          <w:rFonts w:ascii="Book Antiqua" w:hAnsi="Book Antiqua"/>
          <w:sz w:val="24"/>
          <w:szCs w:val="28"/>
          <w:lang w:val="es-ES"/>
        </w:rPr>
        <w:t xml:space="preserve"> Informan que su empresa se dedica exclusivamente a los servicios de transacciones de boletería para eventos en Puerto Rico, limitando su intervención al procesamiento, distribución, venta y entrega de boletos, en representación de los productores de espectáculos.</w:t>
      </w:r>
      <w:r w:rsidR="00776FD7">
        <w:rPr>
          <w:rFonts w:ascii="Book Antiqua" w:hAnsi="Book Antiqua"/>
          <w:sz w:val="24"/>
          <w:szCs w:val="28"/>
          <w:lang w:val="es-ES"/>
        </w:rPr>
        <w:t xml:space="preserve"> Sostienen que una vez ese servicio se ha prestado, se considera completada la transacción y el negocio de acuerdo con los términos contractuales</w:t>
      </w:r>
      <w:r w:rsidR="00D954AB">
        <w:rPr>
          <w:rFonts w:ascii="Book Antiqua" w:hAnsi="Book Antiqua"/>
          <w:sz w:val="24"/>
          <w:szCs w:val="28"/>
          <w:lang w:val="es-ES"/>
        </w:rPr>
        <w:t>.</w:t>
      </w:r>
    </w:p>
    <w:p w14:paraId="56819C55" w14:textId="62E4D30A" w:rsidR="004F54F3" w:rsidRDefault="00D954AB" w:rsidP="00FB014F">
      <w:pPr>
        <w:tabs>
          <w:tab w:val="left" w:pos="0"/>
        </w:tabs>
        <w:jc w:val="both"/>
        <w:rPr>
          <w:rFonts w:ascii="Book Antiqua" w:hAnsi="Book Antiqua"/>
          <w:sz w:val="24"/>
          <w:szCs w:val="28"/>
          <w:lang w:val="es-ES"/>
        </w:rPr>
      </w:pPr>
      <w:r>
        <w:rPr>
          <w:rFonts w:ascii="Book Antiqua" w:hAnsi="Book Antiqua"/>
          <w:sz w:val="24"/>
          <w:szCs w:val="28"/>
          <w:lang w:val="es-ES"/>
        </w:rPr>
        <w:tab/>
        <w:t xml:space="preserve">Por otro lado, indican que la cancelación de un evento no debe imputársele a su empresa ni debe generar obligaciones adicionales </w:t>
      </w:r>
      <w:r w:rsidR="00076A5F">
        <w:rPr>
          <w:rFonts w:ascii="Book Antiqua" w:hAnsi="Book Antiqua"/>
          <w:sz w:val="24"/>
          <w:szCs w:val="28"/>
          <w:lang w:val="es-ES"/>
        </w:rPr>
        <w:t xml:space="preserve">que desvirtúan la naturaleza de su servicio. Cuando ocurre una cancelación, </w:t>
      </w:r>
      <w:proofErr w:type="gramStart"/>
      <w:r w:rsidR="00076A5F">
        <w:rPr>
          <w:rFonts w:ascii="Book Antiqua" w:hAnsi="Book Antiqua"/>
          <w:sz w:val="24"/>
          <w:szCs w:val="28"/>
          <w:lang w:val="es-ES"/>
        </w:rPr>
        <w:t>Ticket</w:t>
      </w:r>
      <w:proofErr w:type="gramEnd"/>
      <w:r w:rsidR="00076A5F">
        <w:rPr>
          <w:rFonts w:ascii="Book Antiqua" w:hAnsi="Book Antiqua"/>
          <w:sz w:val="24"/>
          <w:szCs w:val="28"/>
          <w:lang w:val="es-ES"/>
        </w:rPr>
        <w:t xml:space="preserve"> Center incurre en gastos adicionales significativos para devolverle el dinero a los clientes</w:t>
      </w:r>
      <w:r w:rsidR="004F54F3">
        <w:rPr>
          <w:rFonts w:ascii="Book Antiqua" w:hAnsi="Book Antiqua"/>
          <w:sz w:val="24"/>
          <w:szCs w:val="28"/>
          <w:lang w:val="es-ES"/>
        </w:rPr>
        <w:t>.</w:t>
      </w:r>
      <w:r w:rsidR="008B5AA7">
        <w:rPr>
          <w:rFonts w:ascii="Book Antiqua" w:hAnsi="Book Antiqua"/>
          <w:sz w:val="24"/>
          <w:szCs w:val="28"/>
          <w:lang w:val="es-ES"/>
        </w:rPr>
        <w:t xml:space="preserve"> </w:t>
      </w:r>
      <w:r w:rsidR="004F54F3">
        <w:rPr>
          <w:rFonts w:ascii="Book Antiqua" w:hAnsi="Book Antiqua"/>
          <w:sz w:val="24"/>
          <w:szCs w:val="28"/>
          <w:lang w:val="es-ES"/>
        </w:rPr>
        <w:t xml:space="preserve">Entienden que la legislación supondría un enriquecimiento injusto al imponérsele a la empresa no solo la obligación de </w:t>
      </w:r>
      <w:r w:rsidR="0034551B">
        <w:rPr>
          <w:rFonts w:ascii="Book Antiqua" w:hAnsi="Book Antiqua"/>
          <w:sz w:val="24"/>
          <w:szCs w:val="28"/>
          <w:lang w:val="es-ES"/>
        </w:rPr>
        <w:t>rendir el servicio, sino también de revertirlo sin compensación alguna.</w:t>
      </w:r>
    </w:p>
    <w:p w14:paraId="05998DBF" w14:textId="1596BD6F" w:rsidR="005F2805" w:rsidRDefault="005F2805" w:rsidP="00FB014F">
      <w:pPr>
        <w:tabs>
          <w:tab w:val="left" w:pos="0"/>
        </w:tabs>
        <w:jc w:val="both"/>
        <w:rPr>
          <w:rFonts w:ascii="Book Antiqua" w:hAnsi="Book Antiqua"/>
          <w:sz w:val="24"/>
          <w:szCs w:val="28"/>
          <w:lang w:val="es-ES"/>
        </w:rPr>
      </w:pPr>
      <w:r>
        <w:rPr>
          <w:rFonts w:ascii="Book Antiqua" w:hAnsi="Book Antiqua"/>
          <w:sz w:val="24"/>
          <w:szCs w:val="28"/>
          <w:lang w:val="es-ES"/>
        </w:rPr>
        <w:tab/>
        <w:t xml:space="preserve">Por </w:t>
      </w:r>
      <w:r w:rsidR="003641A2">
        <w:rPr>
          <w:rFonts w:ascii="Book Antiqua" w:hAnsi="Book Antiqua"/>
          <w:sz w:val="24"/>
          <w:szCs w:val="28"/>
          <w:lang w:val="es-ES"/>
        </w:rPr>
        <w:t>último</w:t>
      </w:r>
      <w:r>
        <w:rPr>
          <w:rFonts w:ascii="Book Antiqua" w:hAnsi="Book Antiqua"/>
          <w:sz w:val="24"/>
          <w:szCs w:val="28"/>
          <w:lang w:val="es-ES"/>
        </w:rPr>
        <w:t>, indican que para el 2024, menos de 3.5% de las funciones fueron canceladas</w:t>
      </w:r>
      <w:r w:rsidR="003641A2">
        <w:rPr>
          <w:rFonts w:ascii="Book Antiqua" w:hAnsi="Book Antiqua"/>
          <w:sz w:val="24"/>
          <w:szCs w:val="28"/>
          <w:lang w:val="es-ES"/>
        </w:rPr>
        <w:t>. Como alternativa, sostienen que el cliente puede adquirir el boleto el mismo día del evento y así asegurar que no se va a cancelar.</w:t>
      </w:r>
    </w:p>
    <w:p w14:paraId="5156FD06" w14:textId="77777777" w:rsidR="00687248" w:rsidRDefault="00687248" w:rsidP="00FB014F">
      <w:pPr>
        <w:tabs>
          <w:tab w:val="left" w:pos="0"/>
        </w:tabs>
        <w:jc w:val="both"/>
        <w:rPr>
          <w:rFonts w:ascii="Book Antiqua" w:hAnsi="Book Antiqua"/>
          <w:sz w:val="24"/>
          <w:szCs w:val="28"/>
          <w:lang w:val="es-ES"/>
        </w:rPr>
      </w:pPr>
    </w:p>
    <w:p w14:paraId="015662CC" w14:textId="77777777" w:rsidR="006B175E" w:rsidRDefault="006B175E" w:rsidP="00FB014F">
      <w:pPr>
        <w:tabs>
          <w:tab w:val="left" w:pos="0"/>
        </w:tabs>
        <w:jc w:val="both"/>
        <w:rPr>
          <w:rFonts w:ascii="Book Antiqua" w:hAnsi="Book Antiqua"/>
          <w:b/>
          <w:bCs/>
          <w:sz w:val="24"/>
          <w:szCs w:val="24"/>
          <w:u w:val="single"/>
        </w:rPr>
      </w:pPr>
      <w:r w:rsidRPr="006B175E">
        <w:rPr>
          <w:rFonts w:ascii="Book Antiqua" w:hAnsi="Book Antiqua"/>
          <w:b/>
          <w:bCs/>
          <w:sz w:val="24"/>
          <w:szCs w:val="24"/>
          <w:u w:val="single"/>
        </w:rPr>
        <w:t>DEPARTAMENTO DE ASUNTOS DEL CONSUMIDOR</w:t>
      </w:r>
    </w:p>
    <w:p w14:paraId="0DA1E38B" w14:textId="790483FC" w:rsidR="00186DF6" w:rsidRPr="005F105E" w:rsidRDefault="00186DF6" w:rsidP="00975603">
      <w:pPr>
        <w:pStyle w:val="NormalWeb"/>
        <w:ind w:firstLine="708"/>
        <w:jc w:val="both"/>
        <w:rPr>
          <w:rFonts w:ascii="Book Antiqua" w:hAnsi="Book Antiqua"/>
          <w:lang w:val="es-ES"/>
        </w:rPr>
      </w:pPr>
      <w:r>
        <w:rPr>
          <w:rFonts w:ascii="Book Antiqua" w:hAnsi="Book Antiqua"/>
          <w:lang w:val="es-ES"/>
        </w:rPr>
        <w:lastRenderedPageBreak/>
        <w:t>E</w:t>
      </w:r>
      <w:r w:rsidRPr="00186DF6">
        <w:rPr>
          <w:rFonts w:ascii="Book Antiqua" w:hAnsi="Book Antiqua"/>
          <w:lang w:val="es-ES"/>
        </w:rPr>
        <w:t xml:space="preserve">xpresó su apoyo general a los objetivos del Proyecto de la Cámara 429, al entender que la medida busca fortalecer la protección de los consumidores cuando adquieren boletos para eventos que posteriormente son cancelados o suspendidos. El Departamento destacó que su misión institucional es garantizar los derechos de los consumidores y respaldar iniciativas que promuevan mayor claridad y certeza en los procesos de reembolso. </w:t>
      </w:r>
    </w:p>
    <w:p w14:paraId="16A314DB" w14:textId="77777777" w:rsidR="00186DF6" w:rsidRPr="00186DF6" w:rsidRDefault="00186DF6" w:rsidP="00975603">
      <w:pPr>
        <w:pStyle w:val="NormalWeb"/>
        <w:ind w:firstLine="708"/>
        <w:jc w:val="both"/>
        <w:rPr>
          <w:rFonts w:ascii="Book Antiqua" w:hAnsi="Book Antiqua"/>
          <w:lang w:val="es-ES"/>
        </w:rPr>
      </w:pPr>
      <w:r w:rsidRPr="00186DF6">
        <w:rPr>
          <w:rFonts w:ascii="Book Antiqua" w:hAnsi="Book Antiqua"/>
          <w:lang w:val="es-ES"/>
        </w:rPr>
        <w:t xml:space="preserve">En su memorial explicativo, DACO señaló que el proyecto persigue enmendar la Ley del Promotor de Espectáculos Públicos para requerir la devolución al consumidor de la totalidad de los cargos relacionados con la compra de boletos, incluyendo los cargos por servicio, el Impuesto sobre Ventas y Uso (IVU) y otros costos asociados cuando un espectáculo sea cancelado o suspendido. El Departamento indicó que este objetivo es consistente con los principios de protección al consumidor que históricamente ha promovido. </w:t>
      </w:r>
    </w:p>
    <w:p w14:paraId="0963C25F" w14:textId="77777777" w:rsidR="00186DF6" w:rsidRPr="00186DF6" w:rsidRDefault="00186DF6" w:rsidP="00975603">
      <w:pPr>
        <w:pStyle w:val="NormalWeb"/>
        <w:ind w:firstLine="708"/>
        <w:jc w:val="both"/>
        <w:rPr>
          <w:rFonts w:ascii="Book Antiqua" w:hAnsi="Book Antiqua"/>
          <w:lang w:val="es-ES"/>
        </w:rPr>
      </w:pPr>
      <w:r w:rsidRPr="00186DF6">
        <w:rPr>
          <w:rFonts w:ascii="Book Antiqua" w:hAnsi="Book Antiqua"/>
          <w:lang w:val="es-ES"/>
        </w:rPr>
        <w:t xml:space="preserve">No obstante, DACO observó que actualmente no administra ni regula directamente las disposiciones de la Ley Núm. 182-1996, por lo que su análisis se limitó al impacto que la medida tendría sobre los derechos de los consumidores. Al examinar el proyecto, reconoció que la legislación vigente ya impone al promotor la obligación de reembolsar los cargos relacionados con el boleto cuando un evento es cancelado o suspendido. </w:t>
      </w:r>
    </w:p>
    <w:p w14:paraId="53245B73" w14:textId="77777777" w:rsidR="00186DF6" w:rsidRPr="00186DF6" w:rsidRDefault="00186DF6" w:rsidP="00975603">
      <w:pPr>
        <w:pStyle w:val="NormalWeb"/>
        <w:ind w:firstLine="708"/>
        <w:jc w:val="both"/>
        <w:rPr>
          <w:rFonts w:ascii="Book Antiqua" w:hAnsi="Book Antiqua"/>
          <w:lang w:val="es-ES"/>
        </w:rPr>
      </w:pPr>
      <w:r w:rsidRPr="00186DF6">
        <w:rPr>
          <w:rFonts w:ascii="Book Antiqua" w:hAnsi="Book Antiqua"/>
          <w:lang w:val="es-ES"/>
        </w:rPr>
        <w:t xml:space="preserve">El Departamento también planteó que resulta necesario evaluar cuidadosamente si el reembolso debe incluir en todos los casos la totalidad de los cargos por servicio cobrados durante la transacción. DACO señaló que, cuando un consumidor utiliza una plataforma de venta de boletos, podría haberse generado una relación contractual independiente por servicios que, en cierta medida, ya fueron prestados al momento de la compra. Por ello, recomendó escuchar la posición de las empresas dedicadas a la venta y distribución de boletos para determinar el alcance apropiado de cualquier obligación de reembolso. </w:t>
      </w:r>
    </w:p>
    <w:p w14:paraId="34D539AC" w14:textId="77777777" w:rsidR="00186DF6" w:rsidRPr="00186DF6" w:rsidRDefault="00186DF6" w:rsidP="00975603">
      <w:pPr>
        <w:pStyle w:val="NormalWeb"/>
        <w:ind w:firstLine="708"/>
        <w:jc w:val="both"/>
        <w:rPr>
          <w:rFonts w:ascii="Book Antiqua" w:hAnsi="Book Antiqua"/>
          <w:lang w:val="es-ES"/>
        </w:rPr>
      </w:pPr>
      <w:r w:rsidRPr="00186DF6">
        <w:rPr>
          <w:rFonts w:ascii="Book Antiqua" w:hAnsi="Book Antiqua"/>
          <w:lang w:val="es-ES"/>
        </w:rPr>
        <w:t xml:space="preserve">Asimismo, DACO recomendó que se establezca desde el inicio de la transacción información clara y visible para los consumidores sobre las políticas de devolución y reembolso aplicables en caso de cancelación o suspensión de un evento. A juicio de la agencia, esta divulgación anticipada ayudaría a evitar confusiones y fortalecería la transparencia en el proceso de compra. </w:t>
      </w:r>
    </w:p>
    <w:p w14:paraId="0405E174" w14:textId="37846508" w:rsidR="00186DF6" w:rsidRPr="008B5AA7" w:rsidRDefault="00186DF6" w:rsidP="00975603">
      <w:pPr>
        <w:pStyle w:val="NormalWeb"/>
        <w:ind w:firstLine="708"/>
        <w:jc w:val="both"/>
        <w:rPr>
          <w:rFonts w:ascii="Book Antiqua" w:hAnsi="Book Antiqua"/>
          <w:lang w:val="es-ES"/>
        </w:rPr>
      </w:pPr>
      <w:r w:rsidRPr="00186DF6">
        <w:rPr>
          <w:rFonts w:ascii="Book Antiqua" w:hAnsi="Book Antiqua"/>
          <w:lang w:val="es-ES"/>
        </w:rPr>
        <w:t xml:space="preserve">En conclusión, DACO manifestó que los objetivos del Proyecto de la Cámara 429 son compatibles con la protección de los derechos de los consumidores. Sin embargo, recomendó que la Comisión también reciba el insumo del Departamento de Hacienda, de las plataformas expendedoras de boletos y del Colegio de Productores de Espectáculos Públicos antes de tomar una determinación final sobre el alcance de los reembolsos y la implementación de la medida. </w:t>
      </w:r>
    </w:p>
    <w:p w14:paraId="093988FB" w14:textId="77777777" w:rsidR="00814A53" w:rsidRDefault="006B175E" w:rsidP="00FB014F">
      <w:pPr>
        <w:tabs>
          <w:tab w:val="left" w:pos="0"/>
        </w:tabs>
        <w:jc w:val="both"/>
        <w:rPr>
          <w:rFonts w:ascii="Book Antiqua" w:hAnsi="Book Antiqua"/>
          <w:b/>
          <w:bCs/>
          <w:sz w:val="24"/>
          <w:szCs w:val="24"/>
          <w:u w:val="single"/>
        </w:rPr>
      </w:pPr>
      <w:r w:rsidRPr="006B175E">
        <w:rPr>
          <w:rFonts w:ascii="Book Antiqua" w:hAnsi="Book Antiqua"/>
          <w:b/>
          <w:bCs/>
          <w:sz w:val="24"/>
          <w:szCs w:val="24"/>
          <w:u w:val="single"/>
        </w:rPr>
        <w:lastRenderedPageBreak/>
        <w:t>COLEGIO DE PRODUCTORES DE ESPECTÁCULOS</w:t>
      </w:r>
    </w:p>
    <w:p w14:paraId="21D094E6" w14:textId="7442CDD1" w:rsidR="00A43BC5" w:rsidRPr="005F105E" w:rsidRDefault="00A43BC5" w:rsidP="00975603">
      <w:pPr>
        <w:pStyle w:val="NormalWeb"/>
        <w:ind w:firstLine="708"/>
        <w:jc w:val="both"/>
        <w:rPr>
          <w:rFonts w:ascii="Book Antiqua" w:hAnsi="Book Antiqua"/>
          <w:lang w:val="es-ES"/>
        </w:rPr>
      </w:pPr>
      <w:r>
        <w:rPr>
          <w:rFonts w:ascii="Book Antiqua" w:hAnsi="Book Antiqua"/>
          <w:lang w:val="es-ES"/>
        </w:rPr>
        <w:t>M</w:t>
      </w:r>
      <w:r w:rsidRPr="00A43BC5">
        <w:rPr>
          <w:rFonts w:ascii="Book Antiqua" w:hAnsi="Book Antiqua"/>
          <w:lang w:val="es-ES"/>
        </w:rPr>
        <w:t xml:space="preserve">anifestó apoyo condicionado al Proyecto de la Cámara 429 y expresó que siempre ha favorecido que, cuando un evento sea cancelado, el consumidor reciba la devolución de la totalidad de lo que pagó. No obstante, señaló que la controversia principal surge porque, bajo el modelo actual de venta de boletos, el único cargo que generalmente no se reembolsa es el correspondiente a los servicios de la empresa boletera. </w:t>
      </w:r>
    </w:p>
    <w:p w14:paraId="59ED000A" w14:textId="77777777" w:rsidR="00A43BC5" w:rsidRPr="00A43BC5" w:rsidRDefault="00A43BC5" w:rsidP="00975603">
      <w:pPr>
        <w:pStyle w:val="NormalWeb"/>
        <w:ind w:firstLine="708"/>
        <w:jc w:val="both"/>
        <w:rPr>
          <w:rFonts w:ascii="Book Antiqua" w:hAnsi="Book Antiqua"/>
          <w:lang w:val="es-ES"/>
        </w:rPr>
      </w:pPr>
      <w:r w:rsidRPr="00A43BC5">
        <w:rPr>
          <w:rFonts w:ascii="Book Antiqua" w:hAnsi="Book Antiqua"/>
          <w:lang w:val="es-ES"/>
        </w:rPr>
        <w:t xml:space="preserve">COPEP explicó que esos cargos por servicio son cobrados directamente al consumidor por las compañías de venta de boletos y que los promotores no controlan ni participan en la determinación de dichos cargos. Además, sostuvo que muchas facilidades imponen contratos de exclusividad con determinadas empresas de boletería y negocian porcentajes de ganancia sin la intervención del promotor, lo que provoca que este termine asumiendo responsabilidades sobre decisiones comerciales que no controla. </w:t>
      </w:r>
    </w:p>
    <w:p w14:paraId="74275A38" w14:textId="77777777" w:rsidR="00A43BC5" w:rsidRPr="00A43BC5" w:rsidRDefault="00A43BC5" w:rsidP="00975603">
      <w:pPr>
        <w:pStyle w:val="NormalWeb"/>
        <w:ind w:firstLine="708"/>
        <w:jc w:val="both"/>
        <w:rPr>
          <w:rFonts w:ascii="Book Antiqua" w:hAnsi="Book Antiqua"/>
          <w:lang w:val="es-ES"/>
        </w:rPr>
      </w:pPr>
      <w:r w:rsidRPr="00A43BC5">
        <w:rPr>
          <w:rFonts w:ascii="Book Antiqua" w:hAnsi="Book Antiqua"/>
          <w:lang w:val="es-ES"/>
        </w:rPr>
        <w:t xml:space="preserve">Por tal razón, el Colegio argumentó que resulta injusto imponer al promotor la obligación de devolver cargos por servicio cuando no tiene control sobre la selección de la boletería ni sobre la estructura de esos cargos. A su juicio, si el promotor va a ser responsable de devolver la totalidad de los importes pagados por los consumidores, también debe tener la facultad de decidir qué compañía venderá los boletos y </w:t>
      </w:r>
      <w:proofErr w:type="gramStart"/>
      <w:r w:rsidRPr="00A43BC5">
        <w:rPr>
          <w:rFonts w:ascii="Book Antiqua" w:hAnsi="Book Antiqua"/>
          <w:lang w:val="es-ES"/>
        </w:rPr>
        <w:t>bajo qué condiciones</w:t>
      </w:r>
      <w:proofErr w:type="gramEnd"/>
      <w:r w:rsidRPr="00A43BC5">
        <w:rPr>
          <w:rFonts w:ascii="Book Antiqua" w:hAnsi="Book Antiqua"/>
          <w:lang w:val="es-ES"/>
        </w:rPr>
        <w:t xml:space="preserve"> comerciales operará. </w:t>
      </w:r>
    </w:p>
    <w:p w14:paraId="25ACE860" w14:textId="60AD6597" w:rsidR="00814A53" w:rsidRPr="008B5AA7" w:rsidRDefault="00A43BC5" w:rsidP="00975603">
      <w:pPr>
        <w:pStyle w:val="NormalWeb"/>
        <w:ind w:firstLine="708"/>
        <w:jc w:val="both"/>
        <w:rPr>
          <w:rFonts w:ascii="Book Antiqua" w:hAnsi="Book Antiqua"/>
          <w:lang w:val="es-ES"/>
        </w:rPr>
      </w:pPr>
      <w:r w:rsidRPr="00A43BC5">
        <w:rPr>
          <w:rFonts w:ascii="Book Antiqua" w:hAnsi="Book Antiqua"/>
          <w:lang w:val="es-ES"/>
        </w:rPr>
        <w:t xml:space="preserve">Como alternativa, COPEP propuso prohibir los contratos de exclusividad entre las facilidades y las empresas de boletería, fomentar la libre competencia entre estas compañías y reafirmar que, conforme a la Ley Núm. 182-1996, el promotor es la única persona autorizada a vender derechos de admisión. Según la organización, estas medidas permitirían que los promotores negocien directamente los términos de los servicios de boletería y asuman responsabilidades acordes con el control que ejercen sobre el proceso. </w:t>
      </w:r>
    </w:p>
    <w:p w14:paraId="3DD14D69" w14:textId="77777777" w:rsidR="00814A53" w:rsidRDefault="006B175E" w:rsidP="00FB014F">
      <w:pPr>
        <w:tabs>
          <w:tab w:val="left" w:pos="0"/>
        </w:tabs>
        <w:jc w:val="both"/>
        <w:rPr>
          <w:rFonts w:ascii="Book Antiqua" w:hAnsi="Book Antiqua"/>
          <w:b/>
          <w:bCs/>
          <w:sz w:val="24"/>
          <w:szCs w:val="24"/>
          <w:u w:val="single"/>
        </w:rPr>
      </w:pPr>
      <w:r w:rsidRPr="006B175E">
        <w:rPr>
          <w:rFonts w:ascii="Book Antiqua" w:hAnsi="Book Antiqua"/>
          <w:b/>
          <w:bCs/>
          <w:sz w:val="24"/>
          <w:szCs w:val="24"/>
          <w:u w:val="single"/>
        </w:rPr>
        <w:t>ASOCIACIÓN DE PRODUCTORES Y PROFESIONALES DEL ENTETENIMIENTO DE PUERTO RICO</w:t>
      </w:r>
    </w:p>
    <w:p w14:paraId="10D349F0" w14:textId="0AC64529" w:rsidR="002B086B" w:rsidRPr="005F105E" w:rsidRDefault="002B086B" w:rsidP="00975603">
      <w:pPr>
        <w:pStyle w:val="NormalWeb"/>
        <w:ind w:firstLine="708"/>
        <w:jc w:val="both"/>
        <w:rPr>
          <w:rFonts w:ascii="Book Antiqua" w:hAnsi="Book Antiqua"/>
          <w:lang w:val="es-ES"/>
        </w:rPr>
      </w:pPr>
      <w:r w:rsidRPr="002B086B">
        <w:rPr>
          <w:rFonts w:ascii="Book Antiqua" w:hAnsi="Book Antiqua"/>
          <w:lang w:val="es-ES"/>
        </w:rPr>
        <w:t xml:space="preserve">Aunque la organización reconoce que </w:t>
      </w:r>
      <w:r>
        <w:rPr>
          <w:rFonts w:ascii="Book Antiqua" w:hAnsi="Book Antiqua"/>
          <w:lang w:val="es-ES"/>
        </w:rPr>
        <w:t>la</w:t>
      </w:r>
      <w:r w:rsidRPr="002B086B">
        <w:rPr>
          <w:rFonts w:ascii="Book Antiqua" w:hAnsi="Book Antiqua"/>
          <w:lang w:val="es-ES"/>
        </w:rPr>
        <w:t xml:space="preserve"> medida persigue objetivos legítimos de protección al consumidor y transparencia en la venta de boletos, sostiene que parte de premisas incorrectas sobre el funcionamiento real de la industria del entretenimiento y podrían generar consecuencias adversas para los consumidores, los productores y la economía del país. </w:t>
      </w:r>
    </w:p>
    <w:p w14:paraId="14C841A6" w14:textId="77777777" w:rsidR="002B086B" w:rsidRPr="002B086B" w:rsidRDefault="002B086B" w:rsidP="00975603">
      <w:pPr>
        <w:pStyle w:val="NormalWeb"/>
        <w:ind w:firstLine="708"/>
        <w:jc w:val="both"/>
        <w:rPr>
          <w:rFonts w:ascii="Book Antiqua" w:hAnsi="Book Antiqua"/>
          <w:lang w:val="es-ES"/>
        </w:rPr>
      </w:pPr>
      <w:r w:rsidRPr="002B086B">
        <w:rPr>
          <w:rFonts w:ascii="Book Antiqua" w:hAnsi="Book Antiqua"/>
          <w:lang w:val="es-ES"/>
        </w:rPr>
        <w:t xml:space="preserve">La APPEP destaca que la industria del entretenimiento en Puerto Rico atraviesa un período de crecimiento sostenido, caracterizado por una mayor cantidad de espectáculos, una oferta artística más diversa y una creciente capacidad para atraer producciones internacionales de primer nivel. Según la organización, este desarrollo ha sido posible gracias a la inversión de capital privado y a la asunción de riesgos </w:t>
      </w:r>
      <w:r w:rsidRPr="002B086B">
        <w:rPr>
          <w:rFonts w:ascii="Book Antiqua" w:hAnsi="Book Antiqua"/>
          <w:lang w:val="es-ES"/>
        </w:rPr>
        <w:lastRenderedPageBreak/>
        <w:t xml:space="preserve">económicos significativos por parte de productores, promotores y proveedores de servicios especializados. Por ello, entiende que la política pública debe enfocarse en fortalecer la competitividad del sector y no en imponer restricciones que puedan desincentivar la producción de eventos. </w:t>
      </w:r>
    </w:p>
    <w:p w14:paraId="7BFC2A95" w14:textId="77777777" w:rsidR="002B086B" w:rsidRPr="002B086B" w:rsidRDefault="002B086B" w:rsidP="00975603">
      <w:pPr>
        <w:pStyle w:val="NormalWeb"/>
        <w:ind w:firstLine="708"/>
        <w:jc w:val="both"/>
        <w:rPr>
          <w:rFonts w:ascii="Book Antiqua" w:hAnsi="Book Antiqua"/>
          <w:lang w:val="es-ES"/>
        </w:rPr>
      </w:pPr>
      <w:r w:rsidRPr="002B086B">
        <w:rPr>
          <w:rFonts w:ascii="Book Antiqua" w:hAnsi="Book Antiqua"/>
          <w:lang w:val="es-ES"/>
        </w:rPr>
        <w:t xml:space="preserve">En cuanto al </w:t>
      </w:r>
      <w:r w:rsidRPr="002B086B">
        <w:rPr>
          <w:rStyle w:val="Strong"/>
          <w:rFonts w:ascii="Book Antiqua" w:hAnsi="Book Antiqua"/>
          <w:lang w:val="es-ES"/>
        </w:rPr>
        <w:t>Proyecto de la Cámara 429</w:t>
      </w:r>
      <w:r w:rsidRPr="002B086B">
        <w:rPr>
          <w:rFonts w:ascii="Book Antiqua" w:hAnsi="Book Antiqua"/>
          <w:lang w:val="es-ES"/>
        </w:rPr>
        <w:t xml:space="preserve">, que exige el reembolso total de todos los cargos asociados a un boleto cuando un evento sea cancelado o suspendido, la APPEP sostiene que la medida impone al promotor la obligación de devolver fondos que nunca recibió. Explica que muchos de los cargos por servicio corresponden a las plataformas de boletería, las cuales ya prestaron efectivamente servicios tecnológicos y operacionales al momento de la compra, incluyendo el procesamiento del pago, la emisión del boleto y la atención al cliente. Por ello, considera injusto exigir que esos cargos sean absorbidos por los promotores o devueltos por entidades que no los recibieron. </w:t>
      </w:r>
    </w:p>
    <w:p w14:paraId="13FA870D" w14:textId="77777777" w:rsidR="002B086B" w:rsidRPr="002B086B" w:rsidRDefault="002B086B" w:rsidP="00975603">
      <w:pPr>
        <w:pStyle w:val="NormalWeb"/>
        <w:ind w:firstLine="708"/>
        <w:jc w:val="both"/>
        <w:rPr>
          <w:rFonts w:ascii="Book Antiqua" w:hAnsi="Book Antiqua"/>
          <w:lang w:val="es-ES"/>
        </w:rPr>
      </w:pPr>
      <w:r w:rsidRPr="002B086B">
        <w:rPr>
          <w:rFonts w:ascii="Book Antiqua" w:hAnsi="Book Antiqua"/>
          <w:lang w:val="es-ES"/>
        </w:rPr>
        <w:t xml:space="preserve">La organización argumenta además que las leyes que regulan actualmente la industria fueron aprobadas en una época anterior a la venta electrónica de boletos y no reflejan la realidad tecnológica moderna. Según la APPEP, las plataformas digitales han resuelto muchos de los problemas que originalmente motivaron la legislación vigente, tales como la sobreventa de boletos, las dificultades para solicitar reembolsos y la falta de comunicación efectiva con los consumidores. Por tal razón, propone que cualquier reforma reconozca el papel actual de las empresas de boletería y distribuya las responsabilidades de manera proporcional entre promotores, plataformas y el Estado. </w:t>
      </w:r>
    </w:p>
    <w:p w14:paraId="0D1BA703" w14:textId="77777777" w:rsidR="002B086B" w:rsidRPr="002B086B" w:rsidRDefault="002B086B" w:rsidP="00975603">
      <w:pPr>
        <w:pStyle w:val="NormalWeb"/>
        <w:ind w:firstLine="708"/>
        <w:jc w:val="both"/>
        <w:rPr>
          <w:rFonts w:ascii="Book Antiqua" w:hAnsi="Book Antiqua"/>
          <w:lang w:val="es-ES"/>
        </w:rPr>
      </w:pPr>
      <w:r w:rsidRPr="002B086B">
        <w:rPr>
          <w:rFonts w:ascii="Book Antiqua" w:hAnsi="Book Antiqua"/>
          <w:lang w:val="es-ES"/>
        </w:rPr>
        <w:t xml:space="preserve">La APPEP recomienda la creación de un sistema de responsabilidad compartida en los procesos de reembolso, de manera que cada participante devuelva únicamente los fondos que efectivamente recibió. Asimismo, advierte que las multas propuestas y los plazos rígidos para los reembolsos podrían resultar irrazonables en eventos de gran escala que involucren miles de transacciones y múltiples intermediarios. </w:t>
      </w:r>
    </w:p>
    <w:p w14:paraId="78E2D4C9" w14:textId="77777777" w:rsidR="002B086B" w:rsidRPr="002B086B" w:rsidRDefault="002B086B" w:rsidP="00975603">
      <w:pPr>
        <w:pStyle w:val="NormalWeb"/>
        <w:ind w:firstLine="708"/>
        <w:jc w:val="both"/>
        <w:rPr>
          <w:rFonts w:ascii="Book Antiqua" w:hAnsi="Book Antiqua"/>
          <w:lang w:val="es-ES"/>
        </w:rPr>
      </w:pPr>
      <w:r w:rsidRPr="002B086B">
        <w:rPr>
          <w:rFonts w:ascii="Book Antiqua" w:hAnsi="Book Antiqua"/>
          <w:lang w:val="es-ES"/>
        </w:rPr>
        <w:t>Por otra parte, la organización plantea que existen problemas más urgentes que requieren atención legislativa, tales como la reventa ilegal de boletos, el uso de programas automatizados (</w:t>
      </w:r>
      <w:proofErr w:type="spellStart"/>
      <w:r w:rsidRPr="002B086B">
        <w:rPr>
          <w:rStyle w:val="Emphasis"/>
          <w:rFonts w:ascii="Book Antiqua" w:hAnsi="Book Antiqua"/>
          <w:lang w:val="es-ES"/>
        </w:rPr>
        <w:t>bots</w:t>
      </w:r>
      <w:proofErr w:type="spellEnd"/>
      <w:r w:rsidRPr="002B086B">
        <w:rPr>
          <w:rFonts w:ascii="Book Antiqua" w:hAnsi="Book Antiqua"/>
          <w:lang w:val="es-ES"/>
        </w:rPr>
        <w:t xml:space="preserve">) para acaparar entradas y las deficiencias del marco regulatorio actual. También recomienda evaluar la derogación de la Ley Núm. 182-1996, que creó el Colegio de Productores de Espectáculos Públicos, debido a que la colegiación compulsoria fue declarada inconstitucional por el Tribunal Supremo de Puerto Rico. </w:t>
      </w:r>
    </w:p>
    <w:p w14:paraId="1438B642" w14:textId="49114F18" w:rsidR="007E5063" w:rsidRPr="007E5063" w:rsidRDefault="002B086B" w:rsidP="00975603">
      <w:pPr>
        <w:pStyle w:val="NormalWeb"/>
        <w:ind w:firstLine="708"/>
        <w:jc w:val="both"/>
        <w:rPr>
          <w:rFonts w:ascii="Book Antiqua" w:hAnsi="Book Antiqua"/>
          <w:lang w:val="es-ES"/>
        </w:rPr>
      </w:pPr>
      <w:r w:rsidRPr="002B086B">
        <w:rPr>
          <w:rFonts w:ascii="Book Antiqua" w:hAnsi="Book Antiqua"/>
          <w:lang w:val="es-ES"/>
        </w:rPr>
        <w:t xml:space="preserve">Finalmente, la APPEP solicita que </w:t>
      </w:r>
      <w:r w:rsidR="007E5063">
        <w:rPr>
          <w:rFonts w:ascii="Book Antiqua" w:hAnsi="Book Antiqua"/>
          <w:lang w:val="es-ES"/>
        </w:rPr>
        <w:t>la medida</w:t>
      </w:r>
      <w:r w:rsidRPr="002B086B">
        <w:rPr>
          <w:rFonts w:ascii="Book Antiqua" w:hAnsi="Book Antiqua"/>
          <w:lang w:val="es-ES"/>
        </w:rPr>
        <w:t xml:space="preserve"> reciba un informe negativo en su forma actual y propone la creación de un grupo de trabajo compuesto por legisladores, representantes de la industria y demás sectores interesados para desarrollar una reforma integral que proteja efectivamente al consumidor, atienda los problemas reales del mercado y promueva el crecimiento continuo de la industria del entretenimiento en Puerto Rico. </w:t>
      </w:r>
    </w:p>
    <w:p w14:paraId="3AABFC06" w14:textId="77777777" w:rsidR="00814A53" w:rsidRDefault="006B175E" w:rsidP="00FB014F">
      <w:pPr>
        <w:tabs>
          <w:tab w:val="left" w:pos="0"/>
        </w:tabs>
        <w:jc w:val="both"/>
        <w:rPr>
          <w:rFonts w:ascii="Book Antiqua" w:hAnsi="Book Antiqua"/>
          <w:b/>
          <w:bCs/>
          <w:sz w:val="24"/>
          <w:szCs w:val="24"/>
          <w:u w:val="single"/>
        </w:rPr>
      </w:pPr>
      <w:r w:rsidRPr="006B175E">
        <w:rPr>
          <w:rFonts w:ascii="Book Antiqua" w:hAnsi="Book Antiqua"/>
          <w:b/>
          <w:bCs/>
          <w:sz w:val="24"/>
          <w:szCs w:val="24"/>
          <w:u w:val="single"/>
        </w:rPr>
        <w:lastRenderedPageBreak/>
        <w:t xml:space="preserve"> JOSANTONIO MELLADO</w:t>
      </w:r>
    </w:p>
    <w:p w14:paraId="3D80E326" w14:textId="431E5563" w:rsidR="00A31AF9" w:rsidRPr="005F105E" w:rsidRDefault="00A31AF9" w:rsidP="00975603">
      <w:pPr>
        <w:pStyle w:val="NormalWeb"/>
        <w:ind w:firstLine="708"/>
        <w:jc w:val="both"/>
        <w:rPr>
          <w:rFonts w:ascii="Book Antiqua" w:hAnsi="Book Antiqua"/>
          <w:lang w:val="es-ES"/>
        </w:rPr>
      </w:pPr>
      <w:r>
        <w:rPr>
          <w:rFonts w:ascii="Book Antiqua" w:hAnsi="Book Antiqua"/>
          <w:lang w:val="es-ES"/>
        </w:rPr>
        <w:t>E</w:t>
      </w:r>
      <w:r w:rsidRPr="00A31AF9">
        <w:rPr>
          <w:rFonts w:ascii="Book Antiqua" w:hAnsi="Book Antiqua"/>
          <w:lang w:val="es-ES"/>
        </w:rPr>
        <w:t xml:space="preserve">xpresa su respaldo parcial al Proyecto de la Cámara 429. El compareciente expone su experiencia tanto como productor de espectáculos de Mellado </w:t>
      </w:r>
      <w:proofErr w:type="spellStart"/>
      <w:r w:rsidRPr="00A31AF9">
        <w:rPr>
          <w:rFonts w:ascii="Book Antiqua" w:hAnsi="Book Antiqua"/>
          <w:lang w:val="es-ES"/>
        </w:rPr>
        <w:t>Productions</w:t>
      </w:r>
      <w:proofErr w:type="spellEnd"/>
      <w:r w:rsidRPr="00A31AF9">
        <w:rPr>
          <w:rFonts w:ascii="Book Antiqua" w:hAnsi="Book Antiqua"/>
          <w:lang w:val="es-ES"/>
        </w:rPr>
        <w:t xml:space="preserve">, Corp. como operador de la plataforma de boletería Buy A Tix, Corp., con el propósito de aportar la perspectiva práctica de la industria de eventos y venta de boletos. </w:t>
      </w:r>
    </w:p>
    <w:p w14:paraId="1496F9F4" w14:textId="77777777" w:rsidR="00A31AF9" w:rsidRPr="00A31AF9" w:rsidRDefault="00A31AF9" w:rsidP="00975603">
      <w:pPr>
        <w:pStyle w:val="NormalWeb"/>
        <w:ind w:firstLine="708"/>
        <w:jc w:val="both"/>
        <w:rPr>
          <w:rFonts w:ascii="Book Antiqua" w:hAnsi="Book Antiqua"/>
          <w:lang w:val="es-ES"/>
        </w:rPr>
      </w:pPr>
      <w:r w:rsidRPr="00A31AF9">
        <w:rPr>
          <w:rFonts w:ascii="Book Antiqua" w:hAnsi="Book Antiqua"/>
          <w:lang w:val="es-ES"/>
        </w:rPr>
        <w:t xml:space="preserve">Mellado sostiene que las boleterías actúan como intermediarias entre los promotores y los consumidores, ofreciendo un servicio legítimo de venta y distribución de boletos. Aunque reconoce que parte del servicio ya ha sido prestado al momento de realizarse la venta, entiende que no es justo que el consumidor tenga que absorber los cargos por servicio cuando un evento es cancelado o suspendido por causas ajenas a su voluntad. Por ello, favorece que dichos cargos sean reembolsados al comprador en esas circunstancias. </w:t>
      </w:r>
    </w:p>
    <w:p w14:paraId="7EFFD49D" w14:textId="77777777" w:rsidR="00A31AF9" w:rsidRPr="00A31AF9" w:rsidRDefault="00A31AF9" w:rsidP="00975603">
      <w:pPr>
        <w:pStyle w:val="NormalWeb"/>
        <w:ind w:firstLine="708"/>
        <w:jc w:val="both"/>
        <w:rPr>
          <w:rFonts w:ascii="Book Antiqua" w:hAnsi="Book Antiqua"/>
          <w:lang w:val="es-ES"/>
        </w:rPr>
      </w:pPr>
      <w:r w:rsidRPr="00A31AF9">
        <w:rPr>
          <w:rFonts w:ascii="Book Antiqua" w:hAnsi="Book Antiqua"/>
          <w:lang w:val="es-ES"/>
        </w:rPr>
        <w:t xml:space="preserve">No obstante, advierte que las plataformas de boletería incurren en costos operacionales reales asociados a cada transacción. Explica que algunas utilizan programas informáticos de terceros que generan cargos por boleto emitido y por el mantenimiento de las plataformas, mientras que otras operan con sistemas propios que igualmente requieren gastos continuos de mantenimiento, seguridad y operación. Además, destaca que las transacciones realizadas mediante tarjetas de crédito generan cargos financieros impuestos por las procesadoras de pago que fluctúan entre un tres y un cuatro por ciento del valor de cada venta. </w:t>
      </w:r>
    </w:p>
    <w:p w14:paraId="378C761C" w14:textId="77777777" w:rsidR="00A31AF9" w:rsidRPr="00A31AF9" w:rsidRDefault="00A31AF9" w:rsidP="00975603">
      <w:pPr>
        <w:pStyle w:val="NormalWeb"/>
        <w:ind w:firstLine="708"/>
        <w:jc w:val="both"/>
        <w:rPr>
          <w:rFonts w:ascii="Book Antiqua" w:hAnsi="Book Antiqua"/>
          <w:lang w:val="es-ES"/>
        </w:rPr>
      </w:pPr>
      <w:r w:rsidRPr="00A31AF9">
        <w:rPr>
          <w:rFonts w:ascii="Book Antiqua" w:hAnsi="Book Antiqua"/>
          <w:lang w:val="es-ES"/>
        </w:rPr>
        <w:t xml:space="preserve">La ponencia enfatiza que estos cargos de procesamiento generalmente no son reembolsables para la boletería, aun cuando se devuelva la totalidad del dinero al consumidor. Por tal razón, el compareciente propone que cualquier reglamentación permita la retención de un porcentaje razonable destinado exclusivamente a cubrir esos costos de procesamiento, evitando que las empresas de boletería tengan que asumir pérdidas por conceptos que no pueden recuperar. </w:t>
      </w:r>
    </w:p>
    <w:p w14:paraId="6A807AB2" w14:textId="138A169F" w:rsidR="00962A6E" w:rsidRPr="00962A6E" w:rsidRDefault="00A31AF9" w:rsidP="00975603">
      <w:pPr>
        <w:pStyle w:val="NormalWeb"/>
        <w:ind w:firstLine="708"/>
        <w:jc w:val="both"/>
        <w:rPr>
          <w:rFonts w:ascii="Book Antiqua" w:hAnsi="Book Antiqua"/>
          <w:lang w:val="es-ES"/>
        </w:rPr>
      </w:pPr>
      <w:r w:rsidRPr="00A31AF9">
        <w:rPr>
          <w:rFonts w:ascii="Book Antiqua" w:hAnsi="Book Antiqua"/>
          <w:lang w:val="es-ES"/>
        </w:rPr>
        <w:t>Finalmente, Mellado señala que, aunque el proyecto responsabiliza al promotor por la devolución de los fondos al consumidor, en la práctica son las boleterías las que suelen ejecutar y administrar los procesos de reembolso. En consecuencia, recomienda que el marco legal reconozca expresamente el papel de las plataformas de boletería en la gestión de las devoluciones y en la administración de los fondos durante el proceso de venta, sin imponerles toda la responsabilidad relacionada con la celebración o cancelación del evento.</w:t>
      </w:r>
    </w:p>
    <w:p w14:paraId="2E6F8C3F" w14:textId="77777777" w:rsidR="00814A53" w:rsidRDefault="006B175E" w:rsidP="00FB014F">
      <w:pPr>
        <w:tabs>
          <w:tab w:val="left" w:pos="0"/>
        </w:tabs>
        <w:jc w:val="both"/>
        <w:rPr>
          <w:rFonts w:ascii="Book Antiqua" w:hAnsi="Book Antiqua"/>
          <w:b/>
          <w:bCs/>
          <w:sz w:val="24"/>
          <w:szCs w:val="24"/>
          <w:u w:val="single"/>
        </w:rPr>
      </w:pPr>
      <w:r w:rsidRPr="006B175E">
        <w:rPr>
          <w:rFonts w:ascii="Book Antiqua" w:hAnsi="Book Antiqua"/>
          <w:b/>
          <w:bCs/>
          <w:sz w:val="24"/>
          <w:szCs w:val="24"/>
          <w:u w:val="single"/>
        </w:rPr>
        <w:t>PIE TIX</w:t>
      </w:r>
    </w:p>
    <w:p w14:paraId="153D09B0" w14:textId="366F1E05" w:rsidR="00C33E79" w:rsidRPr="005F105E" w:rsidRDefault="00C33E79" w:rsidP="00975603">
      <w:pPr>
        <w:pStyle w:val="NormalWeb"/>
        <w:ind w:firstLine="708"/>
        <w:jc w:val="both"/>
        <w:rPr>
          <w:rFonts w:ascii="Book Antiqua" w:hAnsi="Book Antiqua"/>
          <w:lang w:val="es-ES"/>
        </w:rPr>
      </w:pPr>
      <w:r>
        <w:rPr>
          <w:rFonts w:ascii="Book Antiqua" w:hAnsi="Book Antiqua"/>
          <w:lang w:val="es-ES"/>
        </w:rPr>
        <w:lastRenderedPageBreak/>
        <w:t>Reconoce</w:t>
      </w:r>
      <w:r w:rsidRPr="00C33E79">
        <w:rPr>
          <w:rFonts w:ascii="Book Antiqua" w:hAnsi="Book Antiqua"/>
          <w:lang w:val="es-ES"/>
        </w:rPr>
        <w:t xml:space="preserve"> la importancia de proteger los derechos de los consumidores, pero solicitando que cualquier cambio legislativo considere también las realidades operacionales y económicas de las empresas de boletería y los promotores de eventos. </w:t>
      </w:r>
    </w:p>
    <w:p w14:paraId="61A96380" w14:textId="77777777" w:rsidR="00C33E79" w:rsidRPr="00C33E79" w:rsidRDefault="00C33E79" w:rsidP="00975603">
      <w:pPr>
        <w:pStyle w:val="NormalWeb"/>
        <w:ind w:firstLine="708"/>
        <w:jc w:val="both"/>
        <w:rPr>
          <w:rFonts w:ascii="Book Antiqua" w:hAnsi="Book Antiqua"/>
          <w:lang w:val="es-ES"/>
        </w:rPr>
      </w:pPr>
      <w:r w:rsidRPr="00C33E79">
        <w:rPr>
          <w:rFonts w:ascii="Book Antiqua" w:hAnsi="Book Antiqua"/>
          <w:lang w:val="es-ES"/>
        </w:rPr>
        <w:t xml:space="preserve">La empresa explicó que su función es servir como intermediario tecnológico y operativo entre el consumidor y el promotor del evento. Señaló que su principal fuente de ingresos proviene de los cargos por servicio cobrados en la venta de boletos, los cuales financian servicios como el mantenimiento de plataformas digitales, el procesamiento de pagos, la emisión y validación de boletos, los sistemas de acceso y el apoyo técnico y administrativo necesario para cada evento. Según </w:t>
      </w:r>
      <w:proofErr w:type="spellStart"/>
      <w:r w:rsidRPr="00C33E79">
        <w:rPr>
          <w:rFonts w:ascii="Book Antiqua" w:hAnsi="Book Antiqua"/>
          <w:lang w:val="es-ES"/>
        </w:rPr>
        <w:t>PieTix</w:t>
      </w:r>
      <w:proofErr w:type="spellEnd"/>
      <w:r w:rsidRPr="00C33E79">
        <w:rPr>
          <w:rFonts w:ascii="Book Antiqua" w:hAnsi="Book Antiqua"/>
          <w:lang w:val="es-ES"/>
        </w:rPr>
        <w:t xml:space="preserve">, estos costos se incurren desde el momento en que se vende el boleto y permanecen aun cuando un evento sea cancelado o pospuesto. </w:t>
      </w:r>
    </w:p>
    <w:p w14:paraId="3A5B190A" w14:textId="77777777" w:rsidR="00C33E79" w:rsidRPr="00C33E79" w:rsidRDefault="00C33E79" w:rsidP="00975603">
      <w:pPr>
        <w:pStyle w:val="NormalWeb"/>
        <w:ind w:firstLine="708"/>
        <w:jc w:val="both"/>
        <w:rPr>
          <w:rFonts w:ascii="Book Antiqua" w:hAnsi="Book Antiqua"/>
          <w:lang w:val="es-ES"/>
        </w:rPr>
      </w:pPr>
      <w:r w:rsidRPr="00C33E79">
        <w:rPr>
          <w:rFonts w:ascii="Book Antiqua" w:hAnsi="Book Antiqua"/>
          <w:lang w:val="es-ES"/>
        </w:rPr>
        <w:t xml:space="preserve">La ponencia sostiene que el cargo por servicio remunera un servicio que ya fue prestado al consumidor, independientemente de que el espectáculo finalmente se lleve a cabo. Por ello, argumenta que obligar a las empresas de boletería a devolver esos cargos equivaldría a exigirles la devolución de ingresos necesarios para sostener sus operaciones, aun cuando ya hayan asumido los costos correspondientes. Además, advierte que las expendedoras de boletos no tienen control sobre la decisión de cancelar o posponer eventos, ya que esa determinación corresponde a los promotores. </w:t>
      </w:r>
    </w:p>
    <w:p w14:paraId="53DC71EB" w14:textId="77777777" w:rsidR="00C33E79" w:rsidRPr="00C33E79" w:rsidRDefault="00C33E79" w:rsidP="00975603">
      <w:pPr>
        <w:pStyle w:val="NormalWeb"/>
        <w:ind w:firstLine="708"/>
        <w:jc w:val="both"/>
        <w:rPr>
          <w:rFonts w:ascii="Book Antiqua" w:hAnsi="Book Antiqua"/>
          <w:lang w:val="es-ES"/>
        </w:rPr>
      </w:pPr>
      <w:proofErr w:type="spellStart"/>
      <w:r w:rsidRPr="00C33E79">
        <w:rPr>
          <w:rFonts w:ascii="Book Antiqua" w:hAnsi="Book Antiqua"/>
          <w:lang w:val="es-ES"/>
        </w:rPr>
        <w:t>PieTix</w:t>
      </w:r>
      <w:proofErr w:type="spellEnd"/>
      <w:r w:rsidRPr="00C33E79">
        <w:rPr>
          <w:rFonts w:ascii="Book Antiqua" w:hAnsi="Book Antiqua"/>
          <w:lang w:val="es-ES"/>
        </w:rPr>
        <w:t xml:space="preserve"> también expresó preocupación por las consecuencias económicas que podría generar la medida. A su juicio, el reembolso obligatorio de los cargos por servicio podría afectar la viabilidad de las empresas de boletería, provocar pérdidas de empleo, reducir la inversión en tecnología y cumplimiento regulatorio, e incluso provocar la salida de empresas del mercado, limitando la competencia y las opciones disponibles para los consumidores. </w:t>
      </w:r>
    </w:p>
    <w:p w14:paraId="4B0B23AE" w14:textId="77777777" w:rsidR="00C33E79" w:rsidRPr="00C33E79" w:rsidRDefault="00C33E79" w:rsidP="00975603">
      <w:pPr>
        <w:pStyle w:val="NormalWeb"/>
        <w:ind w:firstLine="708"/>
        <w:jc w:val="both"/>
        <w:rPr>
          <w:rFonts w:ascii="Book Antiqua" w:hAnsi="Book Antiqua"/>
          <w:lang w:val="es-ES"/>
        </w:rPr>
      </w:pPr>
      <w:r w:rsidRPr="00C33E79">
        <w:rPr>
          <w:rFonts w:ascii="Book Antiqua" w:hAnsi="Book Antiqua"/>
          <w:lang w:val="es-ES"/>
        </w:rPr>
        <w:t xml:space="preserve">Asimismo, la empresa señaló que el proyecto presenta implicaciones fiscales relacionadas con el IVU. Explicó que dicho impuesto es remitido al Departamento de Hacienda al momento de la venta del boleto, por lo que cualquier obligación de reembolso requeriría mecanismos claros para que Hacienda devuelva esos fondos a las expendedoras y estas puedan, a su vez, reembolsarlos a los consumidores. También advirtió que la medida podría reducir ingresos contributivos para el gobierno en los casos de eventos cancelados. </w:t>
      </w:r>
    </w:p>
    <w:p w14:paraId="0564A5DA" w14:textId="77777777" w:rsidR="00C33E79" w:rsidRPr="00C33E79" w:rsidRDefault="00C33E79" w:rsidP="00975603">
      <w:pPr>
        <w:pStyle w:val="NormalWeb"/>
        <w:ind w:firstLine="708"/>
        <w:jc w:val="both"/>
        <w:rPr>
          <w:rFonts w:ascii="Book Antiqua" w:hAnsi="Book Antiqua"/>
          <w:lang w:val="es-ES"/>
        </w:rPr>
      </w:pPr>
      <w:r w:rsidRPr="00C33E79">
        <w:rPr>
          <w:rFonts w:ascii="Book Antiqua" w:hAnsi="Book Antiqua"/>
          <w:lang w:val="es-ES"/>
        </w:rPr>
        <w:t xml:space="preserve">La ponencia añade que trasladar estos costos a los promotores de eventos podría aumentar significativamente los costos de producción, desincentivar la celebración de espectáculos en Puerto Rico y limitar la oferta cultural y de entretenimiento. Por ello, </w:t>
      </w:r>
      <w:proofErr w:type="spellStart"/>
      <w:r w:rsidRPr="00C33E79">
        <w:rPr>
          <w:rFonts w:ascii="Book Antiqua" w:hAnsi="Book Antiqua"/>
          <w:lang w:val="es-ES"/>
        </w:rPr>
        <w:t>PieTix</w:t>
      </w:r>
      <w:proofErr w:type="spellEnd"/>
      <w:r w:rsidRPr="00C33E79">
        <w:rPr>
          <w:rFonts w:ascii="Book Antiqua" w:hAnsi="Book Antiqua"/>
          <w:lang w:val="es-ES"/>
        </w:rPr>
        <w:t xml:space="preserve"> recomienda buscar alternativas que protejan al consumidor sin poner en riesgo la sostenibilidad de las empresas de boletería ni la actividad de los promotores. </w:t>
      </w:r>
    </w:p>
    <w:p w14:paraId="74614AF8" w14:textId="175CDA48" w:rsidR="00920DCE" w:rsidRPr="00920DCE" w:rsidRDefault="00C33E79" w:rsidP="00975603">
      <w:pPr>
        <w:pStyle w:val="NormalWeb"/>
        <w:ind w:firstLine="708"/>
        <w:jc w:val="both"/>
        <w:rPr>
          <w:rFonts w:ascii="Book Antiqua" w:hAnsi="Book Antiqua"/>
          <w:lang w:val="es-ES"/>
        </w:rPr>
      </w:pPr>
      <w:r w:rsidRPr="00C33E79">
        <w:rPr>
          <w:rFonts w:ascii="Book Antiqua" w:hAnsi="Book Antiqua"/>
          <w:lang w:val="es-ES"/>
        </w:rPr>
        <w:lastRenderedPageBreak/>
        <w:t xml:space="preserve">En conclusión, </w:t>
      </w:r>
      <w:proofErr w:type="spellStart"/>
      <w:r w:rsidRPr="00C33E79">
        <w:rPr>
          <w:rFonts w:ascii="Book Antiqua" w:hAnsi="Book Antiqua"/>
          <w:lang w:val="es-ES"/>
        </w:rPr>
        <w:t>PieTix</w:t>
      </w:r>
      <w:proofErr w:type="spellEnd"/>
      <w:r w:rsidRPr="00C33E79">
        <w:rPr>
          <w:rFonts w:ascii="Book Antiqua" w:hAnsi="Book Antiqua"/>
          <w:lang w:val="es-ES"/>
        </w:rPr>
        <w:t xml:space="preserve"> reafirmó su compromiso con la transparencia y la protección del consumidor, pero solicitó que el proyecto reconozca que los cargos por servicio corresponden a servicios ya prestados, que las expendedoras no controlan las cancelaciones de eventos y que cualquier obligación de reembolso debe incorporar mecanismos o excepciones que permitan proteger al consumidor sin comprometer la estabilidad de la industria del entretenimiento en Puerto Rico.</w:t>
      </w:r>
    </w:p>
    <w:p w14:paraId="52F552BD" w14:textId="7B838C51" w:rsidR="00687248" w:rsidRDefault="006B175E" w:rsidP="00FB014F">
      <w:pPr>
        <w:tabs>
          <w:tab w:val="left" w:pos="0"/>
        </w:tabs>
        <w:jc w:val="both"/>
        <w:rPr>
          <w:rFonts w:ascii="Book Antiqua" w:hAnsi="Book Antiqua"/>
          <w:b/>
          <w:bCs/>
          <w:sz w:val="24"/>
          <w:szCs w:val="24"/>
          <w:u w:val="single"/>
        </w:rPr>
      </w:pPr>
      <w:r w:rsidRPr="006B175E">
        <w:rPr>
          <w:rFonts w:ascii="Book Antiqua" w:hAnsi="Book Antiqua"/>
          <w:b/>
          <w:bCs/>
          <w:sz w:val="24"/>
          <w:szCs w:val="24"/>
          <w:u w:val="single"/>
        </w:rPr>
        <w:t>ROLANDO SANTA</w:t>
      </w:r>
    </w:p>
    <w:p w14:paraId="41813283" w14:textId="1E343244" w:rsidR="007833DC" w:rsidRPr="005F105E" w:rsidRDefault="006A7298" w:rsidP="00975603">
      <w:pPr>
        <w:pStyle w:val="NormalWeb"/>
        <w:ind w:firstLine="708"/>
        <w:jc w:val="both"/>
        <w:rPr>
          <w:rFonts w:ascii="Book Antiqua" w:hAnsi="Book Antiqua"/>
          <w:lang w:val="es-ES"/>
        </w:rPr>
      </w:pPr>
      <w:r>
        <w:rPr>
          <w:rFonts w:ascii="Book Antiqua" w:hAnsi="Book Antiqua"/>
          <w:lang w:val="es-ES"/>
        </w:rPr>
        <w:t>Destaca</w:t>
      </w:r>
      <w:r w:rsidR="007833DC" w:rsidRPr="007833DC">
        <w:rPr>
          <w:rFonts w:ascii="Book Antiqua" w:hAnsi="Book Antiqua"/>
          <w:lang w:val="es-ES"/>
        </w:rPr>
        <w:t xml:space="preserve"> la importancia de fortalecer la protección al consumidor y la transparencia en la industria del entretenimiento. Señaló que, cuando un evento es cancelado, el consumidor debe recibir el reembolso total de lo pagado, incluyendo el IVU y cualquier cargo por servicio, ya que no recibió el espectáculo por el cual adquirió el boleto.</w:t>
      </w:r>
    </w:p>
    <w:p w14:paraId="147BB0D2" w14:textId="77777777" w:rsidR="007833DC" w:rsidRPr="007833DC" w:rsidRDefault="007833DC" w:rsidP="00975603">
      <w:pPr>
        <w:pStyle w:val="NormalWeb"/>
        <w:ind w:firstLine="708"/>
        <w:jc w:val="both"/>
        <w:rPr>
          <w:rFonts w:ascii="Book Antiqua" w:hAnsi="Book Antiqua"/>
          <w:lang w:val="es-ES"/>
        </w:rPr>
      </w:pPr>
      <w:r w:rsidRPr="007833DC">
        <w:rPr>
          <w:rFonts w:ascii="Book Antiqua" w:hAnsi="Book Antiqua"/>
          <w:lang w:val="es-ES"/>
        </w:rPr>
        <w:t>Además, explicó que la retención de cargos e impuestos tras la cancelación de un evento no suele responder a una decisión del productor, sino a acuerdos contractuales entre los recintos y las compañías de boletería. Según su planteamiento, estos acuerdos limitan el control de los productores sobre la venta de boletos y crean una estructura que perjudica tanto al consumidor como al productor.</w:t>
      </w:r>
    </w:p>
    <w:p w14:paraId="683B2AF9" w14:textId="77777777" w:rsidR="007833DC" w:rsidRPr="007833DC" w:rsidRDefault="007833DC" w:rsidP="00975603">
      <w:pPr>
        <w:pStyle w:val="NormalWeb"/>
        <w:ind w:firstLine="708"/>
        <w:jc w:val="both"/>
        <w:rPr>
          <w:rFonts w:ascii="Book Antiqua" w:hAnsi="Book Antiqua"/>
          <w:lang w:val="es-ES"/>
        </w:rPr>
      </w:pPr>
      <w:r w:rsidRPr="007833DC">
        <w:rPr>
          <w:rFonts w:ascii="Book Antiqua" w:hAnsi="Book Antiqua"/>
          <w:lang w:val="es-ES"/>
        </w:rPr>
        <w:t xml:space="preserve">Santa también sostuvo que los llamados “fees” o cargos adicionales, como el </w:t>
      </w:r>
      <w:proofErr w:type="spellStart"/>
      <w:r w:rsidRPr="007833DC">
        <w:rPr>
          <w:rFonts w:ascii="Book Antiqua" w:hAnsi="Book Antiqua"/>
          <w:lang w:val="es-ES"/>
        </w:rPr>
        <w:t>Promoter</w:t>
      </w:r>
      <w:proofErr w:type="spellEnd"/>
      <w:r w:rsidRPr="007833DC">
        <w:rPr>
          <w:rFonts w:ascii="Book Antiqua" w:hAnsi="Book Antiqua"/>
          <w:lang w:val="es-ES"/>
        </w:rPr>
        <w:t xml:space="preserve"> Fee, </w:t>
      </w:r>
      <w:proofErr w:type="spellStart"/>
      <w:r w:rsidRPr="007833DC">
        <w:rPr>
          <w:rFonts w:ascii="Book Antiqua" w:hAnsi="Book Antiqua"/>
          <w:lang w:val="es-ES"/>
        </w:rPr>
        <w:t>Venue</w:t>
      </w:r>
      <w:proofErr w:type="spellEnd"/>
      <w:r w:rsidRPr="007833DC">
        <w:rPr>
          <w:rFonts w:ascii="Book Antiqua" w:hAnsi="Book Antiqua"/>
          <w:lang w:val="es-ES"/>
        </w:rPr>
        <w:t xml:space="preserve"> Fee, Web Fee y </w:t>
      </w:r>
      <w:proofErr w:type="spellStart"/>
      <w:r w:rsidRPr="007833DC">
        <w:rPr>
          <w:rFonts w:ascii="Book Antiqua" w:hAnsi="Book Antiqua"/>
          <w:lang w:val="es-ES"/>
        </w:rPr>
        <w:t>Order</w:t>
      </w:r>
      <w:proofErr w:type="spellEnd"/>
      <w:r w:rsidRPr="007833DC">
        <w:rPr>
          <w:rFonts w:ascii="Book Antiqua" w:hAnsi="Book Antiqua"/>
          <w:lang w:val="es-ES"/>
        </w:rPr>
        <w:t xml:space="preserve"> Fee, deben eliminarse cuando no representen un servicio real o un valor añadido para el consumidor. Afirmó que estos cargos distorsionan el precio final de los boletos, carecen de transparencia y constituyen una práctica engañosa.</w:t>
      </w:r>
    </w:p>
    <w:p w14:paraId="40EC859F" w14:textId="77777777" w:rsidR="007833DC" w:rsidRPr="007833DC" w:rsidRDefault="007833DC" w:rsidP="00975603">
      <w:pPr>
        <w:pStyle w:val="NormalWeb"/>
        <w:ind w:firstLine="708"/>
        <w:jc w:val="both"/>
        <w:rPr>
          <w:rFonts w:ascii="Book Antiqua" w:hAnsi="Book Antiqua"/>
          <w:lang w:val="es-ES"/>
        </w:rPr>
      </w:pPr>
      <w:r w:rsidRPr="007833DC">
        <w:rPr>
          <w:rFonts w:ascii="Book Antiqua" w:hAnsi="Book Antiqua"/>
          <w:lang w:val="es-ES"/>
        </w:rPr>
        <w:t>Asimismo, rechazó el argumento de que los consumidores que no estén de acuerdo con estos cargos simplemente deben abstenerse de asistir a los eventos. En su opinión, los consumidores no deben asumir los costos derivados de acuerdos privados, ineficiencias operacionales o modelos de negocio deficientes. En cambio, sostuvo que la industria debe asumir la responsabilidad de sus propias decisiones comerciales.</w:t>
      </w:r>
    </w:p>
    <w:p w14:paraId="4CCF0592" w14:textId="77777777" w:rsidR="007833DC" w:rsidRPr="007833DC" w:rsidRDefault="007833DC" w:rsidP="00975603">
      <w:pPr>
        <w:pStyle w:val="NormalWeb"/>
        <w:ind w:firstLine="708"/>
        <w:jc w:val="both"/>
        <w:rPr>
          <w:rFonts w:ascii="Book Antiqua" w:hAnsi="Book Antiqua"/>
          <w:lang w:val="es-ES"/>
        </w:rPr>
      </w:pPr>
      <w:r w:rsidRPr="007833DC">
        <w:rPr>
          <w:rFonts w:ascii="Book Antiqua" w:hAnsi="Book Antiqua"/>
          <w:lang w:val="es-ES"/>
        </w:rPr>
        <w:t>Durante su ponencia enfatizó que defender al consumidor no es una postura populista, sino una obligación legal, ética y social. Indicó que todo cargo debe estar claramente informado, debidamente justificado y ofrecer un beneficio tangible al consumidor. De lo contrario, consideró que se trata de una práctica injusta y engañosa.</w:t>
      </w:r>
    </w:p>
    <w:p w14:paraId="1754E377" w14:textId="299C67F9" w:rsidR="009C75E9" w:rsidRDefault="007833DC" w:rsidP="00975603">
      <w:pPr>
        <w:pStyle w:val="NormalWeb"/>
        <w:ind w:firstLine="708"/>
        <w:jc w:val="both"/>
        <w:rPr>
          <w:rFonts w:ascii="Book Antiqua" w:hAnsi="Book Antiqua"/>
          <w:lang w:val="es-ES"/>
        </w:rPr>
      </w:pPr>
      <w:r w:rsidRPr="007833DC">
        <w:rPr>
          <w:rFonts w:ascii="Book Antiqua" w:hAnsi="Book Antiqua"/>
          <w:lang w:val="es-ES"/>
        </w:rPr>
        <w:t xml:space="preserve">Finalmente, destacó que existe una tendencia a nivel federal para combatir los llamados “cargos chatarra” o </w:t>
      </w:r>
      <w:proofErr w:type="spellStart"/>
      <w:r w:rsidRPr="007833DC">
        <w:rPr>
          <w:rStyle w:val="Emphasis"/>
          <w:rFonts w:ascii="Book Antiqua" w:hAnsi="Book Antiqua"/>
          <w:lang w:val="es-ES"/>
        </w:rPr>
        <w:t>junk</w:t>
      </w:r>
      <w:proofErr w:type="spellEnd"/>
      <w:r w:rsidRPr="007833DC">
        <w:rPr>
          <w:rStyle w:val="Emphasis"/>
          <w:rFonts w:ascii="Book Antiqua" w:hAnsi="Book Antiqua"/>
          <w:lang w:val="es-ES"/>
        </w:rPr>
        <w:t xml:space="preserve"> fees</w:t>
      </w:r>
      <w:r w:rsidRPr="007833DC">
        <w:rPr>
          <w:rFonts w:ascii="Book Antiqua" w:hAnsi="Book Antiqua"/>
          <w:lang w:val="es-ES"/>
        </w:rPr>
        <w:t>, por lo que Puerto Rico debe avanzar hacia mayores estándares de transparencia y protección al consumidor. Concluyó reafirmando la posición del Colegio de Productores de Espectáculos Públicos de Puerto Rico (COPEP): rechazar los monopolios y los cargos adicionales injustificados, y promover precios claros, honestos y transparentes para el público.</w:t>
      </w:r>
    </w:p>
    <w:p w14:paraId="768F864D" w14:textId="2D884DD2" w:rsidR="00975603" w:rsidRPr="005F105E" w:rsidRDefault="00975603" w:rsidP="00975603">
      <w:pPr>
        <w:pStyle w:val="NormalWeb"/>
        <w:ind w:firstLine="708"/>
        <w:jc w:val="center"/>
        <w:rPr>
          <w:rFonts w:ascii="Book Antiqua" w:hAnsi="Book Antiqua"/>
          <w:b/>
          <w:bCs/>
          <w:lang w:val="es-ES"/>
        </w:rPr>
      </w:pPr>
      <w:r w:rsidRPr="005F105E">
        <w:rPr>
          <w:rFonts w:ascii="Book Antiqua" w:hAnsi="Book Antiqua"/>
          <w:b/>
          <w:bCs/>
          <w:lang w:val="es-ES"/>
        </w:rPr>
        <w:lastRenderedPageBreak/>
        <w:t xml:space="preserve">DETERMINACIÓN DE IMPACTO </w:t>
      </w:r>
      <w:r w:rsidR="007526D8" w:rsidRPr="005F105E">
        <w:rPr>
          <w:rFonts w:ascii="Book Antiqua" w:hAnsi="Book Antiqua"/>
          <w:b/>
          <w:bCs/>
          <w:lang w:val="es-ES"/>
        </w:rPr>
        <w:t>FISCAL</w:t>
      </w:r>
    </w:p>
    <w:p w14:paraId="7B2034F3" w14:textId="2E565D1A" w:rsidR="00975603" w:rsidRPr="00975603" w:rsidRDefault="00975603" w:rsidP="00975603">
      <w:pPr>
        <w:pStyle w:val="NormalWeb"/>
        <w:ind w:firstLine="708"/>
        <w:jc w:val="both"/>
        <w:rPr>
          <w:rFonts w:ascii="Book Antiqua" w:hAnsi="Book Antiqua"/>
          <w:lang w:val="es-PR"/>
        </w:rPr>
      </w:pPr>
      <w:r w:rsidRPr="00975603">
        <w:rPr>
          <w:rFonts w:ascii="Book Antiqua" w:hAnsi="Book Antiqua"/>
          <w:lang w:val="es-PR"/>
        </w:rPr>
        <w:t xml:space="preserve">Conforme al análisis de la medida, la Comisión de Asuntos del Consumidor concluye que el Proyecto de la Cámara </w:t>
      </w:r>
      <w:r>
        <w:rPr>
          <w:rFonts w:ascii="Book Antiqua" w:hAnsi="Book Antiqua"/>
          <w:lang w:val="es-PR"/>
        </w:rPr>
        <w:t>429</w:t>
      </w:r>
      <w:r w:rsidRPr="00975603">
        <w:rPr>
          <w:rFonts w:ascii="Book Antiqua" w:hAnsi="Book Antiqua"/>
          <w:lang w:val="es-PR"/>
        </w:rPr>
        <w:t xml:space="preserve"> no conlleva un impacto fiscal significativo sobre agencias de gobierno, más allá de la función fiscalizadora del Departamento de Asuntos del Consumidor (DACO) y la implementación de la reglamentación sobre prácticas comerciales. La Comisión entiende que el impacto de la medida recae en la empresa privada que impone cargos diversos para los boletos de los espectáculos públicos.</w:t>
      </w:r>
    </w:p>
    <w:p w14:paraId="14EAA962" w14:textId="4030485D" w:rsidR="00421D9C" w:rsidRDefault="00421D9C" w:rsidP="00ED2DE1">
      <w:pPr>
        <w:pStyle w:val="Heading3"/>
        <w:spacing w:after="120"/>
        <w:ind w:firstLine="0"/>
        <w:rPr>
          <w:rFonts w:ascii="Book Antiqua" w:hAnsi="Book Antiqua"/>
        </w:rPr>
      </w:pPr>
      <w:r w:rsidRPr="0023263A">
        <w:rPr>
          <w:rFonts w:ascii="Book Antiqua" w:hAnsi="Book Antiqua"/>
        </w:rPr>
        <w:t>CONCLUSI</w:t>
      </w:r>
      <w:r w:rsidR="007A3276">
        <w:rPr>
          <w:rFonts w:ascii="Book Antiqua" w:hAnsi="Book Antiqua"/>
        </w:rPr>
        <w:t>ÓN</w:t>
      </w:r>
    </w:p>
    <w:bookmarkEnd w:id="0"/>
    <w:p w14:paraId="3B09B717" w14:textId="7E90C229" w:rsidR="0054079D" w:rsidRDefault="003D7AAA" w:rsidP="009C75E9">
      <w:pPr>
        <w:pStyle w:val="NormalWeb"/>
        <w:ind w:firstLine="708"/>
        <w:jc w:val="both"/>
        <w:rPr>
          <w:rFonts w:ascii="Book Antiqua" w:hAnsi="Book Antiqua"/>
          <w:lang w:val="es-ES_tradnl"/>
        </w:rPr>
      </w:pPr>
      <w:r w:rsidRPr="006E7E76">
        <w:rPr>
          <w:rFonts w:ascii="Book Antiqua" w:hAnsi="Book Antiqua"/>
          <w:color w:val="000000"/>
          <w:shd w:val="clear" w:color="auto" w:fill="FFFFFF"/>
          <w:lang w:val="es-ES"/>
        </w:rPr>
        <w:t>La Comisión de Asuntos del Consumidor, luego de evaluado</w:t>
      </w:r>
      <w:r w:rsidR="0054079D" w:rsidRPr="006E7E76">
        <w:rPr>
          <w:rFonts w:ascii="Book Antiqua" w:hAnsi="Book Antiqua"/>
          <w:color w:val="000000"/>
          <w:shd w:val="clear" w:color="auto" w:fill="FFFFFF"/>
          <w:lang w:val="es-ES"/>
        </w:rPr>
        <w:t xml:space="preserve"> el </w:t>
      </w:r>
      <w:r w:rsidR="0054079D" w:rsidRPr="006E7E76">
        <w:rPr>
          <w:rFonts w:ascii="Book Antiqua" w:hAnsi="Book Antiqua"/>
          <w:b/>
          <w:bCs/>
          <w:color w:val="000000"/>
          <w:shd w:val="clear" w:color="auto" w:fill="FFFFFF"/>
          <w:lang w:val="es-ES"/>
        </w:rPr>
        <w:t xml:space="preserve">P. </w:t>
      </w:r>
      <w:r w:rsidRPr="006E7E76">
        <w:rPr>
          <w:rFonts w:ascii="Book Antiqua" w:hAnsi="Book Antiqua"/>
          <w:b/>
          <w:bCs/>
          <w:color w:val="000000"/>
          <w:shd w:val="clear" w:color="auto" w:fill="FFFFFF"/>
          <w:lang w:val="es-ES"/>
        </w:rPr>
        <w:t>de</w:t>
      </w:r>
      <w:r w:rsidR="00A5766C">
        <w:rPr>
          <w:rFonts w:ascii="Book Antiqua" w:hAnsi="Book Antiqua"/>
          <w:b/>
          <w:bCs/>
          <w:color w:val="000000"/>
          <w:shd w:val="clear" w:color="auto" w:fill="FFFFFF"/>
          <w:lang w:val="es-ES"/>
        </w:rPr>
        <w:t xml:space="preserve"> </w:t>
      </w:r>
      <w:r w:rsidRPr="006E7E76">
        <w:rPr>
          <w:rFonts w:ascii="Book Antiqua" w:hAnsi="Book Antiqua"/>
          <w:b/>
          <w:bCs/>
          <w:color w:val="000000"/>
          <w:shd w:val="clear" w:color="auto" w:fill="FFFFFF"/>
          <w:lang w:val="es-ES"/>
        </w:rPr>
        <w:t>l</w:t>
      </w:r>
      <w:r w:rsidR="00A5766C">
        <w:rPr>
          <w:rFonts w:ascii="Book Antiqua" w:hAnsi="Book Antiqua"/>
          <w:b/>
          <w:bCs/>
          <w:color w:val="000000"/>
          <w:shd w:val="clear" w:color="auto" w:fill="FFFFFF"/>
          <w:lang w:val="es-ES"/>
        </w:rPr>
        <w:t>a</w:t>
      </w:r>
      <w:r w:rsidR="0054079D" w:rsidRPr="006E7E76">
        <w:rPr>
          <w:rFonts w:ascii="Book Antiqua" w:hAnsi="Book Antiqua"/>
          <w:b/>
          <w:bCs/>
          <w:color w:val="000000"/>
          <w:shd w:val="clear" w:color="auto" w:fill="FFFFFF"/>
          <w:lang w:val="es-ES"/>
        </w:rPr>
        <w:t xml:space="preserve"> </w:t>
      </w:r>
      <w:r w:rsidR="00A5766C">
        <w:rPr>
          <w:rFonts w:ascii="Book Antiqua" w:hAnsi="Book Antiqua"/>
          <w:b/>
          <w:bCs/>
          <w:color w:val="000000"/>
          <w:shd w:val="clear" w:color="auto" w:fill="FFFFFF"/>
          <w:lang w:val="es-ES"/>
        </w:rPr>
        <w:t>C</w:t>
      </w:r>
      <w:r w:rsidR="0054079D" w:rsidRPr="006E7E76">
        <w:rPr>
          <w:rFonts w:ascii="Book Antiqua" w:hAnsi="Book Antiqua"/>
          <w:b/>
          <w:bCs/>
          <w:color w:val="000000"/>
          <w:shd w:val="clear" w:color="auto" w:fill="FFFFFF"/>
          <w:lang w:val="es-ES"/>
        </w:rPr>
        <w:t xml:space="preserve">. </w:t>
      </w:r>
      <w:r w:rsidR="00FD4016">
        <w:rPr>
          <w:rFonts w:ascii="Book Antiqua" w:hAnsi="Book Antiqua"/>
          <w:b/>
          <w:bCs/>
          <w:color w:val="000000"/>
          <w:shd w:val="clear" w:color="auto" w:fill="FFFFFF"/>
          <w:lang w:val="es-ES"/>
        </w:rPr>
        <w:t>429</w:t>
      </w:r>
      <w:r w:rsidR="00316924" w:rsidRPr="006E7E76">
        <w:rPr>
          <w:rFonts w:ascii="Book Antiqua" w:hAnsi="Book Antiqua"/>
          <w:b/>
          <w:bCs/>
          <w:color w:val="000000"/>
          <w:shd w:val="clear" w:color="auto" w:fill="FFFFFF"/>
          <w:lang w:val="es-ES"/>
        </w:rPr>
        <w:t>,</w:t>
      </w:r>
      <w:r w:rsidR="0054079D" w:rsidRPr="006E7E76">
        <w:rPr>
          <w:rFonts w:ascii="Book Antiqua" w:hAnsi="Book Antiqua"/>
          <w:color w:val="000000"/>
          <w:shd w:val="clear" w:color="auto" w:fill="FFFFFF"/>
          <w:lang w:val="es-ES"/>
        </w:rPr>
        <w:t xml:space="preserve"> </w:t>
      </w:r>
      <w:r w:rsidR="00316924" w:rsidRPr="006E7E76">
        <w:rPr>
          <w:rFonts w:ascii="Book Antiqua" w:hAnsi="Book Antiqua"/>
          <w:color w:val="000000"/>
          <w:shd w:val="clear" w:color="auto" w:fill="FFFFFF"/>
          <w:lang w:val="es-ES"/>
        </w:rPr>
        <w:t xml:space="preserve">estima conveniente que se pueda </w:t>
      </w:r>
      <w:r w:rsidR="003641A2">
        <w:rPr>
          <w:rFonts w:ascii="Book Antiqua" w:hAnsi="Book Antiqua"/>
          <w:color w:val="000000"/>
          <w:shd w:val="clear" w:color="auto" w:fill="FFFFFF"/>
          <w:lang w:val="es-ES"/>
        </w:rPr>
        <w:t>aprobar en protección de los consumidores</w:t>
      </w:r>
      <w:r w:rsidR="0054079D" w:rsidRPr="006E7E76">
        <w:rPr>
          <w:rFonts w:ascii="Book Antiqua" w:hAnsi="Book Antiqua"/>
          <w:color w:val="000000"/>
          <w:shd w:val="clear" w:color="auto" w:fill="FFFFFF"/>
          <w:lang w:val="es-ES"/>
        </w:rPr>
        <w:t>.</w:t>
      </w:r>
      <w:r w:rsidR="006E7E76" w:rsidRPr="006E7E76">
        <w:rPr>
          <w:rFonts w:ascii="Book Antiqua" w:hAnsi="Book Antiqua"/>
          <w:color w:val="000000"/>
          <w:shd w:val="clear" w:color="auto" w:fill="FFFFFF"/>
          <w:lang w:val="es-ES"/>
        </w:rPr>
        <w:t xml:space="preserve"> La medida propuesta </w:t>
      </w:r>
      <w:r w:rsidR="006E7E76" w:rsidRPr="006E7E76">
        <w:rPr>
          <w:rFonts w:ascii="Book Antiqua" w:hAnsi="Book Antiqua"/>
          <w:lang w:val="es-ES_tradnl"/>
        </w:rPr>
        <w:t xml:space="preserve">la medida propuesta tiene un fin loable y cumple con los requisitos legales y constitucionales necesarios para su aprobación. </w:t>
      </w:r>
    </w:p>
    <w:p w14:paraId="3833ED9D" w14:textId="29F6FF9F" w:rsidR="00066809" w:rsidRPr="00975603" w:rsidRDefault="00687121" w:rsidP="00975603">
      <w:pPr>
        <w:pStyle w:val="NormalWeb"/>
        <w:ind w:firstLine="708"/>
        <w:jc w:val="both"/>
        <w:rPr>
          <w:rFonts w:ascii="Book Antiqua" w:hAnsi="Book Antiqua"/>
          <w:lang w:val="es-ES_tradnl"/>
        </w:rPr>
      </w:pPr>
      <w:r>
        <w:rPr>
          <w:rFonts w:ascii="Book Antiqua" w:hAnsi="Book Antiqua"/>
          <w:lang w:val="es-ES_tradnl"/>
        </w:rPr>
        <w:t xml:space="preserve">Nos parece que, </w:t>
      </w:r>
      <w:r w:rsidR="00CA70A1">
        <w:rPr>
          <w:rFonts w:ascii="Book Antiqua" w:hAnsi="Book Antiqua"/>
          <w:lang w:val="es-ES_tradnl"/>
        </w:rPr>
        <w:t>imponer a los consumidores el peso de una cancelación de un evento, es</w:t>
      </w:r>
      <w:r w:rsidR="00D1148B">
        <w:rPr>
          <w:rFonts w:ascii="Book Antiqua" w:hAnsi="Book Antiqua"/>
          <w:lang w:val="es-ES_tradnl"/>
        </w:rPr>
        <w:t xml:space="preserve"> inclinar la balanza hacia las partes que sí tuvieron una negociación y otorgaron un contrato formal. Por ello, nos parece que las boleterías deberían contemplar el impacto de esta Ley a la hora de suscribir contratos con los productores de espectáculos y que estos últimos asuman cualquier costo</w:t>
      </w:r>
      <w:r w:rsidR="00464F55">
        <w:rPr>
          <w:rFonts w:ascii="Book Antiqua" w:hAnsi="Book Antiqua"/>
          <w:lang w:val="es-ES_tradnl"/>
        </w:rPr>
        <w:t xml:space="preserve"> por producir su evento y cancelarlo.</w:t>
      </w:r>
      <w:r w:rsidR="00975603">
        <w:rPr>
          <w:rFonts w:ascii="Book Antiqua" w:hAnsi="Book Antiqua"/>
          <w:lang w:val="es-ES_tradnl"/>
        </w:rPr>
        <w:t xml:space="preserve"> </w:t>
      </w:r>
      <w:r w:rsidR="00912A44">
        <w:rPr>
          <w:rFonts w:ascii="Book Antiqua" w:hAnsi="Book Antiqua"/>
          <w:lang w:val="es-ES_tradnl"/>
        </w:rPr>
        <w:t xml:space="preserve">Aun cuando consideramos los argumentos levantados por los deponentes que se oponen a la aprobación de la medida, </w:t>
      </w:r>
      <w:r w:rsidR="00553D31">
        <w:rPr>
          <w:rFonts w:ascii="Book Antiqua" w:hAnsi="Book Antiqua"/>
          <w:lang w:val="es-PR"/>
        </w:rPr>
        <w:t>e</w:t>
      </w:r>
      <w:r w:rsidR="00912A44" w:rsidRPr="00912A44">
        <w:rPr>
          <w:rFonts w:ascii="Book Antiqua" w:hAnsi="Book Antiqua"/>
          <w:lang w:val="es-PR"/>
        </w:rPr>
        <w:t xml:space="preserve">sta Comisión disiente firmemente de la premisa de que el consumidor deba subsidiar el andamiaje operacional de una industria cuando el fin principal del contrato </w:t>
      </w:r>
      <w:r w:rsidR="00553D31">
        <w:rPr>
          <w:rFonts w:ascii="Book Antiqua" w:hAnsi="Book Antiqua"/>
          <w:lang w:val="es-PR"/>
        </w:rPr>
        <w:t>(a</w:t>
      </w:r>
      <w:r w:rsidR="00912A44" w:rsidRPr="00912A44">
        <w:rPr>
          <w:rFonts w:ascii="Book Antiqua" w:hAnsi="Book Antiqua"/>
          <w:lang w:val="es-PR"/>
        </w:rPr>
        <w:t>sistir al espectáculo</w:t>
      </w:r>
      <w:r w:rsidR="00553D31">
        <w:rPr>
          <w:rFonts w:ascii="Book Antiqua" w:hAnsi="Book Antiqua"/>
          <w:lang w:val="es-PR"/>
        </w:rPr>
        <w:t>)</w:t>
      </w:r>
      <w:r w:rsidR="00912A44" w:rsidRPr="00912A44">
        <w:rPr>
          <w:rFonts w:ascii="Book Antiqua" w:hAnsi="Book Antiqua"/>
          <w:lang w:val="es-PR"/>
        </w:rPr>
        <w:t xml:space="preserve"> se frustra por causas ajenas a su voluntad. Permitir que las tiqueteras retengan la totalidad del cargo por servicio tras una cancelación normaliza un desbalance contractual abusivo. Es menester de esta Asamblea Legislativa inclinar la balanza a favor de la parte más vulnerable: el consumidor. Las empresas de boletería y los promotores tienen la capacidad de transferirse y mitigar estos riesgos mediante pólizas de seguro comerciales y cláusulas contractuales internas, facultades de las que carece por completo el ciudadano común.</w:t>
      </w:r>
      <w:r w:rsidR="00066809">
        <w:rPr>
          <w:rFonts w:ascii="Book Antiqua" w:hAnsi="Book Antiqua"/>
          <w:lang w:val="es-PR"/>
        </w:rPr>
        <w:t xml:space="preserve"> </w:t>
      </w:r>
    </w:p>
    <w:p w14:paraId="7EC1D188" w14:textId="747355E4" w:rsidR="0054079D" w:rsidRPr="00066809" w:rsidRDefault="0054079D" w:rsidP="00066809">
      <w:pPr>
        <w:pStyle w:val="NormalWeb"/>
        <w:ind w:firstLine="708"/>
        <w:jc w:val="both"/>
        <w:rPr>
          <w:rFonts w:ascii="Book Antiqua" w:hAnsi="Book Antiqua"/>
          <w:lang w:val="es-ES_tradnl"/>
        </w:rPr>
      </w:pPr>
      <w:r w:rsidRPr="00066809">
        <w:rPr>
          <w:rFonts w:ascii="Book Antiqua" w:hAnsi="Book Antiqua"/>
          <w:lang w:val="es-ES"/>
        </w:rPr>
        <w:t xml:space="preserve">Basándose en los argumentos expuestos, la </w:t>
      </w:r>
      <w:r w:rsidRPr="00CA4698">
        <w:rPr>
          <w:rFonts w:ascii="Book Antiqua" w:hAnsi="Book Antiqua"/>
          <w:lang w:val="es-ES"/>
        </w:rPr>
        <w:t>Comisión</w:t>
      </w:r>
      <w:r w:rsidRPr="00066809">
        <w:rPr>
          <w:rFonts w:ascii="Book Antiqua" w:hAnsi="Book Antiqua"/>
          <w:lang w:val="es-ES"/>
        </w:rPr>
        <w:t xml:space="preserve"> somete el presente </w:t>
      </w:r>
      <w:r w:rsidR="009D3E7F" w:rsidRPr="00066809">
        <w:rPr>
          <w:rFonts w:ascii="Book Antiqua" w:hAnsi="Book Antiqua"/>
          <w:lang w:val="es-ES"/>
        </w:rPr>
        <w:t xml:space="preserve">Segundo </w:t>
      </w:r>
      <w:r w:rsidRPr="00066809">
        <w:rPr>
          <w:rFonts w:ascii="Book Antiqua" w:hAnsi="Book Antiqua"/>
          <w:lang w:val="es-ES"/>
        </w:rPr>
        <w:t xml:space="preserve">Informe Positivo y recomienda a este Cuerpo </w:t>
      </w:r>
      <w:r w:rsidRPr="00CA4698">
        <w:rPr>
          <w:rFonts w:ascii="Book Antiqua" w:hAnsi="Book Antiqua"/>
          <w:lang w:val="es-ES_tradnl"/>
        </w:rPr>
        <w:t xml:space="preserve">la </w:t>
      </w:r>
      <w:r w:rsidRPr="00CA4698">
        <w:rPr>
          <w:rFonts w:ascii="Book Antiqua" w:hAnsi="Book Antiqua"/>
          <w:b/>
          <w:bCs/>
          <w:lang w:val="es-ES_tradnl"/>
        </w:rPr>
        <w:t>a</w:t>
      </w:r>
      <w:r w:rsidRPr="00CA4698">
        <w:rPr>
          <w:rFonts w:ascii="Book Antiqua" w:hAnsi="Book Antiqua"/>
          <w:b/>
          <w:lang w:val="es-ES_tradnl"/>
        </w:rPr>
        <w:t>probación</w:t>
      </w:r>
      <w:r w:rsidRPr="00CA4698">
        <w:rPr>
          <w:rFonts w:ascii="Book Antiqua" w:hAnsi="Book Antiqua"/>
          <w:lang w:val="es-ES_tradnl"/>
        </w:rPr>
        <w:t xml:space="preserve"> de esta pieza legislativa, </w:t>
      </w:r>
      <w:r w:rsidR="00464F55">
        <w:rPr>
          <w:rFonts w:ascii="Book Antiqua" w:hAnsi="Book Antiqua"/>
          <w:lang w:val="es-ES_tradnl"/>
        </w:rPr>
        <w:t>con las enmiendas incluidas en el entirillado electrónico que se incluye</w:t>
      </w:r>
      <w:r w:rsidR="009028FC">
        <w:rPr>
          <w:rFonts w:ascii="Book Antiqua" w:hAnsi="Book Antiqua"/>
          <w:lang w:val="es-ES_tradnl"/>
        </w:rPr>
        <w:t xml:space="preserve"> como anejo</w:t>
      </w:r>
      <w:r w:rsidRPr="00CA4698">
        <w:rPr>
          <w:rFonts w:ascii="Book Antiqua" w:hAnsi="Book Antiqua"/>
          <w:lang w:val="es-ES_tradnl"/>
        </w:rPr>
        <w:t>.</w:t>
      </w:r>
    </w:p>
    <w:p w14:paraId="05A29881" w14:textId="77777777" w:rsidR="009A25C7" w:rsidRPr="003936D6"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3936D6">
        <w:rPr>
          <w:rFonts w:ascii="Book Antiqua" w:eastAsia="Times New Roman" w:hAnsi="Book Antiqua" w:cs="Times New Roman"/>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2AA268F2"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 xml:space="preserve">HON. </w:t>
      </w:r>
      <w:r w:rsidR="00625B53">
        <w:rPr>
          <w:rFonts w:ascii="Book Antiqua" w:eastAsia="Times New Roman" w:hAnsi="Book Antiqua" w:cs="Times New Roman"/>
          <w:b/>
          <w:bCs/>
          <w:sz w:val="24"/>
          <w:szCs w:val="24"/>
          <w:lang w:val="es-ES_tradnl"/>
        </w:rPr>
        <w:t xml:space="preserve">EDGAR </w:t>
      </w:r>
      <w:r w:rsidR="0085607D">
        <w:rPr>
          <w:rFonts w:ascii="Book Antiqua" w:eastAsia="Times New Roman" w:hAnsi="Book Antiqua" w:cs="Times New Roman"/>
          <w:b/>
          <w:bCs/>
          <w:sz w:val="24"/>
          <w:szCs w:val="24"/>
          <w:lang w:val="es-ES_tradnl"/>
        </w:rPr>
        <w:t xml:space="preserve">E. </w:t>
      </w:r>
      <w:r w:rsidR="00625B53">
        <w:rPr>
          <w:rFonts w:ascii="Book Antiqua" w:eastAsia="Times New Roman" w:hAnsi="Book Antiqua" w:cs="Times New Roman"/>
          <w:b/>
          <w:bCs/>
          <w:sz w:val="24"/>
          <w:szCs w:val="24"/>
          <w:lang w:val="es-ES_tradnl"/>
        </w:rPr>
        <w:t>ROBLES</w:t>
      </w:r>
      <w:r w:rsidR="0085607D">
        <w:rPr>
          <w:rFonts w:ascii="Book Antiqua" w:eastAsia="Times New Roman" w:hAnsi="Book Antiqua" w:cs="Times New Roman"/>
          <w:b/>
          <w:bCs/>
          <w:sz w:val="24"/>
          <w:szCs w:val="24"/>
          <w:lang w:val="es-ES_tradnl"/>
        </w:rPr>
        <w:t xml:space="preserve"> RIVERA</w:t>
      </w:r>
    </w:p>
    <w:p w14:paraId="433BF3C4" w14:textId="3D789BD9"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w:t>
      </w:r>
      <w:r w:rsidR="0085607D">
        <w:rPr>
          <w:rFonts w:ascii="Book Antiqua" w:eastAsia="Times New Roman" w:hAnsi="Book Antiqua" w:cs="Times New Roman"/>
          <w:sz w:val="24"/>
          <w:szCs w:val="24"/>
          <w:lang w:val="es-ES_tradnl"/>
        </w:rPr>
        <w:t>e</w:t>
      </w:r>
    </w:p>
    <w:p w14:paraId="7DC6BD7A" w14:textId="64A9FCAC" w:rsidR="003547E9" w:rsidRPr="003547E9" w:rsidRDefault="009A25C7" w:rsidP="00BF209A">
      <w:pPr>
        <w:tabs>
          <w:tab w:val="left" w:pos="567"/>
        </w:tabs>
        <w:spacing w:after="0" w:line="240" w:lineRule="auto"/>
        <w:contextualSpacing/>
        <w:jc w:val="both"/>
      </w:pPr>
      <w:r w:rsidRPr="0023263A">
        <w:rPr>
          <w:rFonts w:ascii="Book Antiqua" w:eastAsia="Times New Roman" w:hAnsi="Book Antiqua" w:cs="Times New Roman"/>
          <w:sz w:val="24"/>
          <w:szCs w:val="24"/>
          <w:lang w:val="es-ES_tradnl"/>
        </w:rPr>
        <w:t>Comisión de</w:t>
      </w:r>
      <w:r w:rsidR="0085607D">
        <w:rPr>
          <w:rFonts w:ascii="Book Antiqua" w:eastAsia="Times New Roman" w:hAnsi="Book Antiqua" w:cs="Times New Roman"/>
          <w:sz w:val="24"/>
          <w:szCs w:val="24"/>
          <w:lang w:val="es-ES_tradnl"/>
        </w:rPr>
        <w:t xml:space="preserve"> Asuntos del Consumidor</w:t>
      </w:r>
    </w:p>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53DD1" w14:textId="77777777" w:rsidR="001C06DF" w:rsidRDefault="001C06DF">
      <w:pPr>
        <w:spacing w:after="0" w:line="240" w:lineRule="auto"/>
      </w:pPr>
      <w:r>
        <w:separator/>
      </w:r>
    </w:p>
  </w:endnote>
  <w:endnote w:type="continuationSeparator" w:id="0">
    <w:p w14:paraId="19F75366" w14:textId="77777777" w:rsidR="001C06DF" w:rsidRDefault="001C06DF">
      <w:pPr>
        <w:spacing w:after="0" w:line="240" w:lineRule="auto"/>
      </w:pPr>
      <w:r>
        <w:continuationSeparator/>
      </w:r>
    </w:p>
  </w:endnote>
  <w:endnote w:type="continuationNotice" w:id="1">
    <w:p w14:paraId="061F1394" w14:textId="77777777" w:rsidR="001C06DF" w:rsidRDefault="001C06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sidR="006545C1">
      <w:rPr>
        <w:rFonts w:ascii="Book Antiqua" w:hAnsi="Book Antiqua"/>
        <w:b/>
        <w:bCs/>
        <w:i/>
        <w:color w:val="7F7F7F" w:themeColor="text1" w:themeTint="80"/>
        <w:lang w:val="es-ES"/>
      </w:rPr>
      <w:t>de Asuntos del Consumidor</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0D2F0" w14:textId="77777777" w:rsidR="001C06DF" w:rsidRDefault="001C06DF">
      <w:pPr>
        <w:spacing w:after="0" w:line="240" w:lineRule="auto"/>
      </w:pPr>
      <w:r>
        <w:separator/>
      </w:r>
    </w:p>
  </w:footnote>
  <w:footnote w:type="continuationSeparator" w:id="0">
    <w:p w14:paraId="2FA5EC7F" w14:textId="77777777" w:rsidR="001C06DF" w:rsidRDefault="001C06DF">
      <w:pPr>
        <w:spacing w:after="0" w:line="240" w:lineRule="auto"/>
      </w:pPr>
      <w:r>
        <w:continuationSeparator/>
      </w:r>
    </w:p>
  </w:footnote>
  <w:footnote w:type="continuationNotice" w:id="1">
    <w:p w14:paraId="2C987E0A" w14:textId="77777777" w:rsidR="001C06DF" w:rsidRDefault="001C06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7404AA4D" w:rsidR="00FF743C" w:rsidRPr="00D80F47" w:rsidRDefault="003072FB" w:rsidP="00721BDE">
    <w:pPr>
      <w:pStyle w:val="Header"/>
      <w:pBdr>
        <w:bottom w:val="single" w:sz="4" w:space="1" w:color="D9D9D9"/>
      </w:pBdr>
      <w:tabs>
        <w:tab w:val="left" w:pos="5400"/>
      </w:tabs>
      <w:rPr>
        <w:rFonts w:ascii="Book Antiqua" w:hAnsi="Book Antiqua"/>
        <w:b/>
        <w:i/>
        <w:color w:val="7F7F7F" w:themeColor="text1" w:themeTint="80"/>
        <w:lang w:val="es-PR"/>
      </w:rPr>
    </w:pPr>
    <w:r>
      <w:rPr>
        <w:rFonts w:ascii="Book Antiqua" w:hAnsi="Book Antiqua"/>
        <w:b/>
        <w:i/>
        <w:color w:val="7F7F7F" w:themeColor="text1" w:themeTint="80"/>
        <w:spacing w:val="60"/>
        <w:lang w:val="es-PR"/>
      </w:rPr>
      <w:t xml:space="preserve">Segundo </w:t>
    </w:r>
    <w:r w:rsidR="00FF743C" w:rsidRPr="00D80F47">
      <w:rPr>
        <w:rFonts w:ascii="Book Antiqua" w:hAnsi="Book Antiqua"/>
        <w:b/>
        <w:i/>
        <w:color w:val="7F7F7F" w:themeColor="text1" w:themeTint="80"/>
        <w:spacing w:val="60"/>
        <w:lang w:val="es-PR"/>
      </w:rPr>
      <w:t xml:space="preserve">Informe </w:t>
    </w:r>
    <w:r w:rsidR="009B7976">
      <w:rPr>
        <w:rFonts w:ascii="Book Antiqua" w:hAnsi="Book Antiqua"/>
        <w:b/>
        <w:i/>
        <w:color w:val="7F7F7F" w:themeColor="text1" w:themeTint="80"/>
        <w:spacing w:val="60"/>
        <w:lang w:val="es-PR"/>
      </w:rPr>
      <w:t>Positivo del P. de</w:t>
    </w:r>
    <w:r w:rsidR="00571D69">
      <w:rPr>
        <w:rFonts w:ascii="Book Antiqua" w:hAnsi="Book Antiqua"/>
        <w:b/>
        <w:i/>
        <w:color w:val="7F7F7F" w:themeColor="text1" w:themeTint="80"/>
        <w:spacing w:val="60"/>
        <w:lang w:val="es-PR"/>
      </w:rPr>
      <w:t xml:space="preserve"> </w:t>
    </w:r>
    <w:r w:rsidR="009B7976">
      <w:rPr>
        <w:rFonts w:ascii="Book Antiqua" w:hAnsi="Book Antiqua"/>
        <w:b/>
        <w:i/>
        <w:color w:val="7F7F7F" w:themeColor="text1" w:themeTint="80"/>
        <w:spacing w:val="60"/>
        <w:lang w:val="es-PR"/>
      </w:rPr>
      <w:t>l</w:t>
    </w:r>
    <w:r w:rsidR="00571D69">
      <w:rPr>
        <w:rFonts w:ascii="Book Antiqua" w:hAnsi="Book Antiqua"/>
        <w:b/>
        <w:i/>
        <w:color w:val="7F7F7F" w:themeColor="text1" w:themeTint="80"/>
        <w:spacing w:val="60"/>
        <w:lang w:val="es-PR"/>
      </w:rPr>
      <w:t>a</w:t>
    </w:r>
    <w:r w:rsidR="009B7976">
      <w:rPr>
        <w:rFonts w:ascii="Book Antiqua" w:hAnsi="Book Antiqua"/>
        <w:b/>
        <w:i/>
        <w:color w:val="7F7F7F" w:themeColor="text1" w:themeTint="80"/>
        <w:spacing w:val="60"/>
        <w:lang w:val="es-PR"/>
      </w:rPr>
      <w:t xml:space="preserve"> </w:t>
    </w:r>
    <w:r w:rsidR="00571D69">
      <w:rPr>
        <w:rFonts w:ascii="Book Antiqua" w:hAnsi="Book Antiqua"/>
        <w:b/>
        <w:i/>
        <w:color w:val="7F7F7F" w:themeColor="text1" w:themeTint="80"/>
        <w:spacing w:val="60"/>
        <w:lang w:val="es-PR"/>
      </w:rPr>
      <w:t>C</w:t>
    </w:r>
    <w:r w:rsidR="009B7976">
      <w:rPr>
        <w:rFonts w:ascii="Book Antiqua" w:hAnsi="Book Antiqua"/>
        <w:b/>
        <w:i/>
        <w:color w:val="7F7F7F" w:themeColor="text1" w:themeTint="80"/>
        <w:spacing w:val="60"/>
        <w:lang w:val="es-PR"/>
      </w:rPr>
      <w:t xml:space="preserve">. </w:t>
    </w:r>
    <w:r w:rsidR="00571D69">
      <w:rPr>
        <w:rFonts w:ascii="Book Antiqua" w:hAnsi="Book Antiqua"/>
        <w:b/>
        <w:i/>
        <w:color w:val="7F7F7F" w:themeColor="text1" w:themeTint="80"/>
        <w:spacing w:val="60"/>
        <w:lang w:val="es-PR"/>
      </w:rPr>
      <w:t>42</w:t>
    </w:r>
    <w:r w:rsidR="00520A95">
      <w:rPr>
        <w:rFonts w:ascii="Book Antiqua" w:hAnsi="Book Antiqua"/>
        <w:b/>
        <w:i/>
        <w:color w:val="7F7F7F" w:themeColor="text1" w:themeTint="80"/>
        <w:spacing w:val="60"/>
        <w:lang w:val="es-PR"/>
      </w:rPr>
      <w:t>9</w:t>
    </w:r>
    <w:r w:rsidR="006545C1">
      <w:rPr>
        <w:rFonts w:ascii="Book Antiqua" w:hAnsi="Book Antiqua"/>
        <w:b/>
        <w:i/>
        <w:color w:val="7F7F7F" w:themeColor="text1" w:themeTint="80"/>
        <w:spacing w:val="60"/>
        <w:lang w:val="es-PR"/>
      </w:rPr>
      <w:t xml:space="preserve">      </w:t>
    </w:r>
    <w:r>
      <w:rPr>
        <w:rFonts w:ascii="Book Antiqua" w:hAnsi="Book Antiqua"/>
        <w:b/>
        <w:i/>
        <w:color w:val="7F7F7F" w:themeColor="text1" w:themeTint="80"/>
        <w:spacing w:val="60"/>
        <w:lang w:val="es-PR"/>
      </w:rPr>
      <w:t xml:space="preserve"> </w:t>
    </w:r>
    <w:r w:rsidR="00FF743C" w:rsidRPr="00D80F47">
      <w:rPr>
        <w:rFonts w:ascii="Book Antiqua" w:hAnsi="Book Antiqua"/>
        <w:b/>
        <w:i/>
        <w:color w:val="7F7F7F" w:themeColor="text1" w:themeTint="80"/>
        <w:spacing w:val="60"/>
        <w:lang w:val="es-PR"/>
      </w:rPr>
      <w:t>Página</w:t>
    </w:r>
    <w:r w:rsidR="00FF743C" w:rsidRPr="00D80F47">
      <w:rPr>
        <w:rFonts w:ascii="Book Antiqua" w:hAnsi="Book Antiqua"/>
        <w:b/>
        <w:i/>
        <w:color w:val="7F7F7F" w:themeColor="text1" w:themeTint="80"/>
        <w:lang w:val="es-PR"/>
      </w:rPr>
      <w:t xml:space="preserve"> | </w:t>
    </w:r>
    <w:r w:rsidR="00FF743C" w:rsidRPr="00D80F47">
      <w:rPr>
        <w:rFonts w:ascii="Book Antiqua" w:hAnsi="Book Antiqua"/>
        <w:b/>
        <w:i/>
        <w:color w:val="7F7F7F" w:themeColor="text1" w:themeTint="80"/>
        <w:lang w:val="es-PR"/>
      </w:rPr>
      <w:fldChar w:fldCharType="begin"/>
    </w:r>
    <w:r w:rsidR="00FF743C" w:rsidRPr="00D80F47">
      <w:rPr>
        <w:rFonts w:ascii="Book Antiqua" w:hAnsi="Book Antiqua"/>
        <w:b/>
        <w:i/>
        <w:color w:val="7F7F7F" w:themeColor="text1" w:themeTint="80"/>
        <w:lang w:val="es-PR"/>
      </w:rPr>
      <w:instrText xml:space="preserve"> PAGE   \* MERGEFORMAT </w:instrText>
    </w:r>
    <w:r w:rsidR="00FF743C" w:rsidRPr="00D80F47">
      <w:rPr>
        <w:rFonts w:ascii="Book Antiqua" w:hAnsi="Book Antiqua"/>
        <w:b/>
        <w:i/>
        <w:color w:val="7F7F7F" w:themeColor="text1" w:themeTint="80"/>
        <w:lang w:val="es-PR"/>
      </w:rPr>
      <w:fldChar w:fldCharType="separate"/>
    </w:r>
    <w:r w:rsidR="00FF743C" w:rsidRPr="00D80F47">
      <w:rPr>
        <w:rFonts w:ascii="Book Antiqua" w:hAnsi="Book Antiqua"/>
        <w:b/>
        <w:i/>
        <w:color w:val="7F7F7F" w:themeColor="text1" w:themeTint="80"/>
        <w:lang w:val="es-PR"/>
      </w:rPr>
      <w:t>2</w:t>
    </w:r>
    <w:r w:rsidR="00FF743C"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2F9555B"/>
    <w:multiLevelType w:val="hybridMultilevel"/>
    <w:tmpl w:val="96106E10"/>
    <w:lvl w:ilvl="0" w:tplc="2000000F">
      <w:start w:val="1"/>
      <w:numFmt w:val="decimal"/>
      <w:lvlText w:val="%1."/>
      <w:lvlJc w:val="left"/>
      <w:pPr>
        <w:ind w:left="1428" w:hanging="360"/>
      </w:pPr>
    </w:lvl>
    <w:lvl w:ilvl="1" w:tplc="20000019" w:tentative="1">
      <w:start w:val="1"/>
      <w:numFmt w:val="lowerLetter"/>
      <w:lvlText w:val="%2."/>
      <w:lvlJc w:val="left"/>
      <w:pPr>
        <w:ind w:left="2148" w:hanging="360"/>
      </w:pPr>
    </w:lvl>
    <w:lvl w:ilvl="2" w:tplc="2000001B" w:tentative="1">
      <w:start w:val="1"/>
      <w:numFmt w:val="lowerRoman"/>
      <w:lvlText w:val="%3."/>
      <w:lvlJc w:val="right"/>
      <w:pPr>
        <w:ind w:left="2868" w:hanging="180"/>
      </w:pPr>
    </w:lvl>
    <w:lvl w:ilvl="3" w:tplc="2000000F" w:tentative="1">
      <w:start w:val="1"/>
      <w:numFmt w:val="decimal"/>
      <w:lvlText w:val="%4."/>
      <w:lvlJc w:val="left"/>
      <w:pPr>
        <w:ind w:left="3588" w:hanging="360"/>
      </w:pPr>
    </w:lvl>
    <w:lvl w:ilvl="4" w:tplc="20000019" w:tentative="1">
      <w:start w:val="1"/>
      <w:numFmt w:val="lowerLetter"/>
      <w:lvlText w:val="%5."/>
      <w:lvlJc w:val="left"/>
      <w:pPr>
        <w:ind w:left="4308" w:hanging="360"/>
      </w:pPr>
    </w:lvl>
    <w:lvl w:ilvl="5" w:tplc="2000001B" w:tentative="1">
      <w:start w:val="1"/>
      <w:numFmt w:val="lowerRoman"/>
      <w:lvlText w:val="%6."/>
      <w:lvlJc w:val="right"/>
      <w:pPr>
        <w:ind w:left="5028" w:hanging="180"/>
      </w:pPr>
    </w:lvl>
    <w:lvl w:ilvl="6" w:tplc="2000000F" w:tentative="1">
      <w:start w:val="1"/>
      <w:numFmt w:val="decimal"/>
      <w:lvlText w:val="%7."/>
      <w:lvlJc w:val="left"/>
      <w:pPr>
        <w:ind w:left="5748" w:hanging="360"/>
      </w:pPr>
    </w:lvl>
    <w:lvl w:ilvl="7" w:tplc="20000019" w:tentative="1">
      <w:start w:val="1"/>
      <w:numFmt w:val="lowerLetter"/>
      <w:lvlText w:val="%8."/>
      <w:lvlJc w:val="left"/>
      <w:pPr>
        <w:ind w:left="6468" w:hanging="360"/>
      </w:pPr>
    </w:lvl>
    <w:lvl w:ilvl="8" w:tplc="2000001B" w:tentative="1">
      <w:start w:val="1"/>
      <w:numFmt w:val="lowerRoman"/>
      <w:lvlText w:val="%9."/>
      <w:lvlJc w:val="right"/>
      <w:pPr>
        <w:ind w:left="7188" w:hanging="180"/>
      </w:pPr>
    </w:lvl>
  </w:abstractNum>
  <w:abstractNum w:abstractNumId="12"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4"/>
  </w:num>
  <w:num w:numId="2" w16cid:durableId="61176380">
    <w:abstractNumId w:val="7"/>
  </w:num>
  <w:num w:numId="3" w16cid:durableId="1059595349">
    <w:abstractNumId w:val="3"/>
  </w:num>
  <w:num w:numId="4" w16cid:durableId="2061787766">
    <w:abstractNumId w:val="18"/>
  </w:num>
  <w:num w:numId="5" w16cid:durableId="1979995804">
    <w:abstractNumId w:val="12"/>
  </w:num>
  <w:num w:numId="6" w16cid:durableId="248587837">
    <w:abstractNumId w:val="15"/>
  </w:num>
  <w:num w:numId="7" w16cid:durableId="1013386577">
    <w:abstractNumId w:val="16"/>
  </w:num>
  <w:num w:numId="8" w16cid:durableId="192153168">
    <w:abstractNumId w:val="19"/>
  </w:num>
  <w:num w:numId="9" w16cid:durableId="1334843169">
    <w:abstractNumId w:val="17"/>
  </w:num>
  <w:num w:numId="10" w16cid:durableId="1816602797">
    <w:abstractNumId w:val="8"/>
  </w:num>
  <w:num w:numId="11" w16cid:durableId="1897281236">
    <w:abstractNumId w:val="0"/>
  </w:num>
  <w:num w:numId="12" w16cid:durableId="1776559535">
    <w:abstractNumId w:val="13"/>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0"/>
  </w:num>
  <w:num w:numId="18" w16cid:durableId="1892884976">
    <w:abstractNumId w:val="1"/>
  </w:num>
  <w:num w:numId="19" w16cid:durableId="1388990430">
    <w:abstractNumId w:val="9"/>
  </w:num>
  <w:num w:numId="20" w16cid:durableId="10790133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2870"/>
    <w:rsid w:val="000041D4"/>
    <w:rsid w:val="0000466E"/>
    <w:rsid w:val="0000726D"/>
    <w:rsid w:val="00010035"/>
    <w:rsid w:val="0001109F"/>
    <w:rsid w:val="00015F9B"/>
    <w:rsid w:val="0001634C"/>
    <w:rsid w:val="00023132"/>
    <w:rsid w:val="00025906"/>
    <w:rsid w:val="000304B5"/>
    <w:rsid w:val="00030CD5"/>
    <w:rsid w:val="00032057"/>
    <w:rsid w:val="00033FC1"/>
    <w:rsid w:val="00040B2F"/>
    <w:rsid w:val="00042087"/>
    <w:rsid w:val="000422D9"/>
    <w:rsid w:val="00042A23"/>
    <w:rsid w:val="00042D76"/>
    <w:rsid w:val="000471C1"/>
    <w:rsid w:val="00047A01"/>
    <w:rsid w:val="00050EA2"/>
    <w:rsid w:val="00051A3F"/>
    <w:rsid w:val="00061727"/>
    <w:rsid w:val="00064B89"/>
    <w:rsid w:val="00065F8A"/>
    <w:rsid w:val="00066809"/>
    <w:rsid w:val="00070369"/>
    <w:rsid w:val="00073F7F"/>
    <w:rsid w:val="000744B4"/>
    <w:rsid w:val="00075375"/>
    <w:rsid w:val="00075E8A"/>
    <w:rsid w:val="00076A5F"/>
    <w:rsid w:val="00077928"/>
    <w:rsid w:val="00080CE3"/>
    <w:rsid w:val="00082E27"/>
    <w:rsid w:val="00084777"/>
    <w:rsid w:val="00084D4B"/>
    <w:rsid w:val="00086DA1"/>
    <w:rsid w:val="00087891"/>
    <w:rsid w:val="0009177F"/>
    <w:rsid w:val="0009268B"/>
    <w:rsid w:val="00093072"/>
    <w:rsid w:val="000937D1"/>
    <w:rsid w:val="000939F8"/>
    <w:rsid w:val="00095735"/>
    <w:rsid w:val="000A00A2"/>
    <w:rsid w:val="000A06E8"/>
    <w:rsid w:val="000A1321"/>
    <w:rsid w:val="000A7D79"/>
    <w:rsid w:val="000B0775"/>
    <w:rsid w:val="000B2BA9"/>
    <w:rsid w:val="000B67BF"/>
    <w:rsid w:val="000C3683"/>
    <w:rsid w:val="000C3C0B"/>
    <w:rsid w:val="000C4097"/>
    <w:rsid w:val="000C4519"/>
    <w:rsid w:val="000C48D4"/>
    <w:rsid w:val="000D27C8"/>
    <w:rsid w:val="000D2AC7"/>
    <w:rsid w:val="000D5859"/>
    <w:rsid w:val="000E13F6"/>
    <w:rsid w:val="000E29BD"/>
    <w:rsid w:val="000E5BA2"/>
    <w:rsid w:val="000E5FD5"/>
    <w:rsid w:val="000E6BA6"/>
    <w:rsid w:val="000F1464"/>
    <w:rsid w:val="000F1DB9"/>
    <w:rsid w:val="000F4696"/>
    <w:rsid w:val="00100979"/>
    <w:rsid w:val="00104CFC"/>
    <w:rsid w:val="001053AD"/>
    <w:rsid w:val="00114E04"/>
    <w:rsid w:val="00115530"/>
    <w:rsid w:val="0011677E"/>
    <w:rsid w:val="00117919"/>
    <w:rsid w:val="00117E0F"/>
    <w:rsid w:val="00124C65"/>
    <w:rsid w:val="0012509B"/>
    <w:rsid w:val="00125E9E"/>
    <w:rsid w:val="001270C2"/>
    <w:rsid w:val="00132221"/>
    <w:rsid w:val="00137432"/>
    <w:rsid w:val="00146D4D"/>
    <w:rsid w:val="00150327"/>
    <w:rsid w:val="0015377F"/>
    <w:rsid w:val="001574B4"/>
    <w:rsid w:val="00164FDF"/>
    <w:rsid w:val="00166898"/>
    <w:rsid w:val="00170214"/>
    <w:rsid w:val="00172D4D"/>
    <w:rsid w:val="0017514B"/>
    <w:rsid w:val="001755B7"/>
    <w:rsid w:val="0017673D"/>
    <w:rsid w:val="00176C61"/>
    <w:rsid w:val="0018253F"/>
    <w:rsid w:val="0018365D"/>
    <w:rsid w:val="00186DF6"/>
    <w:rsid w:val="00186ECD"/>
    <w:rsid w:val="0019352C"/>
    <w:rsid w:val="00193B05"/>
    <w:rsid w:val="00194554"/>
    <w:rsid w:val="0019467B"/>
    <w:rsid w:val="001A16E7"/>
    <w:rsid w:val="001A296C"/>
    <w:rsid w:val="001A76D6"/>
    <w:rsid w:val="001B5D39"/>
    <w:rsid w:val="001B6E59"/>
    <w:rsid w:val="001C06DF"/>
    <w:rsid w:val="001C1DBE"/>
    <w:rsid w:val="001C2411"/>
    <w:rsid w:val="001C3824"/>
    <w:rsid w:val="001C545F"/>
    <w:rsid w:val="001C7E62"/>
    <w:rsid w:val="001D2F9B"/>
    <w:rsid w:val="001D4D02"/>
    <w:rsid w:val="001E1F86"/>
    <w:rsid w:val="001E470C"/>
    <w:rsid w:val="001E6F1F"/>
    <w:rsid w:val="001F0CE2"/>
    <w:rsid w:val="001F245C"/>
    <w:rsid w:val="001F2D45"/>
    <w:rsid w:val="001F60C9"/>
    <w:rsid w:val="00200B93"/>
    <w:rsid w:val="00206FEF"/>
    <w:rsid w:val="00207FDA"/>
    <w:rsid w:val="002117A6"/>
    <w:rsid w:val="00212FA6"/>
    <w:rsid w:val="00214247"/>
    <w:rsid w:val="00215857"/>
    <w:rsid w:val="00222E3B"/>
    <w:rsid w:val="0022306F"/>
    <w:rsid w:val="00224B34"/>
    <w:rsid w:val="002258E0"/>
    <w:rsid w:val="0023263A"/>
    <w:rsid w:val="00241A7D"/>
    <w:rsid w:val="00242400"/>
    <w:rsid w:val="00242743"/>
    <w:rsid w:val="00244846"/>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8263E"/>
    <w:rsid w:val="0029577C"/>
    <w:rsid w:val="00296371"/>
    <w:rsid w:val="0029730D"/>
    <w:rsid w:val="002A5740"/>
    <w:rsid w:val="002A65AE"/>
    <w:rsid w:val="002A78E9"/>
    <w:rsid w:val="002B04C8"/>
    <w:rsid w:val="002B086B"/>
    <w:rsid w:val="002B1945"/>
    <w:rsid w:val="002B417D"/>
    <w:rsid w:val="002B4D4B"/>
    <w:rsid w:val="002B5271"/>
    <w:rsid w:val="002B5CAD"/>
    <w:rsid w:val="002B6F5D"/>
    <w:rsid w:val="002C23B7"/>
    <w:rsid w:val="002C42AD"/>
    <w:rsid w:val="002C5244"/>
    <w:rsid w:val="002C73CA"/>
    <w:rsid w:val="002D12EA"/>
    <w:rsid w:val="002D4046"/>
    <w:rsid w:val="002D6515"/>
    <w:rsid w:val="002D79D4"/>
    <w:rsid w:val="002D7B2D"/>
    <w:rsid w:val="002E1CA2"/>
    <w:rsid w:val="002E1CD3"/>
    <w:rsid w:val="002F3F0B"/>
    <w:rsid w:val="002F410F"/>
    <w:rsid w:val="002F6DD7"/>
    <w:rsid w:val="002F7BFD"/>
    <w:rsid w:val="00303634"/>
    <w:rsid w:val="0030492F"/>
    <w:rsid w:val="003072FB"/>
    <w:rsid w:val="00311262"/>
    <w:rsid w:val="00311DBC"/>
    <w:rsid w:val="00313408"/>
    <w:rsid w:val="00314244"/>
    <w:rsid w:val="0031624E"/>
    <w:rsid w:val="00316924"/>
    <w:rsid w:val="0031713B"/>
    <w:rsid w:val="0032169C"/>
    <w:rsid w:val="003258E9"/>
    <w:rsid w:val="00327AEE"/>
    <w:rsid w:val="00334DC6"/>
    <w:rsid w:val="0033626E"/>
    <w:rsid w:val="0034091C"/>
    <w:rsid w:val="0034248B"/>
    <w:rsid w:val="00345210"/>
    <w:rsid w:val="0034551B"/>
    <w:rsid w:val="00345B19"/>
    <w:rsid w:val="003468C5"/>
    <w:rsid w:val="0035079E"/>
    <w:rsid w:val="003537E8"/>
    <w:rsid w:val="003547E9"/>
    <w:rsid w:val="003548DB"/>
    <w:rsid w:val="00354983"/>
    <w:rsid w:val="0035744E"/>
    <w:rsid w:val="003579CA"/>
    <w:rsid w:val="00360C58"/>
    <w:rsid w:val="00360DE1"/>
    <w:rsid w:val="00361BE9"/>
    <w:rsid w:val="0036337F"/>
    <w:rsid w:val="003641A2"/>
    <w:rsid w:val="003657E1"/>
    <w:rsid w:val="00365EF8"/>
    <w:rsid w:val="00372B11"/>
    <w:rsid w:val="00373DAB"/>
    <w:rsid w:val="0037424B"/>
    <w:rsid w:val="00381646"/>
    <w:rsid w:val="00382143"/>
    <w:rsid w:val="00383202"/>
    <w:rsid w:val="00383B9C"/>
    <w:rsid w:val="003919F9"/>
    <w:rsid w:val="00392523"/>
    <w:rsid w:val="003928BF"/>
    <w:rsid w:val="003936D6"/>
    <w:rsid w:val="00394B8D"/>
    <w:rsid w:val="00396185"/>
    <w:rsid w:val="003A2B3D"/>
    <w:rsid w:val="003A38EE"/>
    <w:rsid w:val="003A47C3"/>
    <w:rsid w:val="003A5E6E"/>
    <w:rsid w:val="003A72A1"/>
    <w:rsid w:val="003A79C9"/>
    <w:rsid w:val="003B1FF2"/>
    <w:rsid w:val="003B2B79"/>
    <w:rsid w:val="003B3122"/>
    <w:rsid w:val="003B3553"/>
    <w:rsid w:val="003B7F97"/>
    <w:rsid w:val="003C086B"/>
    <w:rsid w:val="003C0A97"/>
    <w:rsid w:val="003C1B1D"/>
    <w:rsid w:val="003C2E71"/>
    <w:rsid w:val="003C5548"/>
    <w:rsid w:val="003C7251"/>
    <w:rsid w:val="003C7E72"/>
    <w:rsid w:val="003D33C1"/>
    <w:rsid w:val="003D7AAA"/>
    <w:rsid w:val="003E12EB"/>
    <w:rsid w:val="003E7545"/>
    <w:rsid w:val="003F0CD5"/>
    <w:rsid w:val="003F2E94"/>
    <w:rsid w:val="003F5D18"/>
    <w:rsid w:val="00406232"/>
    <w:rsid w:val="00406AC1"/>
    <w:rsid w:val="00410ECE"/>
    <w:rsid w:val="004122EE"/>
    <w:rsid w:val="00412348"/>
    <w:rsid w:val="004136A3"/>
    <w:rsid w:val="004139EE"/>
    <w:rsid w:val="00414166"/>
    <w:rsid w:val="00416DD1"/>
    <w:rsid w:val="00416F11"/>
    <w:rsid w:val="00417EA5"/>
    <w:rsid w:val="00421D9C"/>
    <w:rsid w:val="00422688"/>
    <w:rsid w:val="0042540A"/>
    <w:rsid w:val="00426402"/>
    <w:rsid w:val="00426665"/>
    <w:rsid w:val="00430942"/>
    <w:rsid w:val="004334E9"/>
    <w:rsid w:val="00433B94"/>
    <w:rsid w:val="004351E0"/>
    <w:rsid w:val="00435945"/>
    <w:rsid w:val="00435D5C"/>
    <w:rsid w:val="00436364"/>
    <w:rsid w:val="00442186"/>
    <w:rsid w:val="00445DB5"/>
    <w:rsid w:val="00447CEA"/>
    <w:rsid w:val="0045180E"/>
    <w:rsid w:val="00453020"/>
    <w:rsid w:val="00455AA8"/>
    <w:rsid w:val="004577FB"/>
    <w:rsid w:val="004579D2"/>
    <w:rsid w:val="004620B0"/>
    <w:rsid w:val="004626CA"/>
    <w:rsid w:val="0046395B"/>
    <w:rsid w:val="00464323"/>
    <w:rsid w:val="00464F55"/>
    <w:rsid w:val="00467A36"/>
    <w:rsid w:val="00470B60"/>
    <w:rsid w:val="00470F3F"/>
    <w:rsid w:val="00472407"/>
    <w:rsid w:val="00472793"/>
    <w:rsid w:val="00477BA6"/>
    <w:rsid w:val="0048070C"/>
    <w:rsid w:val="00487B4C"/>
    <w:rsid w:val="00487E0B"/>
    <w:rsid w:val="00491786"/>
    <w:rsid w:val="00491844"/>
    <w:rsid w:val="004A2F2C"/>
    <w:rsid w:val="004A4A0A"/>
    <w:rsid w:val="004A593A"/>
    <w:rsid w:val="004B1A98"/>
    <w:rsid w:val="004B2EE4"/>
    <w:rsid w:val="004C0940"/>
    <w:rsid w:val="004C1C8B"/>
    <w:rsid w:val="004C2D8F"/>
    <w:rsid w:val="004C4B22"/>
    <w:rsid w:val="004D4B37"/>
    <w:rsid w:val="004E36CD"/>
    <w:rsid w:val="004E4121"/>
    <w:rsid w:val="004E4403"/>
    <w:rsid w:val="004E784A"/>
    <w:rsid w:val="004F40E0"/>
    <w:rsid w:val="004F4F61"/>
    <w:rsid w:val="004F54F3"/>
    <w:rsid w:val="004F64A5"/>
    <w:rsid w:val="00501623"/>
    <w:rsid w:val="005021E4"/>
    <w:rsid w:val="00502B33"/>
    <w:rsid w:val="00503E24"/>
    <w:rsid w:val="00510739"/>
    <w:rsid w:val="00510996"/>
    <w:rsid w:val="0051286B"/>
    <w:rsid w:val="0051414F"/>
    <w:rsid w:val="00514543"/>
    <w:rsid w:val="0051774B"/>
    <w:rsid w:val="00517E64"/>
    <w:rsid w:val="00520A95"/>
    <w:rsid w:val="005213F5"/>
    <w:rsid w:val="005232E6"/>
    <w:rsid w:val="00523DF9"/>
    <w:rsid w:val="005250A2"/>
    <w:rsid w:val="00530B50"/>
    <w:rsid w:val="005330A2"/>
    <w:rsid w:val="00533BD0"/>
    <w:rsid w:val="0054079D"/>
    <w:rsid w:val="005446B2"/>
    <w:rsid w:val="00547C7B"/>
    <w:rsid w:val="0055155D"/>
    <w:rsid w:val="005536DA"/>
    <w:rsid w:val="00553D31"/>
    <w:rsid w:val="00557834"/>
    <w:rsid w:val="00560A4F"/>
    <w:rsid w:val="00560B27"/>
    <w:rsid w:val="00561732"/>
    <w:rsid w:val="00571D69"/>
    <w:rsid w:val="005738D9"/>
    <w:rsid w:val="00580C00"/>
    <w:rsid w:val="00581AA3"/>
    <w:rsid w:val="00582EEB"/>
    <w:rsid w:val="00584073"/>
    <w:rsid w:val="00590933"/>
    <w:rsid w:val="00591D2C"/>
    <w:rsid w:val="005923C6"/>
    <w:rsid w:val="00593D16"/>
    <w:rsid w:val="0059467F"/>
    <w:rsid w:val="00597D0D"/>
    <w:rsid w:val="005A45DD"/>
    <w:rsid w:val="005B0570"/>
    <w:rsid w:val="005B4C72"/>
    <w:rsid w:val="005B649D"/>
    <w:rsid w:val="005B7D24"/>
    <w:rsid w:val="005B7E4B"/>
    <w:rsid w:val="005C10D1"/>
    <w:rsid w:val="005C4ABB"/>
    <w:rsid w:val="005C76B7"/>
    <w:rsid w:val="005D1B8A"/>
    <w:rsid w:val="005D4AFA"/>
    <w:rsid w:val="005E0023"/>
    <w:rsid w:val="005E532D"/>
    <w:rsid w:val="005E5E8E"/>
    <w:rsid w:val="005E667D"/>
    <w:rsid w:val="005F105E"/>
    <w:rsid w:val="005F2805"/>
    <w:rsid w:val="005F3287"/>
    <w:rsid w:val="005F349F"/>
    <w:rsid w:val="005F47AB"/>
    <w:rsid w:val="006005E2"/>
    <w:rsid w:val="00601F6D"/>
    <w:rsid w:val="00602468"/>
    <w:rsid w:val="00610813"/>
    <w:rsid w:val="00612BDA"/>
    <w:rsid w:val="00613838"/>
    <w:rsid w:val="00615A07"/>
    <w:rsid w:val="00616A32"/>
    <w:rsid w:val="00620F0B"/>
    <w:rsid w:val="006218B9"/>
    <w:rsid w:val="00622332"/>
    <w:rsid w:val="00623090"/>
    <w:rsid w:val="00625B53"/>
    <w:rsid w:val="006264FA"/>
    <w:rsid w:val="006271A3"/>
    <w:rsid w:val="0063442C"/>
    <w:rsid w:val="00635DE6"/>
    <w:rsid w:val="00636A58"/>
    <w:rsid w:val="0063739F"/>
    <w:rsid w:val="00640129"/>
    <w:rsid w:val="006415F8"/>
    <w:rsid w:val="00642B9B"/>
    <w:rsid w:val="00644AD2"/>
    <w:rsid w:val="00646AE0"/>
    <w:rsid w:val="006471A0"/>
    <w:rsid w:val="00650CE2"/>
    <w:rsid w:val="00651B48"/>
    <w:rsid w:val="00652772"/>
    <w:rsid w:val="00652CDE"/>
    <w:rsid w:val="00654477"/>
    <w:rsid w:val="006545C1"/>
    <w:rsid w:val="006560AF"/>
    <w:rsid w:val="0065616E"/>
    <w:rsid w:val="0065682F"/>
    <w:rsid w:val="006574EC"/>
    <w:rsid w:val="00666E22"/>
    <w:rsid w:val="0067067D"/>
    <w:rsid w:val="00672C7E"/>
    <w:rsid w:val="00673BD2"/>
    <w:rsid w:val="00673E8B"/>
    <w:rsid w:val="006772BB"/>
    <w:rsid w:val="00677A22"/>
    <w:rsid w:val="00680204"/>
    <w:rsid w:val="0068068E"/>
    <w:rsid w:val="00680B44"/>
    <w:rsid w:val="00681327"/>
    <w:rsid w:val="00686ED6"/>
    <w:rsid w:val="00687121"/>
    <w:rsid w:val="00687248"/>
    <w:rsid w:val="0069000A"/>
    <w:rsid w:val="00690604"/>
    <w:rsid w:val="00691A41"/>
    <w:rsid w:val="00695B6A"/>
    <w:rsid w:val="006A100B"/>
    <w:rsid w:val="006A3C2B"/>
    <w:rsid w:val="006A4CD9"/>
    <w:rsid w:val="006A7298"/>
    <w:rsid w:val="006B031C"/>
    <w:rsid w:val="006B175E"/>
    <w:rsid w:val="006B2162"/>
    <w:rsid w:val="006B45DF"/>
    <w:rsid w:val="006C0721"/>
    <w:rsid w:val="006C13D4"/>
    <w:rsid w:val="006C540C"/>
    <w:rsid w:val="006C5D0C"/>
    <w:rsid w:val="006D03E5"/>
    <w:rsid w:val="006D0ECD"/>
    <w:rsid w:val="006D26CB"/>
    <w:rsid w:val="006D3C9A"/>
    <w:rsid w:val="006D48FC"/>
    <w:rsid w:val="006D4A95"/>
    <w:rsid w:val="006E199B"/>
    <w:rsid w:val="006E25D5"/>
    <w:rsid w:val="006E7102"/>
    <w:rsid w:val="006E7E76"/>
    <w:rsid w:val="006F0BC0"/>
    <w:rsid w:val="006F58BD"/>
    <w:rsid w:val="00702995"/>
    <w:rsid w:val="007039E3"/>
    <w:rsid w:val="00704C2F"/>
    <w:rsid w:val="0070733E"/>
    <w:rsid w:val="00715610"/>
    <w:rsid w:val="0071579E"/>
    <w:rsid w:val="0071593D"/>
    <w:rsid w:val="00721472"/>
    <w:rsid w:val="00721BDE"/>
    <w:rsid w:val="00731329"/>
    <w:rsid w:val="007355C5"/>
    <w:rsid w:val="00741CF4"/>
    <w:rsid w:val="00746234"/>
    <w:rsid w:val="00746697"/>
    <w:rsid w:val="00751279"/>
    <w:rsid w:val="007526D8"/>
    <w:rsid w:val="00755D0F"/>
    <w:rsid w:val="00764BA1"/>
    <w:rsid w:val="00766288"/>
    <w:rsid w:val="0076688F"/>
    <w:rsid w:val="00766E9E"/>
    <w:rsid w:val="007708BB"/>
    <w:rsid w:val="00774716"/>
    <w:rsid w:val="00774AC3"/>
    <w:rsid w:val="00774D75"/>
    <w:rsid w:val="00775B08"/>
    <w:rsid w:val="00776A21"/>
    <w:rsid w:val="00776FD7"/>
    <w:rsid w:val="007777A1"/>
    <w:rsid w:val="007806AE"/>
    <w:rsid w:val="00782DD7"/>
    <w:rsid w:val="007833DC"/>
    <w:rsid w:val="00785BAD"/>
    <w:rsid w:val="00787019"/>
    <w:rsid w:val="00787BA2"/>
    <w:rsid w:val="007A1C67"/>
    <w:rsid w:val="007A2351"/>
    <w:rsid w:val="007A3276"/>
    <w:rsid w:val="007A7A0A"/>
    <w:rsid w:val="007B0E5F"/>
    <w:rsid w:val="007B1258"/>
    <w:rsid w:val="007B2CFB"/>
    <w:rsid w:val="007B3187"/>
    <w:rsid w:val="007B6081"/>
    <w:rsid w:val="007C0C4F"/>
    <w:rsid w:val="007C0E2E"/>
    <w:rsid w:val="007C3B43"/>
    <w:rsid w:val="007C4053"/>
    <w:rsid w:val="007C46E6"/>
    <w:rsid w:val="007D09E3"/>
    <w:rsid w:val="007D1990"/>
    <w:rsid w:val="007D20C5"/>
    <w:rsid w:val="007E09FA"/>
    <w:rsid w:val="007E21C9"/>
    <w:rsid w:val="007E344C"/>
    <w:rsid w:val="007E4C7A"/>
    <w:rsid w:val="007E5063"/>
    <w:rsid w:val="007F143E"/>
    <w:rsid w:val="007F2B70"/>
    <w:rsid w:val="007F4530"/>
    <w:rsid w:val="007F6B77"/>
    <w:rsid w:val="007F6B80"/>
    <w:rsid w:val="007F7575"/>
    <w:rsid w:val="00800B5C"/>
    <w:rsid w:val="00804C1C"/>
    <w:rsid w:val="00810B4A"/>
    <w:rsid w:val="00813DEF"/>
    <w:rsid w:val="00813E35"/>
    <w:rsid w:val="00814A53"/>
    <w:rsid w:val="0081745A"/>
    <w:rsid w:val="00823135"/>
    <w:rsid w:val="00825412"/>
    <w:rsid w:val="00825C96"/>
    <w:rsid w:val="00826A7F"/>
    <w:rsid w:val="00832EB2"/>
    <w:rsid w:val="00836722"/>
    <w:rsid w:val="00840694"/>
    <w:rsid w:val="008440A0"/>
    <w:rsid w:val="00845132"/>
    <w:rsid w:val="0084732F"/>
    <w:rsid w:val="00850D8F"/>
    <w:rsid w:val="008512CA"/>
    <w:rsid w:val="008518F6"/>
    <w:rsid w:val="0085607D"/>
    <w:rsid w:val="00856BD4"/>
    <w:rsid w:val="00856EF1"/>
    <w:rsid w:val="00857A6A"/>
    <w:rsid w:val="00857C4D"/>
    <w:rsid w:val="0086481F"/>
    <w:rsid w:val="00865118"/>
    <w:rsid w:val="00870978"/>
    <w:rsid w:val="00870E78"/>
    <w:rsid w:val="00875E48"/>
    <w:rsid w:val="00876B8E"/>
    <w:rsid w:val="0088037B"/>
    <w:rsid w:val="00885A17"/>
    <w:rsid w:val="00891AA2"/>
    <w:rsid w:val="00892ACB"/>
    <w:rsid w:val="00892AE0"/>
    <w:rsid w:val="00894F91"/>
    <w:rsid w:val="00897C1B"/>
    <w:rsid w:val="008A3ED8"/>
    <w:rsid w:val="008A7491"/>
    <w:rsid w:val="008B556E"/>
    <w:rsid w:val="008B5AA7"/>
    <w:rsid w:val="008C01FF"/>
    <w:rsid w:val="008C1C17"/>
    <w:rsid w:val="008C2D0E"/>
    <w:rsid w:val="008C2E3C"/>
    <w:rsid w:val="008C56A2"/>
    <w:rsid w:val="008C6BBE"/>
    <w:rsid w:val="008C79EC"/>
    <w:rsid w:val="008D32A0"/>
    <w:rsid w:val="008D728C"/>
    <w:rsid w:val="008E22AD"/>
    <w:rsid w:val="008E3937"/>
    <w:rsid w:val="008E48D4"/>
    <w:rsid w:val="008E4FD8"/>
    <w:rsid w:val="008E5589"/>
    <w:rsid w:val="008E55D4"/>
    <w:rsid w:val="008F1D17"/>
    <w:rsid w:val="008F27AF"/>
    <w:rsid w:val="008F285D"/>
    <w:rsid w:val="008F42AC"/>
    <w:rsid w:val="008F5D92"/>
    <w:rsid w:val="008F5DED"/>
    <w:rsid w:val="008F65D3"/>
    <w:rsid w:val="009028FC"/>
    <w:rsid w:val="00903341"/>
    <w:rsid w:val="00906246"/>
    <w:rsid w:val="0090679A"/>
    <w:rsid w:val="00906F79"/>
    <w:rsid w:val="0091103A"/>
    <w:rsid w:val="00912A44"/>
    <w:rsid w:val="0091453B"/>
    <w:rsid w:val="00914F89"/>
    <w:rsid w:val="0091508E"/>
    <w:rsid w:val="0091792A"/>
    <w:rsid w:val="00920769"/>
    <w:rsid w:val="0092099E"/>
    <w:rsid w:val="00920DCE"/>
    <w:rsid w:val="00924994"/>
    <w:rsid w:val="009259CF"/>
    <w:rsid w:val="009276C5"/>
    <w:rsid w:val="0093150A"/>
    <w:rsid w:val="009340BE"/>
    <w:rsid w:val="0093434C"/>
    <w:rsid w:val="00934DEB"/>
    <w:rsid w:val="00936511"/>
    <w:rsid w:val="00936C03"/>
    <w:rsid w:val="00956C43"/>
    <w:rsid w:val="00957442"/>
    <w:rsid w:val="0096056B"/>
    <w:rsid w:val="00960FEB"/>
    <w:rsid w:val="00962A6E"/>
    <w:rsid w:val="009636A1"/>
    <w:rsid w:val="009637FE"/>
    <w:rsid w:val="00963E72"/>
    <w:rsid w:val="00963F5D"/>
    <w:rsid w:val="00971320"/>
    <w:rsid w:val="00975363"/>
    <w:rsid w:val="00975603"/>
    <w:rsid w:val="009802D0"/>
    <w:rsid w:val="00982266"/>
    <w:rsid w:val="009823CF"/>
    <w:rsid w:val="00982654"/>
    <w:rsid w:val="009866E0"/>
    <w:rsid w:val="00990D8F"/>
    <w:rsid w:val="00991CC5"/>
    <w:rsid w:val="00992D25"/>
    <w:rsid w:val="00993115"/>
    <w:rsid w:val="00996905"/>
    <w:rsid w:val="009974DE"/>
    <w:rsid w:val="009A25C7"/>
    <w:rsid w:val="009A42DC"/>
    <w:rsid w:val="009A5F8F"/>
    <w:rsid w:val="009A6546"/>
    <w:rsid w:val="009A7177"/>
    <w:rsid w:val="009B0280"/>
    <w:rsid w:val="009B2CAD"/>
    <w:rsid w:val="009B364F"/>
    <w:rsid w:val="009B61E8"/>
    <w:rsid w:val="009B7976"/>
    <w:rsid w:val="009C0504"/>
    <w:rsid w:val="009C18FC"/>
    <w:rsid w:val="009C1DD7"/>
    <w:rsid w:val="009C21A6"/>
    <w:rsid w:val="009C467F"/>
    <w:rsid w:val="009C468C"/>
    <w:rsid w:val="009C4A57"/>
    <w:rsid w:val="009C50E1"/>
    <w:rsid w:val="009C75E9"/>
    <w:rsid w:val="009D1631"/>
    <w:rsid w:val="009D1E43"/>
    <w:rsid w:val="009D27AC"/>
    <w:rsid w:val="009D3E7F"/>
    <w:rsid w:val="009D4592"/>
    <w:rsid w:val="009D5074"/>
    <w:rsid w:val="009D6158"/>
    <w:rsid w:val="009D6C16"/>
    <w:rsid w:val="009D708D"/>
    <w:rsid w:val="009E4BBB"/>
    <w:rsid w:val="009E4D8F"/>
    <w:rsid w:val="009F4DAC"/>
    <w:rsid w:val="00A00AAC"/>
    <w:rsid w:val="00A02F94"/>
    <w:rsid w:val="00A06E0D"/>
    <w:rsid w:val="00A075CE"/>
    <w:rsid w:val="00A1077A"/>
    <w:rsid w:val="00A22FDC"/>
    <w:rsid w:val="00A246E2"/>
    <w:rsid w:val="00A269E6"/>
    <w:rsid w:val="00A272AE"/>
    <w:rsid w:val="00A274D3"/>
    <w:rsid w:val="00A3068E"/>
    <w:rsid w:val="00A30719"/>
    <w:rsid w:val="00A31AF9"/>
    <w:rsid w:val="00A33C0F"/>
    <w:rsid w:val="00A351A4"/>
    <w:rsid w:val="00A35ADF"/>
    <w:rsid w:val="00A411DE"/>
    <w:rsid w:val="00A41DA6"/>
    <w:rsid w:val="00A42D2A"/>
    <w:rsid w:val="00A42EA8"/>
    <w:rsid w:val="00A43BC5"/>
    <w:rsid w:val="00A442AC"/>
    <w:rsid w:val="00A46626"/>
    <w:rsid w:val="00A471F7"/>
    <w:rsid w:val="00A4749A"/>
    <w:rsid w:val="00A52B84"/>
    <w:rsid w:val="00A5766C"/>
    <w:rsid w:val="00A62AC6"/>
    <w:rsid w:val="00A62BE8"/>
    <w:rsid w:val="00A67CF5"/>
    <w:rsid w:val="00A71C45"/>
    <w:rsid w:val="00A74FA0"/>
    <w:rsid w:val="00A75821"/>
    <w:rsid w:val="00A77B02"/>
    <w:rsid w:val="00A80C87"/>
    <w:rsid w:val="00A81AC5"/>
    <w:rsid w:val="00A8282B"/>
    <w:rsid w:val="00A85B80"/>
    <w:rsid w:val="00A877B1"/>
    <w:rsid w:val="00A87E22"/>
    <w:rsid w:val="00A902A3"/>
    <w:rsid w:val="00A92B10"/>
    <w:rsid w:val="00A94422"/>
    <w:rsid w:val="00AA060B"/>
    <w:rsid w:val="00AA3956"/>
    <w:rsid w:val="00AB2223"/>
    <w:rsid w:val="00AB2704"/>
    <w:rsid w:val="00AB2A46"/>
    <w:rsid w:val="00AB4E48"/>
    <w:rsid w:val="00AB5613"/>
    <w:rsid w:val="00AB58E1"/>
    <w:rsid w:val="00AC041C"/>
    <w:rsid w:val="00AC1526"/>
    <w:rsid w:val="00AC28C1"/>
    <w:rsid w:val="00AC3607"/>
    <w:rsid w:val="00AC5728"/>
    <w:rsid w:val="00AD37CB"/>
    <w:rsid w:val="00AD4371"/>
    <w:rsid w:val="00AD6DF6"/>
    <w:rsid w:val="00AD7EDB"/>
    <w:rsid w:val="00AE34C7"/>
    <w:rsid w:val="00AE5DEC"/>
    <w:rsid w:val="00AE6E12"/>
    <w:rsid w:val="00AE710F"/>
    <w:rsid w:val="00AE716B"/>
    <w:rsid w:val="00AE78A6"/>
    <w:rsid w:val="00AF0CEF"/>
    <w:rsid w:val="00AF39B9"/>
    <w:rsid w:val="00AF4E9C"/>
    <w:rsid w:val="00AF5CBC"/>
    <w:rsid w:val="00AF6003"/>
    <w:rsid w:val="00B03008"/>
    <w:rsid w:val="00B03370"/>
    <w:rsid w:val="00B035FD"/>
    <w:rsid w:val="00B0515B"/>
    <w:rsid w:val="00B07C53"/>
    <w:rsid w:val="00B130F1"/>
    <w:rsid w:val="00B16E0E"/>
    <w:rsid w:val="00B17A2F"/>
    <w:rsid w:val="00B202DD"/>
    <w:rsid w:val="00B2137E"/>
    <w:rsid w:val="00B2328A"/>
    <w:rsid w:val="00B23C14"/>
    <w:rsid w:val="00B2513D"/>
    <w:rsid w:val="00B25AEF"/>
    <w:rsid w:val="00B2623B"/>
    <w:rsid w:val="00B27CAF"/>
    <w:rsid w:val="00B30598"/>
    <w:rsid w:val="00B306EA"/>
    <w:rsid w:val="00B31778"/>
    <w:rsid w:val="00B32624"/>
    <w:rsid w:val="00B32A84"/>
    <w:rsid w:val="00B32D5B"/>
    <w:rsid w:val="00B36284"/>
    <w:rsid w:val="00B40E00"/>
    <w:rsid w:val="00B426DC"/>
    <w:rsid w:val="00B4270A"/>
    <w:rsid w:val="00B44F97"/>
    <w:rsid w:val="00B541DE"/>
    <w:rsid w:val="00B548DD"/>
    <w:rsid w:val="00B54C95"/>
    <w:rsid w:val="00B67B11"/>
    <w:rsid w:val="00B7102C"/>
    <w:rsid w:val="00B710C7"/>
    <w:rsid w:val="00B72D6D"/>
    <w:rsid w:val="00B7399E"/>
    <w:rsid w:val="00B73AC6"/>
    <w:rsid w:val="00B73F26"/>
    <w:rsid w:val="00B74176"/>
    <w:rsid w:val="00B87D26"/>
    <w:rsid w:val="00B951BC"/>
    <w:rsid w:val="00B9643E"/>
    <w:rsid w:val="00BA345B"/>
    <w:rsid w:val="00BA3DE0"/>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31E8"/>
    <w:rsid w:val="00BE429D"/>
    <w:rsid w:val="00BE4F3F"/>
    <w:rsid w:val="00BE5B3F"/>
    <w:rsid w:val="00BF1528"/>
    <w:rsid w:val="00BF193B"/>
    <w:rsid w:val="00BF2010"/>
    <w:rsid w:val="00BF209A"/>
    <w:rsid w:val="00BF449E"/>
    <w:rsid w:val="00BF6143"/>
    <w:rsid w:val="00C003AF"/>
    <w:rsid w:val="00C06548"/>
    <w:rsid w:val="00C0768C"/>
    <w:rsid w:val="00C10019"/>
    <w:rsid w:val="00C1093C"/>
    <w:rsid w:val="00C10EC0"/>
    <w:rsid w:val="00C12E7C"/>
    <w:rsid w:val="00C12EAA"/>
    <w:rsid w:val="00C16A9C"/>
    <w:rsid w:val="00C21052"/>
    <w:rsid w:val="00C219CA"/>
    <w:rsid w:val="00C23BB2"/>
    <w:rsid w:val="00C244E1"/>
    <w:rsid w:val="00C26A6A"/>
    <w:rsid w:val="00C26D35"/>
    <w:rsid w:val="00C325F8"/>
    <w:rsid w:val="00C33E79"/>
    <w:rsid w:val="00C34E78"/>
    <w:rsid w:val="00C3740E"/>
    <w:rsid w:val="00C50071"/>
    <w:rsid w:val="00C520BA"/>
    <w:rsid w:val="00C5556C"/>
    <w:rsid w:val="00C55B6F"/>
    <w:rsid w:val="00C61D64"/>
    <w:rsid w:val="00C63760"/>
    <w:rsid w:val="00C70EBC"/>
    <w:rsid w:val="00C72C9C"/>
    <w:rsid w:val="00C72EF4"/>
    <w:rsid w:val="00C740B5"/>
    <w:rsid w:val="00C7600A"/>
    <w:rsid w:val="00C76BFC"/>
    <w:rsid w:val="00C77DA5"/>
    <w:rsid w:val="00C80A21"/>
    <w:rsid w:val="00C83FDF"/>
    <w:rsid w:val="00C8670B"/>
    <w:rsid w:val="00C86DE1"/>
    <w:rsid w:val="00C9033D"/>
    <w:rsid w:val="00C95B4C"/>
    <w:rsid w:val="00CA4698"/>
    <w:rsid w:val="00CA7042"/>
    <w:rsid w:val="00CA70A1"/>
    <w:rsid w:val="00CA7298"/>
    <w:rsid w:val="00CB0189"/>
    <w:rsid w:val="00CB31D9"/>
    <w:rsid w:val="00CB6663"/>
    <w:rsid w:val="00CC0F42"/>
    <w:rsid w:val="00CC12B8"/>
    <w:rsid w:val="00CC169A"/>
    <w:rsid w:val="00CC1801"/>
    <w:rsid w:val="00CC21E1"/>
    <w:rsid w:val="00CC2EDA"/>
    <w:rsid w:val="00CC7420"/>
    <w:rsid w:val="00CD03AD"/>
    <w:rsid w:val="00CD04A1"/>
    <w:rsid w:val="00CD2053"/>
    <w:rsid w:val="00CD337C"/>
    <w:rsid w:val="00CD530A"/>
    <w:rsid w:val="00CD55BF"/>
    <w:rsid w:val="00CE293D"/>
    <w:rsid w:val="00CE2F7D"/>
    <w:rsid w:val="00CF0CC1"/>
    <w:rsid w:val="00CF348D"/>
    <w:rsid w:val="00CF699D"/>
    <w:rsid w:val="00D01635"/>
    <w:rsid w:val="00D03262"/>
    <w:rsid w:val="00D0388A"/>
    <w:rsid w:val="00D0422A"/>
    <w:rsid w:val="00D0486F"/>
    <w:rsid w:val="00D0635C"/>
    <w:rsid w:val="00D0746A"/>
    <w:rsid w:val="00D07F57"/>
    <w:rsid w:val="00D1148B"/>
    <w:rsid w:val="00D12404"/>
    <w:rsid w:val="00D20C28"/>
    <w:rsid w:val="00D27220"/>
    <w:rsid w:val="00D27704"/>
    <w:rsid w:val="00D301C6"/>
    <w:rsid w:val="00D3213B"/>
    <w:rsid w:val="00D32D5A"/>
    <w:rsid w:val="00D36D3A"/>
    <w:rsid w:val="00D403C6"/>
    <w:rsid w:val="00D41838"/>
    <w:rsid w:val="00D42E9C"/>
    <w:rsid w:val="00D45881"/>
    <w:rsid w:val="00D516AF"/>
    <w:rsid w:val="00D526C6"/>
    <w:rsid w:val="00D537E1"/>
    <w:rsid w:val="00D575C0"/>
    <w:rsid w:val="00D578A4"/>
    <w:rsid w:val="00D6357D"/>
    <w:rsid w:val="00D63605"/>
    <w:rsid w:val="00D65881"/>
    <w:rsid w:val="00D67960"/>
    <w:rsid w:val="00D73591"/>
    <w:rsid w:val="00D7610D"/>
    <w:rsid w:val="00D76804"/>
    <w:rsid w:val="00D80F47"/>
    <w:rsid w:val="00D811C2"/>
    <w:rsid w:val="00D84FBD"/>
    <w:rsid w:val="00D8549B"/>
    <w:rsid w:val="00D85B94"/>
    <w:rsid w:val="00D8709F"/>
    <w:rsid w:val="00D87F37"/>
    <w:rsid w:val="00D92151"/>
    <w:rsid w:val="00D93450"/>
    <w:rsid w:val="00D94489"/>
    <w:rsid w:val="00D954AB"/>
    <w:rsid w:val="00D96B2E"/>
    <w:rsid w:val="00D97AF4"/>
    <w:rsid w:val="00DA2A2D"/>
    <w:rsid w:val="00DA32D4"/>
    <w:rsid w:val="00DA4527"/>
    <w:rsid w:val="00DA5A1D"/>
    <w:rsid w:val="00DA7FC2"/>
    <w:rsid w:val="00DB4669"/>
    <w:rsid w:val="00DB47CF"/>
    <w:rsid w:val="00DB4915"/>
    <w:rsid w:val="00DB4E3D"/>
    <w:rsid w:val="00DB6043"/>
    <w:rsid w:val="00DC6EF6"/>
    <w:rsid w:val="00DC7AB9"/>
    <w:rsid w:val="00DD0431"/>
    <w:rsid w:val="00DE0F64"/>
    <w:rsid w:val="00DE2FC5"/>
    <w:rsid w:val="00DE694D"/>
    <w:rsid w:val="00DF181D"/>
    <w:rsid w:val="00DF3586"/>
    <w:rsid w:val="00DF3911"/>
    <w:rsid w:val="00DF66A6"/>
    <w:rsid w:val="00DF76B3"/>
    <w:rsid w:val="00E0392B"/>
    <w:rsid w:val="00E0723E"/>
    <w:rsid w:val="00E07576"/>
    <w:rsid w:val="00E07F28"/>
    <w:rsid w:val="00E130B6"/>
    <w:rsid w:val="00E14D16"/>
    <w:rsid w:val="00E14F52"/>
    <w:rsid w:val="00E1723A"/>
    <w:rsid w:val="00E208BE"/>
    <w:rsid w:val="00E226F1"/>
    <w:rsid w:val="00E276E6"/>
    <w:rsid w:val="00E312A7"/>
    <w:rsid w:val="00E36DEC"/>
    <w:rsid w:val="00E41C75"/>
    <w:rsid w:val="00E43951"/>
    <w:rsid w:val="00E43C17"/>
    <w:rsid w:val="00E457D9"/>
    <w:rsid w:val="00E4592E"/>
    <w:rsid w:val="00E50259"/>
    <w:rsid w:val="00E51B2C"/>
    <w:rsid w:val="00E52E31"/>
    <w:rsid w:val="00E54C54"/>
    <w:rsid w:val="00E55005"/>
    <w:rsid w:val="00E57562"/>
    <w:rsid w:val="00E6365A"/>
    <w:rsid w:val="00E65C8F"/>
    <w:rsid w:val="00E6738B"/>
    <w:rsid w:val="00E6795B"/>
    <w:rsid w:val="00E71A43"/>
    <w:rsid w:val="00E731C8"/>
    <w:rsid w:val="00E737AF"/>
    <w:rsid w:val="00E75134"/>
    <w:rsid w:val="00E75AF4"/>
    <w:rsid w:val="00E81DC8"/>
    <w:rsid w:val="00E86895"/>
    <w:rsid w:val="00E87507"/>
    <w:rsid w:val="00E93811"/>
    <w:rsid w:val="00E95AB4"/>
    <w:rsid w:val="00E96449"/>
    <w:rsid w:val="00E96C8C"/>
    <w:rsid w:val="00EA1061"/>
    <w:rsid w:val="00EA2317"/>
    <w:rsid w:val="00EA2C61"/>
    <w:rsid w:val="00EA6BD5"/>
    <w:rsid w:val="00EA7D87"/>
    <w:rsid w:val="00EB1719"/>
    <w:rsid w:val="00EB7241"/>
    <w:rsid w:val="00EC0476"/>
    <w:rsid w:val="00EC05A2"/>
    <w:rsid w:val="00EC659A"/>
    <w:rsid w:val="00EC767B"/>
    <w:rsid w:val="00ED15C8"/>
    <w:rsid w:val="00ED17CB"/>
    <w:rsid w:val="00ED2DE1"/>
    <w:rsid w:val="00ED45D3"/>
    <w:rsid w:val="00ED50F5"/>
    <w:rsid w:val="00EE15E0"/>
    <w:rsid w:val="00EE2682"/>
    <w:rsid w:val="00EE4A14"/>
    <w:rsid w:val="00EE5DF0"/>
    <w:rsid w:val="00EF4097"/>
    <w:rsid w:val="00EF5320"/>
    <w:rsid w:val="00F00F54"/>
    <w:rsid w:val="00F024F4"/>
    <w:rsid w:val="00F02DE0"/>
    <w:rsid w:val="00F07A77"/>
    <w:rsid w:val="00F1152E"/>
    <w:rsid w:val="00F148E2"/>
    <w:rsid w:val="00F15D08"/>
    <w:rsid w:val="00F17C16"/>
    <w:rsid w:val="00F270E8"/>
    <w:rsid w:val="00F30A01"/>
    <w:rsid w:val="00F41DCD"/>
    <w:rsid w:val="00F50AA1"/>
    <w:rsid w:val="00F50E33"/>
    <w:rsid w:val="00F51E02"/>
    <w:rsid w:val="00F530A0"/>
    <w:rsid w:val="00F53B5D"/>
    <w:rsid w:val="00F53F05"/>
    <w:rsid w:val="00F562AA"/>
    <w:rsid w:val="00F56B36"/>
    <w:rsid w:val="00F609A0"/>
    <w:rsid w:val="00F61DBC"/>
    <w:rsid w:val="00F649D4"/>
    <w:rsid w:val="00F656D0"/>
    <w:rsid w:val="00F65F7B"/>
    <w:rsid w:val="00F6606D"/>
    <w:rsid w:val="00F6639A"/>
    <w:rsid w:val="00F66BFD"/>
    <w:rsid w:val="00F66C78"/>
    <w:rsid w:val="00F67784"/>
    <w:rsid w:val="00F7077C"/>
    <w:rsid w:val="00F814EF"/>
    <w:rsid w:val="00F8219F"/>
    <w:rsid w:val="00F82A9A"/>
    <w:rsid w:val="00F83704"/>
    <w:rsid w:val="00F87BB1"/>
    <w:rsid w:val="00F87D14"/>
    <w:rsid w:val="00F93D79"/>
    <w:rsid w:val="00F95A22"/>
    <w:rsid w:val="00FA028D"/>
    <w:rsid w:val="00FA0B9E"/>
    <w:rsid w:val="00FA0F9F"/>
    <w:rsid w:val="00FA6D04"/>
    <w:rsid w:val="00FA7093"/>
    <w:rsid w:val="00FB014F"/>
    <w:rsid w:val="00FB0487"/>
    <w:rsid w:val="00FB4D06"/>
    <w:rsid w:val="00FB5034"/>
    <w:rsid w:val="00FB5682"/>
    <w:rsid w:val="00FB7A0F"/>
    <w:rsid w:val="00FD0A86"/>
    <w:rsid w:val="00FD2C5D"/>
    <w:rsid w:val="00FD385C"/>
    <w:rsid w:val="00FD4016"/>
    <w:rsid w:val="00FD4A10"/>
    <w:rsid w:val="00FD65E7"/>
    <w:rsid w:val="00FE0B0E"/>
    <w:rsid w:val="00FE4C21"/>
    <w:rsid w:val="00FE6DD7"/>
    <w:rsid w:val="00FF231A"/>
    <w:rsid w:val="00FF2A00"/>
    <w:rsid w:val="00FF30A9"/>
    <w:rsid w:val="00FF40B6"/>
    <w:rsid w:val="00FF522E"/>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 w:type="character" w:styleId="Emphasis">
    <w:name w:val="Emphasis"/>
    <w:basedOn w:val="DefaultParagraphFont"/>
    <w:uiPriority w:val="20"/>
    <w:qFormat/>
    <w:rsid w:val="007833DC"/>
    <w:rPr>
      <w:i/>
      <w:iCs/>
    </w:rPr>
  </w:style>
  <w:style w:type="character" w:styleId="Strong">
    <w:name w:val="Strong"/>
    <w:basedOn w:val="DefaultParagraphFont"/>
    <w:uiPriority w:val="22"/>
    <w:qFormat/>
    <w:rsid w:val="002B08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2.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3.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4.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6.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3859</Words>
  <Characters>22002</Characters>
  <Application>Microsoft Office Word</Application>
  <DocSecurity>4</DocSecurity>
  <Lines>183</Lines>
  <Paragraphs>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2025-03-26T14:35:00Z</cp:lastPrinted>
  <dcterms:created xsi:type="dcterms:W3CDTF">2026-06-22T18:13:00Z</dcterms:created>
  <dcterms:modified xsi:type="dcterms:W3CDTF">2026-06-22T18:13:00Z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