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1497D" w14:textId="5D4C8B2C" w:rsidR="00886AEA" w:rsidRPr="003F49C5" w:rsidRDefault="00886AEA" w:rsidP="0001230E">
      <w:pPr>
        <w:suppressLineNumbers/>
        <w:jc w:val="center"/>
        <w:rPr>
          <w:rFonts w:ascii="Book Antiqua" w:hAnsi="Book Antiqua"/>
          <w:b/>
          <w:bCs/>
          <w:sz w:val="36"/>
          <w:szCs w:val="36"/>
          <w:u w:val="single"/>
          <w:lang w:val="es-PR"/>
        </w:rPr>
      </w:pPr>
      <w:r w:rsidRPr="003F49C5">
        <w:rPr>
          <w:rFonts w:ascii="Book Antiqua" w:hAnsi="Book Antiqua"/>
          <w:b/>
          <w:bCs/>
          <w:sz w:val="36"/>
          <w:szCs w:val="36"/>
          <w:u w:val="single"/>
          <w:lang w:val="es-PR"/>
        </w:rPr>
        <w:t>ENTIRILLADO ELECTRÓNICO</w:t>
      </w:r>
    </w:p>
    <w:p w14:paraId="0F19AC29" w14:textId="02810B0B" w:rsidR="007F61B2" w:rsidRPr="003F49C5" w:rsidRDefault="0083082B" w:rsidP="0001230E">
      <w:pPr>
        <w:suppressLineNumbers/>
        <w:jc w:val="center"/>
        <w:rPr>
          <w:rFonts w:ascii="Book Antiqua" w:hAnsi="Book Antiqua"/>
          <w:sz w:val="36"/>
          <w:szCs w:val="36"/>
          <w:lang w:val="es-PR"/>
        </w:rPr>
      </w:pPr>
      <w:r w:rsidRPr="003F49C5">
        <w:rPr>
          <w:rFonts w:ascii="Book Antiqua" w:hAnsi="Book Antiqua"/>
          <w:sz w:val="36"/>
          <w:szCs w:val="36"/>
          <w:lang w:val="es-PR"/>
        </w:rPr>
        <w:t>GOBIERNO DE PUERTO RICO</w:t>
      </w:r>
    </w:p>
    <w:p w14:paraId="66EE5C3C" w14:textId="77777777" w:rsidR="007F61B2" w:rsidRPr="003F49C5" w:rsidRDefault="007F61B2" w:rsidP="0001230E">
      <w:pPr>
        <w:suppressLineNumbers/>
        <w:jc w:val="center"/>
        <w:rPr>
          <w:rFonts w:ascii="Book Antiqua" w:hAnsi="Book Antiqua"/>
          <w:lang w:val="es-PR"/>
        </w:rPr>
      </w:pPr>
    </w:p>
    <w:p w14:paraId="6155649A" w14:textId="77777777" w:rsidR="007F61B2" w:rsidRPr="003F49C5" w:rsidRDefault="0083082B" w:rsidP="0001230E">
      <w:pPr>
        <w:pStyle w:val="Title2"/>
        <w:suppressLineNumbers/>
        <w:tabs>
          <w:tab w:val="clear" w:pos="7776"/>
        </w:tabs>
        <w:rPr>
          <w:rFonts w:ascii="Book Antiqua" w:hAnsi="Book Antiqua"/>
          <w:lang w:val="es-PR"/>
        </w:rPr>
      </w:pPr>
      <w:r w:rsidRPr="003F49C5">
        <w:rPr>
          <w:rFonts w:ascii="Book Antiqua" w:hAnsi="Book Antiqua"/>
          <w:lang w:val="es-PR"/>
        </w:rPr>
        <w:t>20</w:t>
      </w:r>
      <w:r w:rsidRPr="003F49C5">
        <w:rPr>
          <w:rFonts w:ascii="Book Antiqua" w:hAnsi="Book Antiqua"/>
          <w:vertAlign w:val="superscript"/>
          <w:lang w:val="es-PR"/>
        </w:rPr>
        <w:t xml:space="preserve">ma. </w:t>
      </w:r>
      <w:r w:rsidRPr="003F49C5">
        <w:rPr>
          <w:rFonts w:ascii="Book Antiqua" w:hAnsi="Book Antiqua"/>
          <w:lang w:val="es-PR"/>
        </w:rPr>
        <w:t xml:space="preserve">Asamblea </w:t>
      </w:r>
      <w:r w:rsidRPr="003F49C5">
        <w:rPr>
          <w:rFonts w:ascii="Book Antiqua" w:hAnsi="Book Antiqua"/>
          <w:lang w:val="es-PR"/>
        </w:rPr>
        <w:tab/>
        <w:t>1</w:t>
      </w:r>
      <w:r w:rsidRPr="003F49C5">
        <w:rPr>
          <w:rFonts w:ascii="Book Antiqua" w:hAnsi="Book Antiqua"/>
          <w:vertAlign w:val="superscript"/>
          <w:lang w:val="es-PR"/>
        </w:rPr>
        <w:t xml:space="preserve">ra. </w:t>
      </w:r>
      <w:r w:rsidRPr="003F49C5">
        <w:rPr>
          <w:rFonts w:ascii="Book Antiqua" w:hAnsi="Book Antiqua"/>
          <w:lang w:val="es-PR"/>
        </w:rPr>
        <w:t>Sesión</w:t>
      </w:r>
    </w:p>
    <w:p w14:paraId="24015CFC" w14:textId="77777777" w:rsidR="007F61B2" w:rsidRPr="003F49C5" w:rsidRDefault="0001230E" w:rsidP="0001230E">
      <w:pPr>
        <w:pStyle w:val="Title2"/>
        <w:suppressLineNumbers/>
        <w:tabs>
          <w:tab w:val="clear" w:pos="648"/>
          <w:tab w:val="clear" w:pos="7776"/>
          <w:tab w:val="left" w:pos="540"/>
        </w:tabs>
        <w:rPr>
          <w:rFonts w:ascii="Book Antiqua" w:hAnsi="Book Antiqua"/>
          <w:lang w:val="es-PR"/>
        </w:rPr>
      </w:pPr>
      <w:r w:rsidRPr="003F49C5">
        <w:rPr>
          <w:rFonts w:ascii="Book Antiqua" w:hAnsi="Book Antiqua"/>
          <w:lang w:val="es-PR"/>
        </w:rPr>
        <w:tab/>
      </w:r>
      <w:r w:rsidR="0083082B" w:rsidRPr="003F49C5">
        <w:rPr>
          <w:rFonts w:ascii="Book Antiqua" w:hAnsi="Book Antiqua"/>
          <w:lang w:val="es-PR"/>
        </w:rPr>
        <w:t>Legislativa</w:t>
      </w:r>
      <w:r w:rsidR="0083082B" w:rsidRPr="003F49C5">
        <w:rPr>
          <w:rFonts w:ascii="Book Antiqua" w:hAnsi="Book Antiqua"/>
          <w:lang w:val="es-PR"/>
        </w:rPr>
        <w:tab/>
      </w:r>
      <w:r w:rsidR="0083082B" w:rsidRPr="003F49C5">
        <w:rPr>
          <w:rFonts w:ascii="Book Antiqua" w:hAnsi="Book Antiqua"/>
          <w:lang w:val="es-PR"/>
        </w:rPr>
        <w:tab/>
        <w:t xml:space="preserve">     Ordinaria</w:t>
      </w:r>
      <w:r w:rsidR="0083082B" w:rsidRPr="003F49C5">
        <w:rPr>
          <w:rFonts w:ascii="Book Antiqua" w:hAnsi="Book Antiqua"/>
          <w:lang w:val="es-PR"/>
        </w:rPr>
        <w:tab/>
      </w:r>
      <w:r w:rsidR="0083082B" w:rsidRPr="003F49C5">
        <w:rPr>
          <w:rFonts w:ascii="Book Antiqua" w:hAnsi="Book Antiqua"/>
          <w:lang w:val="es-PR"/>
        </w:rPr>
        <w:tab/>
      </w:r>
      <w:r w:rsidR="0083082B" w:rsidRPr="003F49C5">
        <w:rPr>
          <w:rFonts w:ascii="Book Antiqua" w:hAnsi="Book Antiqua"/>
          <w:lang w:val="es-PR"/>
        </w:rPr>
        <w:tab/>
      </w:r>
      <w:r w:rsidR="0083082B" w:rsidRPr="003F49C5">
        <w:rPr>
          <w:rFonts w:ascii="Book Antiqua" w:hAnsi="Book Antiqua"/>
          <w:lang w:val="es-PR"/>
        </w:rPr>
        <w:tab/>
      </w:r>
      <w:r w:rsidR="0083082B" w:rsidRPr="003F49C5">
        <w:rPr>
          <w:rFonts w:ascii="Book Antiqua" w:hAnsi="Book Antiqua"/>
          <w:lang w:val="es-PR"/>
        </w:rPr>
        <w:tab/>
      </w:r>
    </w:p>
    <w:p w14:paraId="6358FEBF" w14:textId="77777777" w:rsidR="007F61B2" w:rsidRPr="003F49C5" w:rsidRDefault="0083082B" w:rsidP="0001230E">
      <w:pPr>
        <w:suppressLineNumbers/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3F49C5">
        <w:rPr>
          <w:rFonts w:ascii="Book Antiqua" w:hAnsi="Book Antiqua"/>
          <w:b/>
          <w:sz w:val="36"/>
          <w:szCs w:val="36"/>
          <w:lang w:val="es-PR"/>
        </w:rPr>
        <w:t xml:space="preserve">SENADO DE PUERTO RICO </w:t>
      </w:r>
    </w:p>
    <w:p w14:paraId="6831BF00" w14:textId="77777777" w:rsidR="007F61B2" w:rsidRPr="003F49C5" w:rsidRDefault="007F61B2" w:rsidP="0001230E">
      <w:pPr>
        <w:suppressLineNumbers/>
        <w:jc w:val="center"/>
        <w:rPr>
          <w:rFonts w:ascii="Book Antiqua" w:hAnsi="Book Antiqua"/>
          <w:b/>
          <w:szCs w:val="24"/>
          <w:lang w:val="es-PR"/>
        </w:rPr>
      </w:pPr>
    </w:p>
    <w:p w14:paraId="57794621" w14:textId="77777777" w:rsidR="007F61B2" w:rsidRPr="003F49C5" w:rsidRDefault="0083082B" w:rsidP="0001230E">
      <w:pPr>
        <w:suppressLineNumbers/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3F49C5">
        <w:rPr>
          <w:rFonts w:ascii="Book Antiqua" w:hAnsi="Book Antiqua"/>
          <w:b/>
          <w:sz w:val="52"/>
          <w:szCs w:val="52"/>
          <w:lang w:val="es-PR"/>
        </w:rPr>
        <w:t>P. del S.</w:t>
      </w:r>
      <w:r w:rsidR="00981DAC" w:rsidRPr="003F49C5">
        <w:rPr>
          <w:rFonts w:ascii="Book Antiqua" w:hAnsi="Book Antiqua"/>
          <w:b/>
          <w:sz w:val="52"/>
          <w:szCs w:val="52"/>
          <w:lang w:val="es-PR"/>
        </w:rPr>
        <w:t xml:space="preserve"> 434</w:t>
      </w:r>
    </w:p>
    <w:p w14:paraId="628445BD" w14:textId="77777777" w:rsidR="00151EAB" w:rsidRPr="003F49C5" w:rsidRDefault="00981DAC" w:rsidP="0001230E">
      <w:pPr>
        <w:suppressLineNumbers/>
        <w:spacing w:before="120"/>
        <w:jc w:val="center"/>
        <w:rPr>
          <w:rFonts w:ascii="Book Antiqua" w:eastAsia="Book Antiqua" w:hAnsi="Book Antiqua" w:cs="Book Antiqua"/>
          <w:lang w:val="es-PR"/>
        </w:rPr>
      </w:pPr>
      <w:r w:rsidRPr="003F49C5">
        <w:rPr>
          <w:rFonts w:ascii="Book Antiqua" w:eastAsia="Book Antiqua" w:hAnsi="Book Antiqua" w:cs="Book Antiqua"/>
          <w:lang w:val="es-PR"/>
        </w:rPr>
        <w:t xml:space="preserve">19 </w:t>
      </w:r>
      <w:r w:rsidR="00151EAB" w:rsidRPr="003F49C5">
        <w:rPr>
          <w:rFonts w:ascii="Book Antiqua" w:eastAsia="Book Antiqua" w:hAnsi="Book Antiqua" w:cs="Book Antiqua"/>
          <w:lang w:val="es-PR"/>
        </w:rPr>
        <w:t>de marzo de 2025</w:t>
      </w:r>
    </w:p>
    <w:p w14:paraId="07745721" w14:textId="77777777" w:rsidR="00151EAB" w:rsidRPr="003F49C5" w:rsidRDefault="00151EAB" w:rsidP="0001230E">
      <w:pPr>
        <w:suppressLineNumbers/>
        <w:spacing w:before="120"/>
        <w:jc w:val="center"/>
        <w:rPr>
          <w:rFonts w:ascii="Book Antiqua" w:eastAsia="Book Antiqua" w:hAnsi="Book Antiqua" w:cs="Book Antiqua"/>
          <w:i/>
          <w:lang w:val="es-PR"/>
        </w:rPr>
      </w:pPr>
      <w:r w:rsidRPr="003F49C5">
        <w:rPr>
          <w:rFonts w:ascii="Book Antiqua" w:eastAsia="Book Antiqua" w:hAnsi="Book Antiqua" w:cs="Book Antiqua"/>
          <w:lang w:val="es-PR"/>
        </w:rPr>
        <w:t xml:space="preserve">Presentado por los señores </w:t>
      </w:r>
      <w:r w:rsidRPr="003F49C5">
        <w:rPr>
          <w:rFonts w:ascii="Book Antiqua" w:eastAsia="Book Antiqua" w:hAnsi="Book Antiqua" w:cs="Book Antiqua"/>
          <w:i/>
          <w:lang w:val="es-PR"/>
        </w:rPr>
        <w:t xml:space="preserve">Rivera Schatz, Ríos Santiago, </w:t>
      </w:r>
      <w:r w:rsidRPr="003F49C5">
        <w:rPr>
          <w:rFonts w:ascii="Book Antiqua" w:eastAsia="Book Antiqua" w:hAnsi="Book Antiqua" w:cs="Book Antiqua"/>
          <w:lang w:val="es-PR"/>
        </w:rPr>
        <w:t xml:space="preserve">la señora </w:t>
      </w:r>
      <w:r w:rsidRPr="003F49C5">
        <w:rPr>
          <w:rFonts w:ascii="Book Antiqua" w:eastAsia="Book Antiqua" w:hAnsi="Book Antiqua" w:cs="Book Antiqua"/>
          <w:i/>
          <w:lang w:val="es-PR"/>
        </w:rPr>
        <w:t xml:space="preserve">Jiménez Santoni, </w:t>
      </w:r>
      <w:r w:rsidRPr="003F49C5">
        <w:rPr>
          <w:rFonts w:ascii="Book Antiqua" w:eastAsia="Book Antiqua" w:hAnsi="Book Antiqua" w:cs="Book Antiqua"/>
          <w:lang w:val="es-PR"/>
        </w:rPr>
        <w:t xml:space="preserve">los señores </w:t>
      </w:r>
      <w:r w:rsidRPr="003F49C5">
        <w:rPr>
          <w:rFonts w:ascii="Book Antiqua" w:eastAsia="Book Antiqua" w:hAnsi="Book Antiqua" w:cs="Book Antiqua"/>
          <w:i/>
          <w:lang w:val="es-PR"/>
        </w:rPr>
        <w:t xml:space="preserve">Matías Rosario, Morales Rodríguez, </w:t>
      </w:r>
      <w:r w:rsidRPr="003F49C5">
        <w:rPr>
          <w:rFonts w:ascii="Book Antiqua" w:eastAsia="Book Antiqua" w:hAnsi="Book Antiqua" w:cs="Book Antiqua"/>
          <w:lang w:val="es-PR"/>
        </w:rPr>
        <w:t>la señora</w:t>
      </w:r>
      <w:r w:rsidRPr="003F49C5">
        <w:rPr>
          <w:rFonts w:ascii="Book Antiqua" w:eastAsia="Book Antiqua" w:hAnsi="Book Antiqua" w:cs="Book Antiqua"/>
          <w:i/>
          <w:lang w:val="es-PR"/>
        </w:rPr>
        <w:t xml:space="preserve"> Barlucea Rodríguez</w:t>
      </w:r>
      <w:r w:rsidRPr="003F49C5">
        <w:rPr>
          <w:rFonts w:ascii="Book Antiqua" w:eastAsia="Book Antiqua" w:hAnsi="Book Antiqua" w:cs="Book Antiqua"/>
          <w:lang w:val="es-PR"/>
        </w:rPr>
        <w:t xml:space="preserve">, los señores </w:t>
      </w:r>
      <w:r w:rsidRPr="003F49C5">
        <w:rPr>
          <w:rFonts w:ascii="Book Antiqua" w:eastAsia="Book Antiqua" w:hAnsi="Book Antiqua" w:cs="Book Antiqua"/>
          <w:i/>
          <w:lang w:val="es-PR"/>
        </w:rPr>
        <w:t>Colón La Santa</w:t>
      </w:r>
      <w:r w:rsidRPr="003F49C5">
        <w:rPr>
          <w:rFonts w:ascii="Book Antiqua" w:eastAsia="Book Antiqua" w:hAnsi="Book Antiqua" w:cs="Book Antiqua"/>
          <w:lang w:val="es-PR"/>
        </w:rPr>
        <w:t xml:space="preserve">, </w:t>
      </w:r>
      <w:r w:rsidRPr="003F49C5">
        <w:rPr>
          <w:rFonts w:ascii="Book Antiqua" w:eastAsia="Book Antiqua" w:hAnsi="Book Antiqua" w:cs="Book Antiqua"/>
          <w:i/>
          <w:lang w:val="es-PR"/>
        </w:rPr>
        <w:t>González López</w:t>
      </w:r>
      <w:r w:rsidRPr="003F49C5">
        <w:rPr>
          <w:rFonts w:ascii="Book Antiqua" w:eastAsia="Book Antiqua" w:hAnsi="Book Antiqua" w:cs="Book Antiqua"/>
          <w:lang w:val="es-PR"/>
        </w:rPr>
        <w:t xml:space="preserve">, las señoras </w:t>
      </w:r>
      <w:r w:rsidRPr="003F49C5">
        <w:rPr>
          <w:rFonts w:ascii="Book Antiqua" w:eastAsia="Book Antiqua" w:hAnsi="Book Antiqua" w:cs="Book Antiqua"/>
          <w:i/>
          <w:lang w:val="es-PR"/>
        </w:rPr>
        <w:t>Padilla Alvelo, Moran Trinidad, Pérez Soto</w:t>
      </w:r>
      <w:r w:rsidRPr="003F49C5">
        <w:rPr>
          <w:rFonts w:ascii="Book Antiqua" w:eastAsia="Book Antiqua" w:hAnsi="Book Antiqua" w:cs="Book Antiqua"/>
          <w:lang w:val="es-PR"/>
        </w:rPr>
        <w:t xml:space="preserve">, el señor </w:t>
      </w:r>
      <w:r w:rsidRPr="003F49C5">
        <w:rPr>
          <w:rFonts w:ascii="Book Antiqua" w:eastAsia="Book Antiqua" w:hAnsi="Book Antiqua" w:cs="Book Antiqua"/>
          <w:i/>
          <w:lang w:val="es-PR"/>
        </w:rPr>
        <w:t>Reyes Berríos</w:t>
      </w:r>
      <w:r w:rsidRPr="003F49C5">
        <w:rPr>
          <w:rFonts w:ascii="Book Antiqua" w:eastAsia="Book Antiqua" w:hAnsi="Book Antiqua" w:cs="Book Antiqua"/>
          <w:lang w:val="es-PR"/>
        </w:rPr>
        <w:t xml:space="preserve">, la señora </w:t>
      </w:r>
      <w:r w:rsidRPr="003F49C5">
        <w:rPr>
          <w:rFonts w:ascii="Book Antiqua" w:eastAsia="Book Antiqua" w:hAnsi="Book Antiqua" w:cs="Book Antiqua"/>
          <w:i/>
          <w:lang w:val="es-PR"/>
        </w:rPr>
        <w:t>Román Rodríguez</w:t>
      </w:r>
      <w:r w:rsidRPr="003F49C5">
        <w:rPr>
          <w:rFonts w:ascii="Book Antiqua" w:eastAsia="Book Antiqua" w:hAnsi="Book Antiqua" w:cs="Book Antiqua"/>
          <w:lang w:val="es-PR"/>
        </w:rPr>
        <w:t xml:space="preserve">, los señores </w:t>
      </w:r>
      <w:r w:rsidRPr="003F49C5">
        <w:rPr>
          <w:rFonts w:ascii="Book Antiqua" w:eastAsia="Book Antiqua" w:hAnsi="Book Antiqua" w:cs="Book Antiqua"/>
          <w:i/>
          <w:lang w:val="es-PR"/>
        </w:rPr>
        <w:t>Rosa Ramos, Sánchez Álvarez, Santos Ortiz,</w:t>
      </w:r>
      <w:r w:rsidRPr="003F49C5">
        <w:rPr>
          <w:rFonts w:ascii="Book Antiqua" w:eastAsia="Book Antiqua" w:hAnsi="Book Antiqua" w:cs="Book Antiqua"/>
          <w:lang w:val="es-PR"/>
        </w:rPr>
        <w:t xml:space="preserve"> las señoras </w:t>
      </w:r>
      <w:r w:rsidRPr="003F49C5">
        <w:rPr>
          <w:rFonts w:ascii="Book Antiqua" w:eastAsia="Book Antiqua" w:hAnsi="Book Antiqua" w:cs="Book Antiqua"/>
          <w:i/>
          <w:lang w:val="es-PR"/>
        </w:rPr>
        <w:t>Soto Aguilú, Soto Tolentino</w:t>
      </w:r>
      <w:r w:rsidRPr="003F49C5">
        <w:rPr>
          <w:rFonts w:ascii="Book Antiqua" w:eastAsia="Book Antiqua" w:hAnsi="Book Antiqua" w:cs="Book Antiqua"/>
          <w:lang w:val="es-PR"/>
        </w:rPr>
        <w:t xml:space="preserve">, y el señor </w:t>
      </w:r>
      <w:r w:rsidRPr="003F49C5">
        <w:rPr>
          <w:rFonts w:ascii="Book Antiqua" w:eastAsia="Book Antiqua" w:hAnsi="Book Antiqua" w:cs="Book Antiqua"/>
          <w:i/>
          <w:lang w:val="es-PR"/>
        </w:rPr>
        <w:t>Toledo López</w:t>
      </w:r>
    </w:p>
    <w:p w14:paraId="153F3CF2" w14:textId="77777777" w:rsidR="007F61B2" w:rsidRPr="003F49C5" w:rsidRDefault="007F61B2" w:rsidP="0001230E">
      <w:pPr>
        <w:pStyle w:val="NoSpacing"/>
        <w:suppressLineNumbers/>
        <w:rPr>
          <w:rFonts w:ascii="Book Antiqua" w:hAnsi="Book Antiqua"/>
          <w:lang w:val="es-PR"/>
        </w:rPr>
      </w:pPr>
    </w:p>
    <w:p w14:paraId="3611CCFB" w14:textId="77777777" w:rsidR="0001230E" w:rsidRPr="003F49C5" w:rsidRDefault="0083082B" w:rsidP="0001230E">
      <w:pPr>
        <w:suppressLineNumbers/>
        <w:jc w:val="center"/>
        <w:rPr>
          <w:rFonts w:ascii="Book Antiqua" w:hAnsi="Book Antiqua"/>
          <w:i/>
          <w:iCs/>
          <w:szCs w:val="24"/>
          <w:lang w:val="es-419"/>
        </w:rPr>
      </w:pPr>
      <w:r w:rsidRPr="003F49C5">
        <w:rPr>
          <w:rFonts w:ascii="Book Antiqua" w:hAnsi="Book Antiqua"/>
          <w:i/>
          <w:iCs/>
          <w:lang w:val="es-PR"/>
        </w:rPr>
        <w:t>Referido a</w:t>
      </w:r>
      <w:r w:rsidR="0001230E" w:rsidRPr="003F49C5">
        <w:rPr>
          <w:rFonts w:ascii="Book Antiqua" w:hAnsi="Book Antiqua"/>
          <w:i/>
          <w:iCs/>
          <w:lang w:val="es-PR"/>
        </w:rPr>
        <w:t xml:space="preserve"> la Comisión de </w:t>
      </w:r>
      <w:r w:rsidR="0001230E" w:rsidRPr="003F49C5">
        <w:rPr>
          <w:rFonts w:ascii="Book Antiqua" w:hAnsi="Book Antiqua"/>
          <w:i/>
          <w:iCs/>
          <w:szCs w:val="24"/>
          <w:lang w:val="es-419"/>
        </w:rPr>
        <w:t>Desarrollo Económico, Pequeños Negocios, Banca, Comercio, Seguros y Cooperativismo</w:t>
      </w:r>
    </w:p>
    <w:p w14:paraId="63F19472" w14:textId="77777777" w:rsidR="007F61B2" w:rsidRPr="003F49C5" w:rsidRDefault="007F61B2" w:rsidP="0001230E">
      <w:pPr>
        <w:suppressLineNumbers/>
        <w:jc w:val="both"/>
        <w:rPr>
          <w:rFonts w:ascii="Book Antiqua" w:hAnsi="Book Antiqua"/>
          <w:lang w:val="es-PR"/>
        </w:rPr>
      </w:pPr>
    </w:p>
    <w:p w14:paraId="45D8BC65" w14:textId="77777777" w:rsidR="007F61B2" w:rsidRPr="003F49C5" w:rsidRDefault="0083082B" w:rsidP="0001230E">
      <w:pPr>
        <w:suppressLineNumbers/>
        <w:jc w:val="center"/>
        <w:rPr>
          <w:rFonts w:ascii="Book Antiqua" w:hAnsi="Book Antiqua"/>
          <w:b/>
          <w:szCs w:val="24"/>
          <w:lang w:val="es-PR"/>
        </w:rPr>
      </w:pPr>
      <w:r w:rsidRPr="003F49C5">
        <w:rPr>
          <w:rFonts w:ascii="Book Antiqua" w:hAnsi="Book Antiqua"/>
          <w:b/>
          <w:szCs w:val="24"/>
          <w:lang w:val="es-PR"/>
        </w:rPr>
        <w:t>LEY</w:t>
      </w:r>
    </w:p>
    <w:p w14:paraId="26C04682" w14:textId="77777777" w:rsidR="007F61B2" w:rsidRPr="003F49C5" w:rsidRDefault="007F61B2" w:rsidP="0001230E">
      <w:pPr>
        <w:suppressLineNumbers/>
        <w:jc w:val="center"/>
        <w:rPr>
          <w:rFonts w:ascii="Book Antiqua" w:hAnsi="Book Antiqua"/>
          <w:b/>
          <w:sz w:val="16"/>
          <w:szCs w:val="16"/>
          <w:lang w:val="es-PR"/>
        </w:rPr>
      </w:pPr>
    </w:p>
    <w:p w14:paraId="395DBE92" w14:textId="22B398F8" w:rsidR="007F61B2" w:rsidRPr="003F49C5" w:rsidRDefault="0083082B" w:rsidP="0001230E">
      <w:pPr>
        <w:suppressLineNumbers/>
        <w:ind w:left="540" w:hanging="630"/>
        <w:jc w:val="both"/>
        <w:rPr>
          <w:rFonts w:ascii="Book Antiqua" w:hAnsi="Book Antiqua"/>
          <w:snapToGrid w:val="0"/>
          <w:szCs w:val="24"/>
          <w:lang w:val="es-PR"/>
        </w:rPr>
      </w:pPr>
      <w:r w:rsidRPr="003F49C5">
        <w:rPr>
          <w:rFonts w:ascii="Book Antiqua" w:hAnsi="Book Antiqua"/>
          <w:snapToGrid w:val="0"/>
          <w:szCs w:val="24"/>
          <w:lang w:val="es-PR"/>
        </w:rPr>
        <w:t>Para añadir un nuevo inciso (24)</w:t>
      </w:r>
      <w:r w:rsidR="00886AEA" w:rsidRPr="003F49C5">
        <w:rPr>
          <w:rFonts w:ascii="Book Antiqua" w:hAnsi="Book Antiqua"/>
          <w:i/>
          <w:iCs/>
          <w:snapToGrid w:val="0"/>
          <w:szCs w:val="24"/>
          <w:u w:val="single"/>
          <w:lang w:val="es-PR"/>
        </w:rPr>
        <w:t>, y reenumerar los subsiguientes, en el</w:t>
      </w:r>
      <w:r w:rsidRPr="003F49C5">
        <w:rPr>
          <w:rFonts w:ascii="Book Antiqua" w:hAnsi="Book Antiqua"/>
          <w:snapToGrid w:val="0"/>
          <w:szCs w:val="24"/>
          <w:lang w:val="es-PR"/>
        </w:rPr>
        <w:t xml:space="preserve"> </w:t>
      </w:r>
      <w:r w:rsidRPr="003F49C5">
        <w:rPr>
          <w:rFonts w:ascii="Book Antiqua" w:hAnsi="Book Antiqua"/>
          <w:strike/>
          <w:snapToGrid w:val="0"/>
          <w:szCs w:val="24"/>
          <w:lang w:val="es-PR"/>
        </w:rPr>
        <w:t>del</w:t>
      </w:r>
      <w:r w:rsidRPr="003F49C5">
        <w:rPr>
          <w:rFonts w:ascii="Book Antiqua" w:hAnsi="Book Antiqua"/>
          <w:snapToGrid w:val="0"/>
          <w:szCs w:val="24"/>
          <w:lang w:val="es-PR"/>
        </w:rPr>
        <w:t xml:space="preserve"> Artículo 61.020; </w:t>
      </w:r>
      <w:r w:rsidRPr="003F49C5">
        <w:rPr>
          <w:rFonts w:ascii="Book Antiqua" w:hAnsi="Book Antiqua"/>
          <w:strike/>
          <w:snapToGrid w:val="0"/>
          <w:szCs w:val="24"/>
          <w:lang w:val="es-PR"/>
        </w:rPr>
        <w:t>renumerar los subsiguientes incisos</w:t>
      </w:r>
      <w:r w:rsidRPr="003F49C5">
        <w:rPr>
          <w:rFonts w:ascii="Book Antiqua" w:hAnsi="Book Antiqua"/>
          <w:snapToGrid w:val="0"/>
          <w:szCs w:val="24"/>
          <w:lang w:val="es-PR"/>
        </w:rPr>
        <w:t xml:space="preserve"> y añadir un nuevo Artículo 61.051 a la Ley Núm. 77 del 19 de junio de 1957, según enmendada, conocida como “Código de Seguros de Puerto Rico”, para crear las Subclases 3-M, 4-M y 5-M, aplicables a los aseguradores internacionales que suscriban o asuman riesgos en reaseguro residentes, localizados o a ejecutarse en otro estado o territorio de Estados Unidos; alinear los parámetros de regulación bajo los cuales estas subclases podrán hacer negocios de seguros en otro estado o territorio de Estados Unidos conforme los estándares uniformes de regulación de solvencia financiera promulgados por la “</w:t>
      </w:r>
      <w:proofErr w:type="spellStart"/>
      <w:r w:rsidRPr="003F49C5">
        <w:rPr>
          <w:rFonts w:ascii="Book Antiqua" w:hAnsi="Book Antiqua"/>
          <w:snapToGrid w:val="0"/>
          <w:szCs w:val="24"/>
          <w:lang w:val="es-PR"/>
        </w:rPr>
        <w:t>National</w:t>
      </w:r>
      <w:proofErr w:type="spellEnd"/>
      <w:r w:rsidRPr="003F49C5">
        <w:rPr>
          <w:rFonts w:ascii="Book Antiqua" w:hAnsi="Book Antiqua"/>
          <w:snapToGrid w:val="0"/>
          <w:szCs w:val="24"/>
          <w:lang w:val="es-PR"/>
        </w:rPr>
        <w:t xml:space="preserve"> </w:t>
      </w:r>
      <w:proofErr w:type="spellStart"/>
      <w:r w:rsidRPr="003F49C5">
        <w:rPr>
          <w:rFonts w:ascii="Book Antiqua" w:hAnsi="Book Antiqua"/>
          <w:snapToGrid w:val="0"/>
          <w:szCs w:val="24"/>
          <w:lang w:val="es-PR"/>
        </w:rPr>
        <w:t>Association</w:t>
      </w:r>
      <w:proofErr w:type="spellEnd"/>
      <w:r w:rsidRPr="003F49C5">
        <w:rPr>
          <w:rFonts w:ascii="Book Antiqua" w:hAnsi="Book Antiqua"/>
          <w:snapToGrid w:val="0"/>
          <w:szCs w:val="24"/>
          <w:lang w:val="es-PR"/>
        </w:rPr>
        <w:t xml:space="preserve"> </w:t>
      </w:r>
      <w:proofErr w:type="spellStart"/>
      <w:r w:rsidRPr="003F49C5">
        <w:rPr>
          <w:rFonts w:ascii="Book Antiqua" w:hAnsi="Book Antiqua"/>
          <w:snapToGrid w:val="0"/>
          <w:szCs w:val="24"/>
          <w:lang w:val="es-PR"/>
        </w:rPr>
        <w:t>of</w:t>
      </w:r>
      <w:proofErr w:type="spellEnd"/>
      <w:r w:rsidRPr="003F49C5">
        <w:rPr>
          <w:rFonts w:ascii="Book Antiqua" w:hAnsi="Book Antiqua"/>
          <w:snapToGrid w:val="0"/>
          <w:szCs w:val="24"/>
          <w:lang w:val="es-PR"/>
        </w:rPr>
        <w:t xml:space="preserve"> </w:t>
      </w:r>
      <w:proofErr w:type="spellStart"/>
      <w:r w:rsidRPr="003F49C5">
        <w:rPr>
          <w:rFonts w:ascii="Book Antiqua" w:hAnsi="Book Antiqua"/>
          <w:snapToGrid w:val="0"/>
          <w:szCs w:val="24"/>
          <w:lang w:val="es-PR"/>
        </w:rPr>
        <w:t>Insurance</w:t>
      </w:r>
      <w:proofErr w:type="spellEnd"/>
      <w:r w:rsidRPr="003F49C5">
        <w:rPr>
          <w:rFonts w:ascii="Book Antiqua" w:hAnsi="Book Antiqua"/>
          <w:snapToGrid w:val="0"/>
          <w:szCs w:val="24"/>
          <w:lang w:val="es-PR"/>
        </w:rPr>
        <w:t xml:space="preserve"> </w:t>
      </w:r>
      <w:proofErr w:type="spellStart"/>
      <w:r w:rsidRPr="003F49C5">
        <w:rPr>
          <w:rFonts w:ascii="Book Antiqua" w:hAnsi="Book Antiqua"/>
          <w:snapToGrid w:val="0"/>
          <w:szCs w:val="24"/>
          <w:lang w:val="es-PR"/>
        </w:rPr>
        <w:t>Commissioners</w:t>
      </w:r>
      <w:proofErr w:type="spellEnd"/>
      <w:r w:rsidRPr="003F49C5">
        <w:rPr>
          <w:rFonts w:ascii="Book Antiqua" w:hAnsi="Book Antiqua"/>
          <w:snapToGrid w:val="0"/>
          <w:szCs w:val="24"/>
          <w:lang w:val="es-PR"/>
        </w:rPr>
        <w:t xml:space="preserve">” (NAIC); y para otros fines relacionados.     </w:t>
      </w:r>
    </w:p>
    <w:p w14:paraId="5C64BC9B" w14:textId="77777777" w:rsidR="007F61B2" w:rsidRPr="008B5572" w:rsidRDefault="007F61B2" w:rsidP="0001230E">
      <w:pPr>
        <w:suppressLineNumbers/>
        <w:ind w:left="720" w:hanging="720"/>
        <w:jc w:val="both"/>
        <w:rPr>
          <w:rFonts w:ascii="Book Antiqua" w:hAnsi="Book Antiqua"/>
          <w:snapToGrid w:val="0"/>
          <w:szCs w:val="24"/>
          <w:highlight w:val="yellow"/>
          <w:lang w:val="es-PR"/>
        </w:rPr>
      </w:pPr>
    </w:p>
    <w:p w14:paraId="1FA470C9" w14:textId="77777777" w:rsidR="007F61B2" w:rsidRPr="008B5572" w:rsidRDefault="0083082B" w:rsidP="0001230E">
      <w:pPr>
        <w:suppressLineNumbers/>
        <w:ind w:left="720" w:hanging="720"/>
        <w:jc w:val="center"/>
        <w:rPr>
          <w:rFonts w:ascii="Book Antiqua" w:hAnsi="Book Antiqua"/>
          <w:b/>
          <w:bCs/>
          <w:snapToGrid w:val="0"/>
          <w:szCs w:val="24"/>
          <w:lang w:val="es-PR"/>
        </w:rPr>
      </w:pPr>
      <w:r w:rsidRPr="008B5572">
        <w:rPr>
          <w:rFonts w:ascii="Book Antiqua" w:hAnsi="Book Antiqua"/>
          <w:b/>
          <w:bCs/>
          <w:snapToGrid w:val="0"/>
          <w:szCs w:val="24"/>
          <w:lang w:val="es-PR"/>
        </w:rPr>
        <w:t>EXPOSICI</w:t>
      </w:r>
      <w:r w:rsidR="0001230E">
        <w:rPr>
          <w:rFonts w:ascii="Book Antiqua" w:hAnsi="Book Antiqua"/>
          <w:b/>
          <w:bCs/>
          <w:snapToGrid w:val="0"/>
          <w:szCs w:val="24"/>
          <w:lang w:val="es-PR"/>
        </w:rPr>
        <w:t>Ó</w:t>
      </w:r>
      <w:r w:rsidRPr="008B5572">
        <w:rPr>
          <w:rFonts w:ascii="Book Antiqua" w:hAnsi="Book Antiqua"/>
          <w:b/>
          <w:bCs/>
          <w:snapToGrid w:val="0"/>
          <w:szCs w:val="24"/>
          <w:lang w:val="es-PR"/>
        </w:rPr>
        <w:t>N DE MOTIVOS</w:t>
      </w:r>
    </w:p>
    <w:p w14:paraId="028786C5" w14:textId="4347A78E" w:rsidR="0009772C" w:rsidRDefault="0083082B" w:rsidP="0001230E">
      <w:pPr>
        <w:suppressLineNumbers/>
        <w:spacing w:before="120" w:after="120" w:line="360" w:lineRule="auto"/>
        <w:ind w:firstLine="634"/>
        <w:jc w:val="both"/>
        <w:rPr>
          <w:rFonts w:ascii="Book Antiqua" w:eastAsia="Book Antiqua" w:hAnsi="Book Antiqua" w:cs="Book Antiqua"/>
          <w:color w:val="000000"/>
          <w:lang w:val="es-PR"/>
        </w:rPr>
      </w:pPr>
      <w:r w:rsidRPr="008B5572">
        <w:rPr>
          <w:rFonts w:ascii="Book Antiqua" w:eastAsia="Book Antiqua" w:hAnsi="Book Antiqua" w:cs="Book Antiqua"/>
          <w:color w:val="000000"/>
          <w:lang w:val="es-PR"/>
        </w:rPr>
        <w:t>El Centro Internacional de Seguros</w:t>
      </w:r>
      <w:r w:rsidR="00DD4876">
        <w:rPr>
          <w:rFonts w:ascii="Book Antiqua" w:eastAsia="Book Antiqua" w:hAnsi="Book Antiqua" w:cs="Book Antiqua"/>
          <w:i/>
          <w:iCs/>
          <w:color w:val="000000"/>
          <w:u w:val="single"/>
          <w:lang w:val="es-PR"/>
        </w:rPr>
        <w:t>,</w:t>
      </w:r>
      <w:r w:rsidRPr="008B5572">
        <w:rPr>
          <w:rFonts w:ascii="Book Antiqua" w:eastAsia="Book Antiqua" w:hAnsi="Book Antiqua" w:cs="Book Antiqua"/>
          <w:color w:val="000000"/>
          <w:lang w:val="es-PR"/>
        </w:rPr>
        <w:t xml:space="preserve"> establecido por la Ley 399-2004, según enmendada, y cuyas disposiciones fueron adoptadas al amparo del Capítulo 61 del Código de Seguros de Puerto Rico, conforman la base legal bajo la cual un asegurador o reasegurador internacional puede quedar autorizado para exportar seguros y servicios </w:t>
      </w:r>
      <w:r w:rsidRPr="008B5572">
        <w:rPr>
          <w:rFonts w:ascii="Book Antiqua" w:eastAsia="Book Antiqua" w:hAnsi="Book Antiqua" w:cs="Book Antiqua"/>
          <w:color w:val="000000"/>
          <w:lang w:val="es-PR"/>
        </w:rPr>
        <w:lastRenderedPageBreak/>
        <w:t>relacionados en los mercados internacionales. La infraestructura de servicios y la manera en que puede ser utilizada el Centro Internacional de Seguros provee una diversidad de planes de operaciones como Asegurador Internacional, Compañía Tenedora, Sucursal, Planes de Activos Segregados y valorización de riesgos. Bajo este esquema único</w:t>
      </w:r>
      <w:r w:rsidR="00DD4876">
        <w:rPr>
          <w:rFonts w:ascii="Book Antiqua" w:eastAsia="Book Antiqua" w:hAnsi="Book Antiqua" w:cs="Book Antiqua"/>
          <w:i/>
          <w:iCs/>
          <w:color w:val="000000"/>
          <w:u w:val="single"/>
          <w:lang w:val="es-PR"/>
        </w:rPr>
        <w:t>,</w:t>
      </w:r>
      <w:r w:rsidRPr="008B5572">
        <w:rPr>
          <w:rFonts w:ascii="Book Antiqua" w:eastAsia="Book Antiqua" w:hAnsi="Book Antiqua" w:cs="Book Antiqua"/>
          <w:color w:val="000000"/>
          <w:lang w:val="es-PR"/>
        </w:rPr>
        <w:t xml:space="preserve"> se dispone una serie de incentivos especiales que idean una estructura fiscal favorable para insertar estas entidades y sus empresas tenedoras en el mercado internacional de seguros. </w:t>
      </w:r>
    </w:p>
    <w:p w14:paraId="2449EC70" w14:textId="77777777" w:rsidR="0009772C" w:rsidRDefault="0083082B" w:rsidP="0001230E">
      <w:pPr>
        <w:suppressLineNumbers/>
        <w:spacing w:before="120" w:after="120" w:line="360" w:lineRule="auto"/>
        <w:ind w:firstLine="634"/>
        <w:jc w:val="both"/>
        <w:rPr>
          <w:rFonts w:ascii="Book Antiqua" w:eastAsia="Book Antiqua" w:hAnsi="Book Antiqua" w:cs="Book Antiqua"/>
          <w:color w:val="000000"/>
          <w:lang w:val="es-PR"/>
        </w:rPr>
      </w:pPr>
      <w:r w:rsidRPr="008B5572">
        <w:rPr>
          <w:rFonts w:ascii="Book Antiqua" w:eastAsia="Book Antiqua" w:hAnsi="Book Antiqua" w:cs="Book Antiqua"/>
          <w:color w:val="000000"/>
          <w:lang w:val="es-PR"/>
        </w:rPr>
        <w:t>El sector de seguros internacionales en los pasados años ha experimentado una tendencia positiva de crecimiento. La participación de aseguradores y reaseguradores internacionales en el Centro Internacional de Seguros alcanza un total de 34 aseguradores autorizados, con activos que aumentaron de $6,900 millones en 2022 a $10,479 millones en 2023, principalmente por la relocalización de negocios de países extranjeros como Bermudas e Islas Caimán hacia el Centro Internacional de Seguros en Puerto Rico. El total de primas suscritas y asumidas por aseguradores internacionales correspondiente al año 2023 fue de $1,316 millones, experimentando un crecimiento sostenido en los últimos años.</w:t>
      </w:r>
    </w:p>
    <w:p w14:paraId="4300595C" w14:textId="77777777" w:rsidR="007F61B2" w:rsidRPr="008B5572" w:rsidRDefault="0083082B" w:rsidP="0001230E">
      <w:pPr>
        <w:suppressLineNumbers/>
        <w:spacing w:before="120" w:after="120" w:line="360" w:lineRule="auto"/>
        <w:ind w:firstLine="634"/>
        <w:jc w:val="both"/>
        <w:rPr>
          <w:rFonts w:ascii="Book Antiqua" w:eastAsia="Book Antiqua" w:hAnsi="Book Antiqua" w:cs="Book Antiqua"/>
          <w:color w:val="000000"/>
          <w:lang w:val="es-PR"/>
        </w:rPr>
      </w:pPr>
      <w:r w:rsidRPr="008B5572">
        <w:rPr>
          <w:rFonts w:ascii="Book Antiqua" w:eastAsia="Book Antiqua" w:hAnsi="Book Antiqua" w:cs="Book Antiqua"/>
          <w:color w:val="000000"/>
          <w:lang w:val="es-PR"/>
        </w:rPr>
        <w:t xml:space="preserve">El Centro Internacional de Seguros de por sí tiene un gran potencial en términos de crecimiento económico para Puerto Rico, por lo que, en aras de maximizarlo y continuar desarrollándolo, debemos de fomentar un mercado internacional de seguros estable, competitivo y confiable. Esta visión requiere estar centrado en promover el crecimiento del mercado, proteger a los consumidores, aumentar la capacidad de sus operaciones y fortalecer la resiliencia financiera, lo que en última instancia respalda su crecimiento económico.  </w:t>
      </w:r>
    </w:p>
    <w:p w14:paraId="7F70F2A3" w14:textId="77777777" w:rsidR="007F61B2" w:rsidRPr="008B5572" w:rsidRDefault="0083082B" w:rsidP="0001230E">
      <w:pPr>
        <w:suppressLineNumbers/>
        <w:spacing w:before="120" w:after="120" w:line="360" w:lineRule="auto"/>
        <w:ind w:firstLine="634"/>
        <w:jc w:val="both"/>
        <w:rPr>
          <w:rFonts w:ascii="Book Antiqua" w:eastAsia="Book Antiqua" w:hAnsi="Book Antiqua" w:cs="Book Antiqua"/>
          <w:color w:val="000000"/>
          <w:lang w:val="es-PR"/>
        </w:rPr>
      </w:pPr>
      <w:r w:rsidRPr="008B5572">
        <w:rPr>
          <w:rFonts w:ascii="Book Antiqua" w:eastAsia="Book Antiqua" w:hAnsi="Book Antiqua" w:cs="Book Antiqua"/>
          <w:color w:val="000000"/>
          <w:lang w:val="es-PR"/>
        </w:rPr>
        <w:t xml:space="preserve">Las operaciones del Centro Internacional de Seguros están basadas en disposiciones legales separadas y distintas a la ley del Código de Seguros por lo que los aseguradores y reaseguradores internacional operan, con excepciones limitadas, independientemente de las disposiciones generales del Código de Seguros a las que están sujetos los aseguradores locales y aseguradores de los estados. Este tratamiento especial regulatorio crea incompatibilidad regulatoria en cuanto a los parámetros de regulación </w:t>
      </w:r>
      <w:r w:rsidRPr="008B5572">
        <w:rPr>
          <w:rFonts w:ascii="Book Antiqua" w:eastAsia="Book Antiqua" w:hAnsi="Book Antiqua" w:cs="Book Antiqua"/>
          <w:color w:val="000000"/>
          <w:lang w:val="es-PR"/>
        </w:rPr>
        <w:lastRenderedPageBreak/>
        <w:t>existentes en los estados y territorios de</w:t>
      </w:r>
      <w:r w:rsidR="006E782B" w:rsidRPr="008B5572">
        <w:rPr>
          <w:rFonts w:ascii="Book Antiqua" w:eastAsia="Book Antiqua" w:hAnsi="Book Antiqua" w:cs="Book Antiqua"/>
          <w:color w:val="000000"/>
          <w:lang w:val="es-PR"/>
        </w:rPr>
        <w:t xml:space="preserve"> </w:t>
      </w:r>
      <w:r w:rsidRPr="008B5572">
        <w:rPr>
          <w:rFonts w:ascii="Book Antiqua" w:eastAsia="Book Antiqua" w:hAnsi="Book Antiqua" w:cs="Book Antiqua"/>
          <w:color w:val="000000"/>
          <w:lang w:val="es-PR"/>
        </w:rPr>
        <w:t xml:space="preserve">Estados Unidos, lo que dificulta a los aseguradores y reaseguradores internacionales lograr expandir sus actividades de negocios de seguros en el mercado estadounidense. Claramente el interés de potencializar el desarrollo del Centro Internacional de Seguros nos lleva a la necesidad de alinear nuestra ley a la par con el resto de los estados y territorios de Estados Unidos para facilitar la integración y expansión de los aseguradores y reaseguradores internacionales en el mercado estadounidense. </w:t>
      </w:r>
    </w:p>
    <w:p w14:paraId="2B195DB6" w14:textId="5904CE22" w:rsidR="007F61B2" w:rsidRPr="008B5572" w:rsidRDefault="0083082B" w:rsidP="0001230E">
      <w:pPr>
        <w:suppressLineNumbers/>
        <w:spacing w:before="120" w:after="120" w:line="360" w:lineRule="auto"/>
        <w:ind w:firstLine="634"/>
        <w:jc w:val="both"/>
        <w:rPr>
          <w:rFonts w:ascii="Book Antiqua" w:hAnsi="Book Antiqua"/>
          <w:snapToGrid w:val="0"/>
          <w:szCs w:val="24"/>
          <w:lang w:val="es-PR"/>
        </w:rPr>
      </w:pPr>
      <w:r w:rsidRPr="008B5572">
        <w:rPr>
          <w:rFonts w:ascii="Book Antiqua" w:eastAsia="Book Antiqua" w:hAnsi="Book Antiqua" w:cs="Book Antiqua"/>
          <w:color w:val="000000"/>
          <w:lang w:val="es-PR"/>
        </w:rPr>
        <w:t>En la industria de seguros</w:t>
      </w:r>
      <w:r w:rsidR="00DD4876">
        <w:rPr>
          <w:rFonts w:ascii="Book Antiqua" w:eastAsia="Book Antiqua" w:hAnsi="Book Antiqua" w:cs="Book Antiqua"/>
          <w:i/>
          <w:iCs/>
          <w:color w:val="000000"/>
          <w:u w:val="single"/>
          <w:lang w:val="es-PR"/>
        </w:rPr>
        <w:t>,</w:t>
      </w:r>
      <w:r w:rsidRPr="008B5572">
        <w:rPr>
          <w:rFonts w:ascii="Book Antiqua" w:eastAsia="Book Antiqua" w:hAnsi="Book Antiqua" w:cs="Book Antiqua"/>
          <w:color w:val="000000"/>
          <w:lang w:val="es-PR"/>
        </w:rPr>
        <w:t xml:space="preserve"> nuestra singular relación con Estados Unidos</w:t>
      </w:r>
      <w:r w:rsidR="00DD4876">
        <w:rPr>
          <w:rFonts w:ascii="Book Antiqua" w:eastAsia="Book Antiqua" w:hAnsi="Book Antiqua" w:cs="Book Antiqua"/>
          <w:i/>
          <w:iCs/>
          <w:color w:val="000000"/>
          <w:u w:val="single"/>
          <w:lang w:val="es-PR"/>
        </w:rPr>
        <w:t>,</w:t>
      </w:r>
      <w:r w:rsidRPr="008B5572">
        <w:rPr>
          <w:rFonts w:ascii="Book Antiqua" w:eastAsia="Book Antiqua" w:hAnsi="Book Antiqua" w:cs="Book Antiqua"/>
          <w:color w:val="000000"/>
          <w:lang w:val="es-PR"/>
        </w:rPr>
        <w:t xml:space="preserve"> a través de la </w:t>
      </w:r>
      <w:proofErr w:type="spellStart"/>
      <w:r w:rsidRPr="008B5572">
        <w:rPr>
          <w:rFonts w:ascii="Book Antiqua" w:eastAsia="Book Antiqua" w:hAnsi="Book Antiqua" w:cs="Book Antiqua"/>
          <w:i/>
          <w:iCs/>
          <w:color w:val="000000"/>
          <w:lang w:val="es-PR"/>
        </w:rPr>
        <w:t>National</w:t>
      </w:r>
      <w:proofErr w:type="spellEnd"/>
      <w:r w:rsidRPr="008B5572">
        <w:rPr>
          <w:rFonts w:ascii="Book Antiqua" w:eastAsia="Book Antiqua" w:hAnsi="Book Antiqua" w:cs="Book Antiqua"/>
          <w:i/>
          <w:iCs/>
          <w:color w:val="000000"/>
          <w:lang w:val="es-PR"/>
        </w:rPr>
        <w:t xml:space="preserve"> </w:t>
      </w:r>
      <w:proofErr w:type="spellStart"/>
      <w:r w:rsidRPr="008B5572">
        <w:rPr>
          <w:rFonts w:ascii="Book Antiqua" w:eastAsia="Book Antiqua" w:hAnsi="Book Antiqua" w:cs="Book Antiqua"/>
          <w:i/>
          <w:iCs/>
          <w:color w:val="000000"/>
          <w:lang w:val="es-PR"/>
        </w:rPr>
        <w:t>Association</w:t>
      </w:r>
      <w:proofErr w:type="spellEnd"/>
      <w:r w:rsidRPr="008B5572">
        <w:rPr>
          <w:rFonts w:ascii="Book Antiqua" w:eastAsia="Book Antiqua" w:hAnsi="Book Antiqua" w:cs="Book Antiqua"/>
          <w:i/>
          <w:iCs/>
          <w:color w:val="000000"/>
          <w:lang w:val="es-PR"/>
        </w:rPr>
        <w:t xml:space="preserve"> </w:t>
      </w:r>
      <w:proofErr w:type="spellStart"/>
      <w:r w:rsidRPr="008B5572">
        <w:rPr>
          <w:rFonts w:ascii="Book Antiqua" w:eastAsia="Book Antiqua" w:hAnsi="Book Antiqua" w:cs="Book Antiqua"/>
          <w:i/>
          <w:iCs/>
          <w:color w:val="000000"/>
          <w:lang w:val="es-PR"/>
        </w:rPr>
        <w:t>of</w:t>
      </w:r>
      <w:proofErr w:type="spellEnd"/>
      <w:r w:rsidRPr="008B5572">
        <w:rPr>
          <w:rFonts w:ascii="Book Antiqua" w:eastAsia="Book Antiqua" w:hAnsi="Book Antiqua" w:cs="Book Antiqua"/>
          <w:i/>
          <w:iCs/>
          <w:color w:val="000000"/>
          <w:lang w:val="es-PR"/>
        </w:rPr>
        <w:t xml:space="preserve"> </w:t>
      </w:r>
      <w:proofErr w:type="spellStart"/>
      <w:r w:rsidRPr="008B5572">
        <w:rPr>
          <w:rFonts w:ascii="Book Antiqua" w:eastAsia="Book Antiqua" w:hAnsi="Book Antiqua" w:cs="Book Antiqua"/>
          <w:i/>
          <w:iCs/>
          <w:color w:val="000000"/>
          <w:lang w:val="es-PR"/>
        </w:rPr>
        <w:t>Insurance</w:t>
      </w:r>
      <w:proofErr w:type="spellEnd"/>
      <w:r w:rsidRPr="008B5572">
        <w:rPr>
          <w:rFonts w:ascii="Book Antiqua" w:eastAsia="Book Antiqua" w:hAnsi="Book Antiqua" w:cs="Book Antiqua"/>
          <w:i/>
          <w:iCs/>
          <w:color w:val="000000"/>
          <w:lang w:val="es-PR"/>
        </w:rPr>
        <w:t xml:space="preserve"> </w:t>
      </w:r>
      <w:proofErr w:type="spellStart"/>
      <w:r w:rsidRPr="008B5572">
        <w:rPr>
          <w:rFonts w:ascii="Book Antiqua" w:eastAsia="Book Antiqua" w:hAnsi="Book Antiqua" w:cs="Book Antiqua"/>
          <w:i/>
          <w:iCs/>
          <w:color w:val="000000"/>
          <w:lang w:val="es-PR"/>
        </w:rPr>
        <w:t>Commissioners</w:t>
      </w:r>
      <w:proofErr w:type="spellEnd"/>
      <w:r w:rsidRPr="008B5572">
        <w:rPr>
          <w:rFonts w:ascii="Book Antiqua" w:eastAsia="Book Antiqua" w:hAnsi="Book Antiqua" w:cs="Book Antiqua"/>
          <w:color w:val="000000"/>
          <w:lang w:val="es-PR"/>
        </w:rPr>
        <w:t xml:space="preserve"> (NAIC) nos propicia un entorno de regulación uniforme y consistente con los parámetros de solvencia financiera establecidos en los estados para el negocio de seguros. Los estándares de regulación de</w:t>
      </w:r>
      <w:r w:rsidRPr="008B5572">
        <w:rPr>
          <w:rFonts w:ascii="Book Antiqua" w:hAnsi="Book Antiqua"/>
          <w:snapToGrid w:val="0"/>
          <w:szCs w:val="24"/>
          <w:lang w:val="es-PR"/>
        </w:rPr>
        <w:t xml:space="preserve">l Programa de Acreditación de la NAIC identifican criterios uniformes de solvencia financiera de los aseguradores y fomenta la cooperación entre los reguladores de seguros estatales, lo que mejora la supervisión de las operaciones de aseguradoras </w:t>
      </w:r>
      <w:proofErr w:type="spellStart"/>
      <w:r w:rsidRPr="008B5572">
        <w:rPr>
          <w:rFonts w:ascii="Book Antiqua" w:hAnsi="Book Antiqua"/>
          <w:snapToGrid w:val="0"/>
          <w:szCs w:val="24"/>
          <w:lang w:val="es-PR"/>
        </w:rPr>
        <w:t>multiestatales</w:t>
      </w:r>
      <w:proofErr w:type="spellEnd"/>
      <w:r w:rsidRPr="008B5572">
        <w:rPr>
          <w:rFonts w:ascii="Book Antiqua" w:hAnsi="Book Antiqua"/>
          <w:snapToGrid w:val="0"/>
          <w:szCs w:val="24"/>
          <w:lang w:val="es-PR"/>
        </w:rPr>
        <w:t xml:space="preserve"> y, en última instancia, reduce el costo de las ineficiencias de una pluralidad y variedad de normas regulatorias. Esto sólo funciona si cada jurisdicción acreditada de Estados Unidos adopta e implementa las leyes y regulaciones uniformes requeridas a sus aseguradores nacionales bajo los estándares establecidos por el Programa de Acreditación de la NAIC.</w:t>
      </w:r>
    </w:p>
    <w:p w14:paraId="072CEAC2" w14:textId="658EB344" w:rsidR="007F61B2" w:rsidRPr="008B5572" w:rsidRDefault="0083082B" w:rsidP="0001230E">
      <w:pPr>
        <w:suppressLineNumbers/>
        <w:spacing w:before="120" w:after="120" w:line="360" w:lineRule="auto"/>
        <w:ind w:firstLine="634"/>
        <w:jc w:val="both"/>
        <w:rPr>
          <w:rFonts w:ascii="Book Antiqua" w:hAnsi="Book Antiqua"/>
          <w:snapToGrid w:val="0"/>
          <w:szCs w:val="24"/>
          <w:lang w:val="es-PR"/>
        </w:rPr>
      </w:pPr>
      <w:r w:rsidRPr="00DD4876">
        <w:rPr>
          <w:rFonts w:ascii="Book Antiqua" w:hAnsi="Book Antiqua"/>
          <w:strike/>
          <w:snapToGrid w:val="0"/>
          <w:szCs w:val="24"/>
          <w:lang w:val="es-PR"/>
        </w:rPr>
        <w:t>Es</w:t>
      </w:r>
      <w:r w:rsidRPr="008B5572">
        <w:rPr>
          <w:rFonts w:ascii="Book Antiqua" w:hAnsi="Book Antiqua"/>
          <w:snapToGrid w:val="0"/>
          <w:szCs w:val="24"/>
          <w:lang w:val="es-PR"/>
        </w:rPr>
        <w:t xml:space="preserve"> </w:t>
      </w:r>
      <w:r w:rsidR="00DD4876">
        <w:rPr>
          <w:rFonts w:ascii="Book Antiqua" w:hAnsi="Book Antiqua"/>
          <w:i/>
          <w:iCs/>
          <w:snapToGrid w:val="0"/>
          <w:szCs w:val="24"/>
          <w:u w:val="single"/>
          <w:lang w:val="es-PR"/>
        </w:rPr>
        <w:t>Dicho lo anterior es</w:t>
      </w:r>
      <w:r w:rsidR="00DD4876">
        <w:rPr>
          <w:rFonts w:ascii="Book Antiqua" w:hAnsi="Book Antiqua"/>
          <w:snapToGrid w:val="0"/>
          <w:szCs w:val="24"/>
          <w:lang w:val="es-PR"/>
        </w:rPr>
        <w:t xml:space="preserve"> </w:t>
      </w:r>
      <w:r w:rsidRPr="008B5572">
        <w:rPr>
          <w:rFonts w:ascii="Book Antiqua" w:hAnsi="Book Antiqua"/>
          <w:snapToGrid w:val="0"/>
          <w:szCs w:val="24"/>
          <w:lang w:val="es-PR"/>
        </w:rPr>
        <w:t>esencial que</w:t>
      </w:r>
      <w:r w:rsidR="00DD4876">
        <w:rPr>
          <w:rFonts w:ascii="Book Antiqua" w:hAnsi="Book Antiqua"/>
          <w:i/>
          <w:iCs/>
          <w:snapToGrid w:val="0"/>
          <w:szCs w:val="24"/>
          <w:u w:val="single"/>
          <w:lang w:val="es-PR"/>
        </w:rPr>
        <w:t>,</w:t>
      </w:r>
      <w:r w:rsidRPr="008B5572">
        <w:rPr>
          <w:rFonts w:ascii="Book Antiqua" w:hAnsi="Book Antiqua"/>
          <w:snapToGrid w:val="0"/>
          <w:szCs w:val="24"/>
          <w:lang w:val="es-PR"/>
        </w:rPr>
        <w:t xml:space="preserve"> Puerto Rico continúe caracterizándose por ser una jurisdicción competitiva y respetada y maximizar la acreditación de la NAIC, cual permite la cooperación interestatal, reduce las redundancias regulatorias y proporciona protecciones básicas para el consumidor y el interés público. El hecho de estar acreditado tiene un componente vital para el desarrollo económico pues garantiza que su marco regulatorio de seguros cumpla con los estándares nacionales - elementos que impactan positivamente el desarrollo económico, fortalece la estabilidad financiera y la confianza del mercado.</w:t>
      </w:r>
    </w:p>
    <w:p w14:paraId="6136CD92" w14:textId="101FBC5E" w:rsidR="007F61B2" w:rsidRPr="008B5572" w:rsidRDefault="0083082B" w:rsidP="0001230E">
      <w:pPr>
        <w:suppressLineNumbers/>
        <w:spacing w:before="120" w:after="120" w:line="360" w:lineRule="auto"/>
        <w:ind w:firstLine="634"/>
        <w:jc w:val="both"/>
        <w:rPr>
          <w:rFonts w:ascii="Book Antiqua" w:hAnsi="Book Antiqua"/>
          <w:snapToGrid w:val="0"/>
          <w:szCs w:val="24"/>
          <w:lang w:val="es-PR"/>
        </w:rPr>
      </w:pPr>
      <w:proofErr w:type="gramStart"/>
      <w:r w:rsidRPr="00DD4876">
        <w:rPr>
          <w:rFonts w:ascii="Book Antiqua" w:hAnsi="Book Antiqua"/>
          <w:strike/>
          <w:snapToGrid w:val="0"/>
          <w:szCs w:val="24"/>
          <w:lang w:val="es-PR"/>
        </w:rPr>
        <w:t>Esta</w:t>
      </w:r>
      <w:proofErr w:type="gramEnd"/>
      <w:r w:rsidRPr="008B5572">
        <w:rPr>
          <w:rFonts w:ascii="Book Antiqua" w:hAnsi="Book Antiqua"/>
          <w:snapToGrid w:val="0"/>
          <w:szCs w:val="24"/>
          <w:lang w:val="es-PR"/>
        </w:rPr>
        <w:t xml:space="preserve"> </w:t>
      </w:r>
      <w:r w:rsidR="00DD4876">
        <w:rPr>
          <w:rFonts w:ascii="Book Antiqua" w:hAnsi="Book Antiqua"/>
          <w:i/>
          <w:iCs/>
          <w:snapToGrid w:val="0"/>
          <w:szCs w:val="24"/>
          <w:u w:val="single"/>
          <w:lang w:val="es-PR"/>
        </w:rPr>
        <w:t>Así las cosas, esta</w:t>
      </w:r>
      <w:r w:rsidR="00DD4876">
        <w:rPr>
          <w:rFonts w:ascii="Book Antiqua" w:hAnsi="Book Antiqua"/>
          <w:snapToGrid w:val="0"/>
          <w:szCs w:val="24"/>
          <w:lang w:val="es-PR"/>
        </w:rPr>
        <w:t xml:space="preserve"> </w:t>
      </w:r>
      <w:r w:rsidRPr="008B5572">
        <w:rPr>
          <w:rFonts w:ascii="Book Antiqua" w:hAnsi="Book Antiqua"/>
          <w:snapToGrid w:val="0"/>
          <w:szCs w:val="24"/>
          <w:lang w:val="es-PR"/>
        </w:rPr>
        <w:t xml:space="preserve">legislación tiene el propósito de establecer los parámetros regulatorios aplicables a un asegurador internacional o reasegurador con Autoridad de </w:t>
      </w:r>
      <w:r w:rsidRPr="008B5572">
        <w:rPr>
          <w:rFonts w:ascii="Book Antiqua" w:hAnsi="Book Antiqua"/>
          <w:snapToGrid w:val="0"/>
          <w:szCs w:val="24"/>
          <w:lang w:val="es-PR"/>
        </w:rPr>
        <w:lastRenderedPageBreak/>
        <w:t xml:space="preserve">Clase 3, 4, 5, o combinación de estas clases, con arreglo al Capítulo 61, y que además suscriba o asuma riesgos en reaseguro residentes, localizados o a ejecutarse en otro estado o territorio de Estados Unidos, sujeto y conforme a la autoridad conferida por el regulador de dicho estado o territorio de Estados Unidos. Los aseguradores o reaseguradores internacionales que gocen de la designación de Subclase 3-M, 4-M ó 5-M, que se establece en esta legislación, para suscribir riesgos directos y/o reasegurar riesgos residentes, localizados o a ejecutarse en otro estado o territorio de Estados Unidos, estarán sujeto al cumplimiento de las disposiciones de regulación de solvencia financiera consistentes con las normas uniformes del Programa de Acreditación de la NAIC. </w:t>
      </w:r>
    </w:p>
    <w:p w14:paraId="0E79439E" w14:textId="47BD2086" w:rsidR="007F61B2" w:rsidRPr="008B5572" w:rsidRDefault="0083082B" w:rsidP="0001230E">
      <w:pPr>
        <w:suppressLineNumbers/>
        <w:spacing w:before="120" w:after="120" w:line="360" w:lineRule="auto"/>
        <w:ind w:firstLine="634"/>
        <w:jc w:val="both"/>
        <w:rPr>
          <w:rFonts w:ascii="Book Antiqua" w:hAnsi="Book Antiqua"/>
          <w:snapToGrid w:val="0"/>
          <w:szCs w:val="24"/>
          <w:lang w:val="es-PR"/>
        </w:rPr>
      </w:pPr>
      <w:r w:rsidRPr="008B5572">
        <w:rPr>
          <w:rFonts w:ascii="Book Antiqua" w:hAnsi="Book Antiqua"/>
          <w:snapToGrid w:val="0"/>
          <w:szCs w:val="24"/>
          <w:lang w:val="es-PR"/>
        </w:rPr>
        <w:t>Con las enmiendas aquí propuestas</w:t>
      </w:r>
      <w:r w:rsidR="00DD4876">
        <w:rPr>
          <w:rFonts w:ascii="Book Antiqua" w:hAnsi="Book Antiqua"/>
          <w:i/>
          <w:iCs/>
          <w:snapToGrid w:val="0"/>
          <w:szCs w:val="24"/>
          <w:u w:val="single"/>
          <w:lang w:val="es-PR"/>
        </w:rPr>
        <w:t>,</w:t>
      </w:r>
      <w:r w:rsidRPr="008B5572">
        <w:rPr>
          <w:rFonts w:ascii="Book Antiqua" w:hAnsi="Book Antiqua"/>
          <w:snapToGrid w:val="0"/>
          <w:szCs w:val="24"/>
          <w:lang w:val="es-PR"/>
        </w:rPr>
        <w:t xml:space="preserve"> propiciamos que Puerto Rico sea un destino confiable y respetable para hacer negocios, permitiendo operar en nuestra jurisdicción un mercado en que los aseguradores extiendan sus negocios en y fuera de Puerto Rico y que, a su vez, nuevos aseguradores se interesen por el mercado de Puerto Rico como resultado de la reciprocidad y compatibilidad regulatoria existente con los estados</w:t>
      </w:r>
      <w:r w:rsidR="006E782B" w:rsidRPr="008B5572">
        <w:rPr>
          <w:rFonts w:ascii="Book Antiqua" w:hAnsi="Book Antiqua"/>
          <w:snapToGrid w:val="0"/>
          <w:szCs w:val="24"/>
          <w:lang w:val="es-PR"/>
        </w:rPr>
        <w:t xml:space="preserve"> </w:t>
      </w:r>
      <w:r w:rsidRPr="008B5572">
        <w:rPr>
          <w:rFonts w:ascii="Book Antiqua" w:hAnsi="Book Antiqua"/>
          <w:snapToGrid w:val="0"/>
          <w:szCs w:val="24"/>
          <w:lang w:val="es-PR"/>
        </w:rPr>
        <w:t xml:space="preserve">en Estados Unidos. </w:t>
      </w:r>
    </w:p>
    <w:p w14:paraId="5D23B540" w14:textId="6CC9003A" w:rsidR="007F61B2" w:rsidRPr="008B5572" w:rsidRDefault="0083082B" w:rsidP="0001230E">
      <w:pPr>
        <w:suppressLineNumbers/>
        <w:spacing w:before="120" w:after="120" w:line="360" w:lineRule="auto"/>
        <w:ind w:firstLine="634"/>
        <w:jc w:val="both"/>
        <w:rPr>
          <w:rFonts w:ascii="Book Antiqua" w:hAnsi="Book Antiqua"/>
          <w:snapToGrid w:val="0"/>
          <w:szCs w:val="24"/>
          <w:lang w:val="es-PR"/>
        </w:rPr>
      </w:pPr>
      <w:r w:rsidRPr="008B5572">
        <w:rPr>
          <w:rFonts w:ascii="Book Antiqua" w:hAnsi="Book Antiqua"/>
          <w:snapToGrid w:val="0"/>
          <w:szCs w:val="24"/>
          <w:lang w:val="es-PR"/>
        </w:rPr>
        <w:t>De esta manera</w:t>
      </w:r>
      <w:r w:rsidR="00DD4876">
        <w:rPr>
          <w:rFonts w:ascii="Book Antiqua" w:hAnsi="Book Antiqua"/>
          <w:i/>
          <w:iCs/>
          <w:snapToGrid w:val="0"/>
          <w:szCs w:val="24"/>
          <w:u w:val="single"/>
          <w:lang w:val="es-PR"/>
        </w:rPr>
        <w:t>,</w:t>
      </w:r>
      <w:r w:rsidRPr="008B5572">
        <w:rPr>
          <w:rFonts w:ascii="Book Antiqua" w:hAnsi="Book Antiqua"/>
          <w:snapToGrid w:val="0"/>
          <w:szCs w:val="24"/>
          <w:lang w:val="es-PR"/>
        </w:rPr>
        <w:t xml:space="preserve"> aseguramos que la industria de seguros sea una efectiva y eficiente, que promueva en los aseguradores y consumidores la confiabilidad, el respeto, la efectividad y eficiencia que requiere para mantenerse como una pieza vital de la estabilidad económica y el crecimiento de las inversiones en Puerto Rico. </w:t>
      </w:r>
    </w:p>
    <w:p w14:paraId="3DED4293" w14:textId="77777777" w:rsidR="007F61B2" w:rsidRPr="0001230E" w:rsidRDefault="0083082B" w:rsidP="0001230E">
      <w:pPr>
        <w:suppressLineNumbers/>
        <w:spacing w:line="480" w:lineRule="auto"/>
        <w:jc w:val="both"/>
        <w:rPr>
          <w:rFonts w:ascii="Book Antiqua" w:hAnsi="Book Antiqua"/>
          <w:b/>
          <w:bCs/>
          <w:iCs/>
          <w:lang w:val="es-PR"/>
        </w:rPr>
      </w:pPr>
      <w:r w:rsidRPr="0001230E">
        <w:rPr>
          <w:rFonts w:ascii="Book Antiqua" w:hAnsi="Book Antiqua"/>
          <w:b/>
          <w:bCs/>
          <w:iCs/>
          <w:lang w:val="es-PR"/>
        </w:rPr>
        <w:t>DECRÉTASE POR LA ASAMBLEA LEGISLATIVA DE PUERTO RICO:</w:t>
      </w:r>
    </w:p>
    <w:p w14:paraId="521FD193" w14:textId="2681EFD2" w:rsidR="007F61B2" w:rsidRPr="008B5572" w:rsidRDefault="0083082B" w:rsidP="0001230E">
      <w:pPr>
        <w:spacing w:line="480" w:lineRule="auto"/>
        <w:ind w:firstLine="720"/>
        <w:jc w:val="both"/>
        <w:rPr>
          <w:rFonts w:ascii="Book Antiqua" w:hAnsi="Book Antiqua"/>
          <w:snapToGrid w:val="0"/>
          <w:szCs w:val="24"/>
          <w:lang w:val="es-PR"/>
        </w:rPr>
      </w:pPr>
      <w:r w:rsidRPr="008B5572">
        <w:rPr>
          <w:rFonts w:ascii="Book Antiqua" w:hAnsi="Book Antiqua"/>
          <w:snapToGrid w:val="0"/>
          <w:szCs w:val="24"/>
          <w:lang w:val="es-PR"/>
        </w:rPr>
        <w:t>Sección 1. - Se añade un inciso (24)</w:t>
      </w:r>
      <w:r w:rsidR="00886AEA">
        <w:rPr>
          <w:rFonts w:ascii="Book Antiqua" w:hAnsi="Book Antiqua"/>
          <w:i/>
          <w:iCs/>
          <w:snapToGrid w:val="0"/>
          <w:szCs w:val="24"/>
          <w:u w:val="single"/>
          <w:lang w:val="es-PR"/>
        </w:rPr>
        <w:t>,</w:t>
      </w:r>
      <w:r w:rsidRPr="008B5572">
        <w:rPr>
          <w:rFonts w:ascii="Book Antiqua" w:hAnsi="Book Antiqua"/>
          <w:snapToGrid w:val="0"/>
          <w:szCs w:val="24"/>
          <w:lang w:val="es-PR"/>
        </w:rPr>
        <w:t xml:space="preserve"> y se renumeran los subsiguientes</w:t>
      </w:r>
      <w:r w:rsidR="00886AEA">
        <w:rPr>
          <w:rFonts w:ascii="Book Antiqua" w:hAnsi="Book Antiqua"/>
          <w:i/>
          <w:iCs/>
          <w:snapToGrid w:val="0"/>
          <w:szCs w:val="24"/>
          <w:u w:val="single"/>
          <w:lang w:val="es-PR"/>
        </w:rPr>
        <w:t>,</w:t>
      </w:r>
      <w:r w:rsidRPr="008B5572">
        <w:rPr>
          <w:rFonts w:ascii="Book Antiqua" w:hAnsi="Book Antiqua"/>
          <w:snapToGrid w:val="0"/>
          <w:szCs w:val="24"/>
          <w:lang w:val="es-PR"/>
        </w:rPr>
        <w:t xml:space="preserve"> </w:t>
      </w:r>
      <w:r w:rsidRPr="00886AEA">
        <w:rPr>
          <w:rFonts w:ascii="Book Antiqua" w:hAnsi="Book Antiqua"/>
          <w:strike/>
          <w:snapToGrid w:val="0"/>
          <w:szCs w:val="24"/>
          <w:lang w:val="es-PR"/>
        </w:rPr>
        <w:t>incisos</w:t>
      </w:r>
      <w:r w:rsidRPr="008B5572">
        <w:rPr>
          <w:rFonts w:ascii="Book Antiqua" w:hAnsi="Book Antiqua"/>
          <w:snapToGrid w:val="0"/>
          <w:szCs w:val="24"/>
          <w:lang w:val="es-PR"/>
        </w:rPr>
        <w:t xml:space="preserve"> del Artículo 61.020 de la Ley Núm. 77 de 19 de junio de 1957, según enmendada, </w:t>
      </w:r>
      <w:r w:rsidR="006E5CFC" w:rsidRPr="008B5572">
        <w:rPr>
          <w:rFonts w:ascii="Book Antiqua" w:hAnsi="Book Antiqua"/>
          <w:snapToGrid w:val="0"/>
          <w:szCs w:val="24"/>
          <w:lang w:val="es-PR"/>
        </w:rPr>
        <w:t>el cual se leerá como</w:t>
      </w:r>
      <w:r w:rsidR="006B3260" w:rsidRPr="008B5572">
        <w:rPr>
          <w:rFonts w:ascii="Book Antiqua" w:hAnsi="Book Antiqua"/>
          <w:snapToGrid w:val="0"/>
          <w:szCs w:val="24"/>
          <w:lang w:val="es-PR"/>
        </w:rPr>
        <w:t xml:space="preserve"> sigue</w:t>
      </w:r>
      <w:r w:rsidRPr="008B5572">
        <w:rPr>
          <w:rFonts w:ascii="Book Antiqua" w:hAnsi="Book Antiqua"/>
          <w:snapToGrid w:val="0"/>
          <w:szCs w:val="24"/>
          <w:lang w:val="es-PR"/>
        </w:rPr>
        <w:t xml:space="preserve">:         </w:t>
      </w:r>
    </w:p>
    <w:p w14:paraId="29B7DBE1" w14:textId="77777777" w:rsidR="007F61B2" w:rsidRPr="008B5572" w:rsidRDefault="0083082B" w:rsidP="0001230E">
      <w:pPr>
        <w:spacing w:line="480" w:lineRule="auto"/>
        <w:ind w:firstLine="720"/>
        <w:jc w:val="both"/>
        <w:rPr>
          <w:rFonts w:ascii="Book Antiqua" w:hAnsi="Book Antiqua"/>
          <w:i/>
          <w:iCs/>
          <w:snapToGrid w:val="0"/>
          <w:szCs w:val="24"/>
          <w:lang w:val="es-PR"/>
        </w:rPr>
      </w:pPr>
      <w:r w:rsidRPr="008B5572">
        <w:rPr>
          <w:rFonts w:ascii="Book Antiqua" w:hAnsi="Book Antiqua"/>
          <w:snapToGrid w:val="0"/>
          <w:szCs w:val="24"/>
          <w:lang w:val="es-PR"/>
        </w:rPr>
        <w:t>“Artículo 61.020. — Definiciones</w:t>
      </w:r>
      <w:r w:rsidR="003E2A06" w:rsidRPr="008B5572">
        <w:rPr>
          <w:rFonts w:ascii="Book Antiqua" w:hAnsi="Book Antiqua"/>
          <w:i/>
          <w:iCs/>
          <w:snapToGrid w:val="0"/>
          <w:szCs w:val="24"/>
          <w:lang w:val="es-PR"/>
        </w:rPr>
        <w:t>.</w:t>
      </w:r>
    </w:p>
    <w:p w14:paraId="0D7B1AA9" w14:textId="77777777" w:rsidR="007F61B2" w:rsidRPr="008B5572" w:rsidRDefault="0083082B" w:rsidP="0001230E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napToGrid w:val="0"/>
          <w:szCs w:val="24"/>
          <w:lang w:val="es-PR"/>
        </w:rPr>
      </w:pPr>
      <w:r w:rsidRPr="008B5572">
        <w:rPr>
          <w:rFonts w:ascii="Book Antiqua" w:hAnsi="Book Antiqua"/>
          <w:snapToGrid w:val="0"/>
          <w:szCs w:val="24"/>
          <w:lang w:val="es-PR"/>
        </w:rPr>
        <w:t>...</w:t>
      </w:r>
    </w:p>
    <w:p w14:paraId="46BA89A7" w14:textId="77777777" w:rsidR="001A4F66" w:rsidRPr="008B5572" w:rsidRDefault="001A4F66" w:rsidP="0001230E">
      <w:pPr>
        <w:spacing w:line="480" w:lineRule="auto"/>
        <w:ind w:left="720"/>
        <w:jc w:val="both"/>
        <w:rPr>
          <w:rFonts w:ascii="Book Antiqua" w:hAnsi="Book Antiqua"/>
          <w:snapToGrid w:val="0"/>
          <w:szCs w:val="24"/>
          <w:lang w:val="es-PR"/>
        </w:rPr>
      </w:pPr>
      <w:r w:rsidRPr="008B5572">
        <w:rPr>
          <w:rFonts w:ascii="Book Antiqua" w:hAnsi="Book Antiqua"/>
          <w:snapToGrid w:val="0"/>
          <w:szCs w:val="24"/>
          <w:lang w:val="es-PR"/>
        </w:rPr>
        <w:t xml:space="preserve">(23) “Seguro de </w:t>
      </w:r>
      <w:r w:rsidR="006F4EDF" w:rsidRPr="008B5572">
        <w:rPr>
          <w:rFonts w:ascii="Book Antiqua" w:hAnsi="Book Antiqua"/>
          <w:snapToGrid w:val="0"/>
          <w:szCs w:val="24"/>
          <w:lang w:val="es-PR"/>
        </w:rPr>
        <w:t>Vida” …</w:t>
      </w:r>
    </w:p>
    <w:p w14:paraId="7D3FB7B6" w14:textId="5B195D7D" w:rsidR="007F61B2" w:rsidRPr="008B5572" w:rsidRDefault="0083082B" w:rsidP="0001230E">
      <w:pPr>
        <w:spacing w:line="480" w:lineRule="auto"/>
        <w:ind w:firstLine="720"/>
        <w:jc w:val="both"/>
        <w:rPr>
          <w:rFonts w:ascii="Book Antiqua" w:hAnsi="Book Antiqua"/>
          <w:i/>
          <w:iCs/>
          <w:snapToGrid w:val="0"/>
          <w:szCs w:val="24"/>
          <w:lang w:val="es-PR"/>
        </w:rPr>
      </w:pPr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lastRenderedPageBreak/>
        <w:t xml:space="preserve">(24) “Subclase 3-M, 4-M </w:t>
      </w:r>
      <w:r w:rsidRPr="00886AEA">
        <w:rPr>
          <w:rFonts w:ascii="Book Antiqua" w:hAnsi="Book Antiqua"/>
          <w:i/>
          <w:iCs/>
          <w:strike/>
          <w:snapToGrid w:val="0"/>
          <w:szCs w:val="24"/>
          <w:lang w:val="es-PR"/>
        </w:rPr>
        <w:t>ó</w:t>
      </w:r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t xml:space="preserve"> </w:t>
      </w:r>
      <w:r w:rsidR="00886AEA">
        <w:rPr>
          <w:rFonts w:ascii="Book Antiqua" w:hAnsi="Book Antiqua"/>
          <w:i/>
          <w:iCs/>
          <w:snapToGrid w:val="0"/>
          <w:szCs w:val="24"/>
          <w:u w:val="single"/>
          <w:lang w:val="es-PR"/>
        </w:rPr>
        <w:t>o</w:t>
      </w:r>
      <w:r w:rsidR="00886AEA">
        <w:rPr>
          <w:rFonts w:ascii="Book Antiqua" w:hAnsi="Book Antiqua"/>
          <w:i/>
          <w:iCs/>
          <w:snapToGrid w:val="0"/>
          <w:szCs w:val="24"/>
          <w:lang w:val="es-PR"/>
        </w:rPr>
        <w:t xml:space="preserve"> </w:t>
      </w:r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t>5-M” – significa la designación conferida a un asegurador internacional o reasegurador con Autoridad de Clase 3, 4, 5, o combinación de estas clases, con arreglo a este Capítulo, y que además suscriba o asuma riesgos en reaseguro residentes, localizados o a ejecutarse en otro estado o territorio de</w:t>
      </w:r>
      <w:r w:rsidR="00EA2D19" w:rsidRPr="008B5572">
        <w:rPr>
          <w:rFonts w:ascii="Book Antiqua" w:hAnsi="Book Antiqua"/>
          <w:i/>
          <w:iCs/>
          <w:snapToGrid w:val="0"/>
          <w:szCs w:val="24"/>
          <w:lang w:val="es-PR"/>
        </w:rPr>
        <w:t xml:space="preserve"> </w:t>
      </w:r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t xml:space="preserve">Estados Unidos, sujeto y conforme a la autoridad conferida por el regulador de dicho estado o territorio de Estados Unidos.     </w:t>
      </w:r>
    </w:p>
    <w:p w14:paraId="1077BE7A" w14:textId="77777777" w:rsidR="008C17D4" w:rsidRPr="008B5572" w:rsidRDefault="0083082B" w:rsidP="0001230E">
      <w:pPr>
        <w:spacing w:line="480" w:lineRule="auto"/>
        <w:ind w:firstLine="720"/>
        <w:jc w:val="both"/>
        <w:rPr>
          <w:rFonts w:ascii="Book Antiqua" w:hAnsi="Book Antiqua"/>
          <w:iCs/>
          <w:snapToGrid w:val="0"/>
          <w:szCs w:val="24"/>
          <w:lang w:val="es-PR"/>
        </w:rPr>
      </w:pPr>
      <w:r w:rsidRPr="008B5572">
        <w:rPr>
          <w:rFonts w:ascii="Book Antiqua" w:hAnsi="Book Antiqua"/>
          <w:b/>
          <w:bCs/>
          <w:snapToGrid w:val="0"/>
          <w:szCs w:val="24"/>
          <w:lang w:val="es-PR"/>
        </w:rPr>
        <w:t>[(24)]</w:t>
      </w:r>
      <w:r w:rsidRPr="008B5572">
        <w:rPr>
          <w:rFonts w:ascii="Book Antiqua" w:hAnsi="Book Antiqua"/>
          <w:snapToGrid w:val="0"/>
          <w:szCs w:val="24"/>
          <w:lang w:val="es-PR"/>
        </w:rPr>
        <w:t xml:space="preserve"> </w:t>
      </w:r>
      <w:r w:rsidRPr="008B5572">
        <w:rPr>
          <w:rFonts w:ascii="Book Antiqua" w:hAnsi="Book Antiqua"/>
          <w:i/>
          <w:snapToGrid w:val="0"/>
          <w:szCs w:val="24"/>
          <w:lang w:val="es-PR"/>
        </w:rPr>
        <w:t xml:space="preserve">(25) </w:t>
      </w:r>
      <w:r w:rsidR="008C17D4" w:rsidRPr="008B5572">
        <w:rPr>
          <w:rFonts w:ascii="Book Antiqua" w:hAnsi="Book Antiqua"/>
          <w:iCs/>
          <w:snapToGrid w:val="0"/>
          <w:szCs w:val="24"/>
          <w:lang w:val="es-PR"/>
        </w:rPr>
        <w:t>“</w:t>
      </w:r>
      <w:r w:rsidR="006F4EDF" w:rsidRPr="008B5572">
        <w:rPr>
          <w:rFonts w:ascii="Book Antiqua" w:hAnsi="Book Antiqua"/>
          <w:iCs/>
          <w:snapToGrid w:val="0"/>
          <w:szCs w:val="24"/>
          <w:lang w:val="es-PR"/>
        </w:rPr>
        <w:t>Sucursal” …</w:t>
      </w:r>
    </w:p>
    <w:p w14:paraId="5CD2FD73" w14:textId="77777777" w:rsidR="007F61B2" w:rsidRPr="008B5572" w:rsidRDefault="00704D1B" w:rsidP="0001230E">
      <w:pPr>
        <w:spacing w:line="480" w:lineRule="auto"/>
        <w:ind w:firstLine="720"/>
        <w:jc w:val="both"/>
        <w:rPr>
          <w:rFonts w:ascii="Book Antiqua" w:hAnsi="Book Antiqua"/>
          <w:iCs/>
          <w:snapToGrid w:val="0"/>
          <w:szCs w:val="24"/>
          <w:lang w:val="es-PR"/>
        </w:rPr>
      </w:pPr>
      <w:r w:rsidRPr="008B5572">
        <w:rPr>
          <w:rFonts w:ascii="Book Antiqua" w:hAnsi="Book Antiqua"/>
          <w:b/>
          <w:bCs/>
          <w:iCs/>
          <w:snapToGrid w:val="0"/>
          <w:szCs w:val="24"/>
          <w:lang w:val="es-PR"/>
        </w:rPr>
        <w:t>[</w:t>
      </w:r>
      <w:r w:rsidR="008C17D4" w:rsidRPr="008B5572">
        <w:rPr>
          <w:rFonts w:ascii="Book Antiqua" w:hAnsi="Book Antiqua"/>
          <w:b/>
          <w:bCs/>
          <w:iCs/>
          <w:snapToGrid w:val="0"/>
          <w:szCs w:val="24"/>
          <w:lang w:val="es-PR"/>
        </w:rPr>
        <w:t>(25)</w:t>
      </w:r>
      <w:r w:rsidRPr="008B5572">
        <w:rPr>
          <w:rFonts w:ascii="Book Antiqua" w:hAnsi="Book Antiqua"/>
          <w:b/>
          <w:bCs/>
          <w:iCs/>
          <w:snapToGrid w:val="0"/>
          <w:szCs w:val="24"/>
          <w:lang w:val="es-PR"/>
        </w:rPr>
        <w:t>]</w:t>
      </w:r>
      <w:r w:rsidR="008C17D4" w:rsidRPr="008B5572">
        <w:rPr>
          <w:rFonts w:ascii="Book Antiqua" w:hAnsi="Book Antiqua"/>
          <w:iCs/>
          <w:snapToGrid w:val="0"/>
          <w:szCs w:val="24"/>
          <w:lang w:val="es-PR"/>
        </w:rPr>
        <w:t xml:space="preserve"> </w:t>
      </w:r>
      <w:r w:rsidR="008C17D4" w:rsidRPr="008B5572">
        <w:rPr>
          <w:rFonts w:ascii="Book Antiqua" w:hAnsi="Book Antiqua"/>
          <w:i/>
          <w:snapToGrid w:val="0"/>
          <w:szCs w:val="24"/>
          <w:lang w:val="es-PR"/>
        </w:rPr>
        <w:t>(26)</w:t>
      </w:r>
      <w:r w:rsidR="008C17D4" w:rsidRPr="008B5572">
        <w:rPr>
          <w:rFonts w:ascii="Book Antiqua" w:hAnsi="Book Antiqua"/>
          <w:iCs/>
          <w:snapToGrid w:val="0"/>
          <w:szCs w:val="24"/>
          <w:lang w:val="es-PR"/>
        </w:rPr>
        <w:t xml:space="preserve"> “</w:t>
      </w:r>
      <w:r w:rsidR="006F4EDF" w:rsidRPr="008B5572">
        <w:rPr>
          <w:rFonts w:ascii="Book Antiqua" w:hAnsi="Book Antiqua"/>
          <w:iCs/>
          <w:snapToGrid w:val="0"/>
          <w:szCs w:val="24"/>
          <w:lang w:val="es-PR"/>
        </w:rPr>
        <w:t>Código” …</w:t>
      </w:r>
    </w:p>
    <w:p w14:paraId="25520849" w14:textId="77777777" w:rsidR="008C17D4" w:rsidRPr="008B5572" w:rsidRDefault="00704D1B" w:rsidP="0001230E">
      <w:pPr>
        <w:spacing w:line="480" w:lineRule="auto"/>
        <w:ind w:firstLine="720"/>
        <w:jc w:val="both"/>
        <w:rPr>
          <w:rFonts w:ascii="Book Antiqua" w:hAnsi="Book Antiqua"/>
          <w:iCs/>
          <w:snapToGrid w:val="0"/>
          <w:szCs w:val="24"/>
          <w:lang w:val="es-PR"/>
        </w:rPr>
      </w:pPr>
      <w:r w:rsidRPr="008B5572">
        <w:rPr>
          <w:rFonts w:ascii="Book Antiqua" w:hAnsi="Book Antiqua"/>
          <w:b/>
          <w:bCs/>
          <w:iCs/>
          <w:snapToGrid w:val="0"/>
          <w:szCs w:val="24"/>
          <w:lang w:val="es-PR"/>
        </w:rPr>
        <w:t>[(26)]</w:t>
      </w:r>
      <w:r w:rsidRPr="008B5572">
        <w:rPr>
          <w:rFonts w:ascii="Book Antiqua" w:hAnsi="Book Antiqua"/>
          <w:iCs/>
          <w:snapToGrid w:val="0"/>
          <w:szCs w:val="24"/>
          <w:lang w:val="es-PR"/>
        </w:rPr>
        <w:t xml:space="preserve"> </w:t>
      </w:r>
      <w:r w:rsidRPr="008B5572">
        <w:rPr>
          <w:rFonts w:ascii="Book Antiqua" w:hAnsi="Book Antiqua"/>
          <w:i/>
          <w:snapToGrid w:val="0"/>
          <w:szCs w:val="24"/>
          <w:lang w:val="es-PR"/>
        </w:rPr>
        <w:t>(27)</w:t>
      </w:r>
      <w:r w:rsidRPr="008B5572">
        <w:rPr>
          <w:rFonts w:ascii="Book Antiqua" w:hAnsi="Book Antiqua"/>
          <w:iCs/>
          <w:snapToGrid w:val="0"/>
          <w:szCs w:val="24"/>
          <w:lang w:val="es-PR"/>
        </w:rPr>
        <w:t xml:space="preserve"> “Valorización de </w:t>
      </w:r>
      <w:r w:rsidR="006F4EDF" w:rsidRPr="008B5572">
        <w:rPr>
          <w:rFonts w:ascii="Book Antiqua" w:hAnsi="Book Antiqua"/>
          <w:iCs/>
          <w:snapToGrid w:val="0"/>
          <w:szCs w:val="24"/>
          <w:lang w:val="es-PR"/>
        </w:rPr>
        <w:t>riesgos” …</w:t>
      </w:r>
      <w:r w:rsidRPr="008B5572">
        <w:rPr>
          <w:rFonts w:ascii="Book Antiqua" w:hAnsi="Book Antiqua"/>
          <w:iCs/>
          <w:snapToGrid w:val="0"/>
          <w:szCs w:val="24"/>
          <w:lang w:val="es-PR"/>
        </w:rPr>
        <w:t>”</w:t>
      </w:r>
    </w:p>
    <w:p w14:paraId="57149463" w14:textId="751EC0FC" w:rsidR="007F61B2" w:rsidRPr="008B5572" w:rsidRDefault="0083082B" w:rsidP="0001230E">
      <w:pPr>
        <w:spacing w:line="480" w:lineRule="auto"/>
        <w:ind w:firstLine="720"/>
        <w:jc w:val="both"/>
        <w:rPr>
          <w:rFonts w:ascii="Book Antiqua" w:hAnsi="Book Antiqua"/>
          <w:snapToGrid w:val="0"/>
          <w:szCs w:val="24"/>
          <w:lang w:val="es-PR"/>
        </w:rPr>
      </w:pPr>
      <w:r w:rsidRPr="008B5572">
        <w:rPr>
          <w:rFonts w:ascii="Book Antiqua" w:hAnsi="Book Antiqua"/>
          <w:snapToGrid w:val="0"/>
          <w:szCs w:val="24"/>
          <w:lang w:val="es-PR"/>
        </w:rPr>
        <w:t xml:space="preserve">Sección 2. - Se añade un Artículo 61.051 de la Ley </w:t>
      </w:r>
      <w:r w:rsidRPr="00886AEA">
        <w:rPr>
          <w:rFonts w:ascii="Book Antiqua" w:hAnsi="Book Antiqua"/>
          <w:strike/>
          <w:snapToGrid w:val="0"/>
          <w:szCs w:val="24"/>
          <w:lang w:val="es-PR"/>
        </w:rPr>
        <w:t>77-1957</w:t>
      </w:r>
      <w:r w:rsidR="00886AEA">
        <w:rPr>
          <w:rFonts w:ascii="Book Antiqua" w:hAnsi="Book Antiqua"/>
          <w:snapToGrid w:val="0"/>
          <w:szCs w:val="24"/>
          <w:lang w:val="es-PR"/>
        </w:rPr>
        <w:t xml:space="preserve"> </w:t>
      </w:r>
      <w:r w:rsidR="00886AEA" w:rsidRPr="00886AEA">
        <w:rPr>
          <w:rFonts w:ascii="Book Antiqua" w:hAnsi="Book Antiqua"/>
          <w:i/>
          <w:iCs/>
          <w:snapToGrid w:val="0"/>
          <w:szCs w:val="24"/>
          <w:u w:val="single"/>
          <w:lang w:val="es-PR"/>
        </w:rPr>
        <w:t>Núm. 77 de 19 de junio de 1957</w:t>
      </w:r>
      <w:r w:rsidRPr="008B5572">
        <w:rPr>
          <w:rFonts w:ascii="Book Antiqua" w:hAnsi="Book Antiqua"/>
          <w:snapToGrid w:val="0"/>
          <w:szCs w:val="24"/>
          <w:lang w:val="es-PR"/>
        </w:rPr>
        <w:t xml:space="preserve">, según enmendada, para que </w:t>
      </w:r>
      <w:r w:rsidR="00EA2D19" w:rsidRPr="008B5572">
        <w:rPr>
          <w:rFonts w:ascii="Book Antiqua" w:hAnsi="Book Antiqua"/>
          <w:snapToGrid w:val="0"/>
          <w:szCs w:val="24"/>
          <w:lang w:val="es-PR"/>
        </w:rPr>
        <w:t xml:space="preserve">se </w:t>
      </w:r>
      <w:r w:rsidRPr="008B5572">
        <w:rPr>
          <w:rFonts w:ascii="Book Antiqua" w:hAnsi="Book Antiqua"/>
          <w:snapToGrid w:val="0"/>
          <w:szCs w:val="24"/>
          <w:lang w:val="es-PR"/>
        </w:rPr>
        <w:t xml:space="preserve">lea como sigue:     </w:t>
      </w:r>
    </w:p>
    <w:p w14:paraId="4B8D78D3" w14:textId="525020AF" w:rsidR="007F61B2" w:rsidRPr="008B5572" w:rsidRDefault="0083082B" w:rsidP="0001230E">
      <w:pPr>
        <w:spacing w:line="480" w:lineRule="auto"/>
        <w:ind w:firstLine="720"/>
        <w:jc w:val="both"/>
        <w:rPr>
          <w:rFonts w:ascii="Book Antiqua" w:hAnsi="Book Antiqua"/>
          <w:i/>
          <w:iCs/>
          <w:snapToGrid w:val="0"/>
          <w:szCs w:val="24"/>
          <w:lang w:val="es-PR"/>
        </w:rPr>
      </w:pPr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t xml:space="preserve">“Artículo 61.051. – Requisitos de Autorización de Aseguradores Internacionales para la Subclase 3-M, 4-M </w:t>
      </w:r>
      <w:r w:rsidRPr="00886AEA">
        <w:rPr>
          <w:rFonts w:ascii="Book Antiqua" w:hAnsi="Book Antiqua"/>
          <w:i/>
          <w:iCs/>
          <w:strike/>
          <w:snapToGrid w:val="0"/>
          <w:szCs w:val="24"/>
          <w:lang w:val="es-PR"/>
        </w:rPr>
        <w:t>ó</w:t>
      </w:r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t xml:space="preserve"> </w:t>
      </w:r>
      <w:r w:rsidR="00886AEA">
        <w:rPr>
          <w:rFonts w:ascii="Book Antiqua" w:hAnsi="Book Antiqua"/>
          <w:i/>
          <w:iCs/>
          <w:snapToGrid w:val="0"/>
          <w:szCs w:val="24"/>
          <w:u w:val="single"/>
          <w:lang w:val="es-PR"/>
        </w:rPr>
        <w:t>o</w:t>
      </w:r>
      <w:r w:rsidR="00886AEA">
        <w:rPr>
          <w:rFonts w:ascii="Book Antiqua" w:hAnsi="Book Antiqua"/>
          <w:i/>
          <w:iCs/>
          <w:snapToGrid w:val="0"/>
          <w:szCs w:val="24"/>
          <w:lang w:val="es-PR"/>
        </w:rPr>
        <w:t xml:space="preserve"> </w:t>
      </w:r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t>5-M.</w:t>
      </w:r>
    </w:p>
    <w:p w14:paraId="0D610ED9" w14:textId="77777777" w:rsidR="007F61B2" w:rsidRPr="008B5572" w:rsidRDefault="0083082B" w:rsidP="0001230E">
      <w:pPr>
        <w:numPr>
          <w:ilvl w:val="0"/>
          <w:numId w:val="1"/>
        </w:numPr>
        <w:spacing w:line="480" w:lineRule="auto"/>
        <w:ind w:leftChars="-1" w:left="-2" w:firstLineChars="112" w:firstLine="269"/>
        <w:jc w:val="both"/>
        <w:rPr>
          <w:rFonts w:ascii="Book Antiqua" w:hAnsi="Book Antiqua"/>
          <w:i/>
          <w:iCs/>
          <w:snapToGrid w:val="0"/>
          <w:szCs w:val="24"/>
          <w:lang w:val="es-PR"/>
        </w:rPr>
      </w:pPr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t xml:space="preserve"> Los aseguradores o reaseguradores internacionales con Autoridad de Clase 3, 4, 5, o combinación de estas clases, con arreglo al Artículo 61.050 de este Capítulo que además suscriban o asuman riesgos en reaseguro residentes, localizados o a ejecutarse en otro estado o territorio de Estados Unidos, sujeto y conforme a la autoridad conferida por el regulador de dicho estado o territorio de Estados Unidos, gozarán de una designación de Subclase 3-M, 4-M o 5-M, según corresponda, y deberán cumplir con las disposiciones de este Artículo.</w:t>
      </w:r>
    </w:p>
    <w:p w14:paraId="5F83464A" w14:textId="24405266" w:rsidR="007F61B2" w:rsidRPr="008B5572" w:rsidRDefault="0083082B" w:rsidP="0001230E">
      <w:pPr>
        <w:numPr>
          <w:ilvl w:val="0"/>
          <w:numId w:val="1"/>
        </w:numPr>
        <w:spacing w:line="480" w:lineRule="auto"/>
        <w:ind w:leftChars="-1" w:left="-2" w:firstLineChars="112" w:firstLine="269"/>
        <w:jc w:val="both"/>
        <w:rPr>
          <w:rFonts w:ascii="Book Antiqua" w:hAnsi="Book Antiqua"/>
          <w:i/>
          <w:iCs/>
          <w:snapToGrid w:val="0"/>
          <w:szCs w:val="24"/>
          <w:lang w:val="es-PR"/>
        </w:rPr>
      </w:pPr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t xml:space="preserve">Los aseguradores o reaseguradores internacionales que gocen de la designación de Subclase 3-M, 4-M </w:t>
      </w:r>
      <w:r w:rsidR="00886AEA" w:rsidRPr="00886AEA">
        <w:rPr>
          <w:rFonts w:ascii="Book Antiqua" w:hAnsi="Book Antiqua"/>
          <w:i/>
          <w:iCs/>
          <w:strike/>
          <w:snapToGrid w:val="0"/>
          <w:szCs w:val="24"/>
          <w:lang w:val="es-PR"/>
        </w:rPr>
        <w:t>ó</w:t>
      </w:r>
      <w:r w:rsidR="00886AEA" w:rsidRPr="008B5572">
        <w:rPr>
          <w:rFonts w:ascii="Book Antiqua" w:hAnsi="Book Antiqua"/>
          <w:i/>
          <w:iCs/>
          <w:snapToGrid w:val="0"/>
          <w:szCs w:val="24"/>
          <w:lang w:val="es-PR"/>
        </w:rPr>
        <w:t xml:space="preserve"> </w:t>
      </w:r>
      <w:r w:rsidR="00886AEA">
        <w:rPr>
          <w:rFonts w:ascii="Book Antiqua" w:hAnsi="Book Antiqua"/>
          <w:i/>
          <w:iCs/>
          <w:snapToGrid w:val="0"/>
          <w:szCs w:val="24"/>
          <w:u w:val="single"/>
          <w:lang w:val="es-PR"/>
        </w:rPr>
        <w:t>o</w:t>
      </w:r>
      <w:r w:rsidR="00886AEA" w:rsidRPr="008B5572">
        <w:rPr>
          <w:rFonts w:ascii="Book Antiqua" w:hAnsi="Book Antiqua"/>
          <w:i/>
          <w:iCs/>
          <w:snapToGrid w:val="0"/>
          <w:szCs w:val="24"/>
          <w:lang w:val="es-PR"/>
        </w:rPr>
        <w:t xml:space="preserve"> </w:t>
      </w:r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t xml:space="preserve">5-M, para suscribir riesgos directos y/o reasegurar riesgos residentes, localizados o a ejecutarse en otro estado o territorio de Estados Unidos, por excepción a lo dispuesto en el Artículo 61.030, estarán sujeto al cumplimiento de las disposiciones de regulación de solvencia </w:t>
      </w:r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lastRenderedPageBreak/>
        <w:t xml:space="preserve">financiera establecidas en este Código y la reglamentación adoptada a su amparo consistentes con las normas uniformes de la NAIC para aseguradores </w:t>
      </w:r>
      <w:proofErr w:type="spellStart"/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t>multiestatales</w:t>
      </w:r>
      <w:proofErr w:type="spellEnd"/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t xml:space="preserve">.   </w:t>
      </w:r>
    </w:p>
    <w:p w14:paraId="4A2C6C35" w14:textId="77777777" w:rsidR="007F61B2" w:rsidRPr="008B5572" w:rsidRDefault="0083082B" w:rsidP="0001230E">
      <w:pPr>
        <w:numPr>
          <w:ilvl w:val="0"/>
          <w:numId w:val="1"/>
        </w:numPr>
        <w:spacing w:line="480" w:lineRule="auto"/>
        <w:ind w:leftChars="-1" w:left="-2" w:firstLineChars="112" w:firstLine="269"/>
        <w:jc w:val="both"/>
        <w:rPr>
          <w:rFonts w:ascii="Book Antiqua" w:hAnsi="Book Antiqua"/>
          <w:i/>
          <w:iCs/>
          <w:snapToGrid w:val="0"/>
          <w:szCs w:val="24"/>
          <w:lang w:val="es-PR"/>
        </w:rPr>
      </w:pPr>
      <w:bookmarkStart w:id="0" w:name="_heading=h.gjdgxs" w:colFirst="0" w:colLast="0"/>
      <w:bookmarkEnd w:id="0"/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t xml:space="preserve">El término “aseguradores </w:t>
      </w:r>
      <w:proofErr w:type="spellStart"/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t>multiestatales</w:t>
      </w:r>
      <w:proofErr w:type="spellEnd"/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t xml:space="preserve">”, tal como se utiliza en este Artículo, incluirá cualquier otro estado o territorio de Estados Unidos acreditado por la NAIC, distinto a Puerto Rico, en donde el asegurador o reasegurador internacional suscriba o asuma riesgos en reaseguro, sujeto y conforme a la autoridad emitida por el regulador de dicho estado o territorio de Estados Unidos.          </w:t>
      </w:r>
    </w:p>
    <w:p w14:paraId="2540199A" w14:textId="77777777" w:rsidR="007F61B2" w:rsidRPr="008B5572" w:rsidRDefault="0083082B" w:rsidP="0001230E">
      <w:pPr>
        <w:numPr>
          <w:ilvl w:val="0"/>
          <w:numId w:val="1"/>
        </w:numPr>
        <w:spacing w:line="480" w:lineRule="auto"/>
        <w:ind w:leftChars="-1" w:left="-2" w:firstLineChars="112" w:firstLine="269"/>
        <w:jc w:val="both"/>
        <w:rPr>
          <w:rFonts w:ascii="Book Antiqua" w:hAnsi="Book Antiqua"/>
          <w:i/>
          <w:iCs/>
          <w:snapToGrid w:val="0"/>
          <w:szCs w:val="24"/>
          <w:lang w:val="es-PR"/>
        </w:rPr>
      </w:pPr>
      <w:bookmarkStart w:id="1" w:name="_heading=h.30j0zll" w:colFirst="0" w:colLast="0"/>
      <w:bookmarkEnd w:id="1"/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t xml:space="preserve">Los aseguradores o reaseguradores internacionales que ostenten la designación de Subclase 3-M, 4-M ó 5-M gozarán del mismo tratamiento contributivo reconocido con arreglo a la Clase de Autoridad 3, 4 o 5 en este Capítulo.    </w:t>
      </w:r>
    </w:p>
    <w:p w14:paraId="2722F573" w14:textId="77777777" w:rsidR="007F61B2" w:rsidRPr="008B5572" w:rsidRDefault="0083082B" w:rsidP="0001230E">
      <w:pPr>
        <w:numPr>
          <w:ilvl w:val="0"/>
          <w:numId w:val="1"/>
        </w:numPr>
        <w:spacing w:line="480" w:lineRule="auto"/>
        <w:ind w:leftChars="-1" w:left="-2" w:firstLineChars="112" w:firstLine="269"/>
        <w:jc w:val="both"/>
        <w:rPr>
          <w:rFonts w:ascii="Book Antiqua" w:hAnsi="Book Antiqua"/>
          <w:i/>
          <w:iCs/>
          <w:snapToGrid w:val="0"/>
          <w:szCs w:val="24"/>
          <w:lang w:val="es-PR"/>
        </w:rPr>
      </w:pPr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t xml:space="preserve">El Certificado de Autoridad del asegurador o reasegurador internacional que, conforme este Artículo, ostente la Subclase 3-M, 4-M ó 5-M expresamente indicará su designación, según corresponda, como una distinción de su capacidad para suscribir o asumir riesgos en reaseguro en otro estado o territorio de Estados Unidos.    </w:t>
      </w:r>
    </w:p>
    <w:p w14:paraId="032F01B7" w14:textId="77777777" w:rsidR="007F61B2" w:rsidRPr="008B5572" w:rsidRDefault="0083082B" w:rsidP="0001230E">
      <w:pPr>
        <w:numPr>
          <w:ilvl w:val="0"/>
          <w:numId w:val="1"/>
        </w:numPr>
        <w:spacing w:line="480" w:lineRule="auto"/>
        <w:ind w:leftChars="-1" w:left="-2" w:firstLineChars="112" w:firstLine="269"/>
        <w:jc w:val="both"/>
        <w:rPr>
          <w:rFonts w:ascii="Book Antiqua" w:hAnsi="Book Antiqua"/>
          <w:i/>
          <w:iCs/>
          <w:snapToGrid w:val="0"/>
          <w:szCs w:val="24"/>
          <w:lang w:val="es-PR"/>
        </w:rPr>
      </w:pPr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t xml:space="preserve">Nada de lo dispuesto en este Artículo será aplicable a un asegurador o reasegurador internacional autorizado conforme a este Capítulo que, </w:t>
      </w:r>
      <w:r w:rsidR="004142B3" w:rsidRPr="008B5572">
        <w:rPr>
          <w:rFonts w:ascii="Book Antiqua" w:hAnsi="Book Antiqua"/>
          <w:i/>
          <w:iCs/>
          <w:snapToGrid w:val="0"/>
          <w:szCs w:val="24"/>
          <w:lang w:val="es-PR"/>
        </w:rPr>
        <w:t>de acuerdo con</w:t>
      </w:r>
      <w:r w:rsidRPr="008B5572">
        <w:rPr>
          <w:rFonts w:ascii="Book Antiqua" w:hAnsi="Book Antiqua"/>
          <w:i/>
          <w:iCs/>
          <w:snapToGrid w:val="0"/>
          <w:szCs w:val="24"/>
          <w:lang w:val="es-PR"/>
        </w:rPr>
        <w:t xml:space="preserve"> su plan de negocios, suscriba o asuma riesgos en reaseguros localizados o a ejecutarse en países fuera de la jurisdicción de Estados Unidos, o que opere como asegurador cautivo o bajo plan(es) de activos segregados.”      </w:t>
      </w:r>
    </w:p>
    <w:p w14:paraId="3D618127" w14:textId="77777777" w:rsidR="007F61B2" w:rsidRPr="008B5572" w:rsidRDefault="0083082B" w:rsidP="0001230E">
      <w:pPr>
        <w:spacing w:line="480" w:lineRule="auto"/>
        <w:ind w:firstLine="720"/>
        <w:jc w:val="both"/>
        <w:rPr>
          <w:rFonts w:ascii="Book Antiqua" w:hAnsi="Book Antiqua"/>
          <w:snapToGrid w:val="0"/>
          <w:szCs w:val="24"/>
          <w:lang w:val="es-PR"/>
        </w:rPr>
      </w:pPr>
      <w:r w:rsidRPr="008B5572">
        <w:rPr>
          <w:rFonts w:ascii="Book Antiqua" w:hAnsi="Book Antiqua"/>
          <w:snapToGrid w:val="0"/>
          <w:szCs w:val="24"/>
          <w:lang w:val="es-PR"/>
        </w:rPr>
        <w:t>Sección 3. – Reglamentación</w:t>
      </w:r>
      <w:r w:rsidR="004142B3" w:rsidRPr="008B5572">
        <w:rPr>
          <w:rFonts w:ascii="Book Antiqua" w:hAnsi="Book Antiqua"/>
          <w:snapToGrid w:val="0"/>
          <w:szCs w:val="24"/>
          <w:lang w:val="es-PR"/>
        </w:rPr>
        <w:t>.</w:t>
      </w:r>
    </w:p>
    <w:p w14:paraId="60A48D6F" w14:textId="77777777" w:rsidR="007F61B2" w:rsidRPr="008B5572" w:rsidRDefault="0083082B" w:rsidP="0001230E">
      <w:pPr>
        <w:spacing w:line="480" w:lineRule="auto"/>
        <w:ind w:firstLine="720"/>
        <w:jc w:val="both"/>
        <w:rPr>
          <w:rFonts w:ascii="Book Antiqua" w:hAnsi="Book Antiqua"/>
          <w:snapToGrid w:val="0"/>
          <w:szCs w:val="24"/>
          <w:lang w:val="es-PR"/>
        </w:rPr>
      </w:pPr>
      <w:r w:rsidRPr="008B5572">
        <w:rPr>
          <w:rFonts w:ascii="Book Antiqua" w:hAnsi="Book Antiqua"/>
          <w:snapToGrid w:val="0"/>
          <w:szCs w:val="24"/>
          <w:lang w:val="es-PR"/>
        </w:rPr>
        <w:t>El Comisionado</w:t>
      </w:r>
      <w:r w:rsidR="006B3260" w:rsidRPr="008B5572">
        <w:rPr>
          <w:rFonts w:ascii="Book Antiqua" w:hAnsi="Book Antiqua"/>
          <w:snapToGrid w:val="0"/>
          <w:szCs w:val="24"/>
          <w:lang w:val="es-PR"/>
        </w:rPr>
        <w:t xml:space="preserve"> de Seguros de Puerto Rico</w:t>
      </w:r>
      <w:r w:rsidRPr="008B5572">
        <w:rPr>
          <w:rFonts w:ascii="Book Antiqua" w:hAnsi="Book Antiqua"/>
          <w:snapToGrid w:val="0"/>
          <w:szCs w:val="24"/>
          <w:lang w:val="es-PR"/>
        </w:rPr>
        <w:t xml:space="preserve"> podrá promulgar mediante reglamentación las disposiciones aplicables a las Subclases 3-M, 4-M y 5-M, de acuerdo </w:t>
      </w:r>
      <w:r w:rsidRPr="008B5572">
        <w:rPr>
          <w:rFonts w:ascii="Book Antiqua" w:hAnsi="Book Antiqua"/>
          <w:snapToGrid w:val="0"/>
          <w:szCs w:val="24"/>
          <w:lang w:val="es-PR"/>
        </w:rPr>
        <w:lastRenderedPageBreak/>
        <w:t xml:space="preserve">con lo establecido en la Ley de Procedimiento Administrativo Uniforme o cualquier </w:t>
      </w:r>
      <w:r w:rsidR="000A1D21" w:rsidRPr="008B5572">
        <w:rPr>
          <w:rFonts w:ascii="Book Antiqua" w:hAnsi="Book Antiqua"/>
          <w:snapToGrid w:val="0"/>
          <w:szCs w:val="24"/>
          <w:lang w:val="es-PR"/>
        </w:rPr>
        <w:t>l</w:t>
      </w:r>
      <w:r w:rsidRPr="008B5572">
        <w:rPr>
          <w:rFonts w:ascii="Book Antiqua" w:hAnsi="Book Antiqua"/>
          <w:snapToGrid w:val="0"/>
          <w:szCs w:val="24"/>
          <w:lang w:val="es-PR"/>
        </w:rPr>
        <w:t>ey posterior que sustituya la misma.</w:t>
      </w:r>
    </w:p>
    <w:p w14:paraId="23D2CB1F" w14:textId="77777777" w:rsidR="007F61B2" w:rsidRPr="008B5572" w:rsidRDefault="0083082B" w:rsidP="0001230E">
      <w:pPr>
        <w:spacing w:line="480" w:lineRule="auto"/>
        <w:ind w:firstLine="720"/>
        <w:jc w:val="both"/>
        <w:rPr>
          <w:rFonts w:ascii="Book Antiqua" w:hAnsi="Book Antiqua"/>
          <w:snapToGrid w:val="0"/>
          <w:szCs w:val="24"/>
          <w:lang w:val="es-PR"/>
        </w:rPr>
      </w:pPr>
      <w:r w:rsidRPr="008B5572">
        <w:rPr>
          <w:rFonts w:ascii="Book Antiqua" w:hAnsi="Book Antiqua"/>
          <w:snapToGrid w:val="0"/>
          <w:szCs w:val="24"/>
          <w:lang w:val="es-PR"/>
        </w:rPr>
        <w:t xml:space="preserve">Sección 4. </w:t>
      </w:r>
      <w:r w:rsidR="004142B3" w:rsidRPr="008B5572">
        <w:rPr>
          <w:rFonts w:ascii="Book Antiqua" w:hAnsi="Book Antiqua"/>
          <w:snapToGrid w:val="0"/>
          <w:szCs w:val="24"/>
          <w:lang w:val="es-PR"/>
        </w:rPr>
        <w:t>–</w:t>
      </w:r>
      <w:r w:rsidRPr="008B5572">
        <w:rPr>
          <w:rFonts w:ascii="Book Antiqua" w:hAnsi="Book Antiqua"/>
          <w:snapToGrid w:val="0"/>
          <w:szCs w:val="24"/>
          <w:lang w:val="es-PR"/>
        </w:rPr>
        <w:t xml:space="preserve"> Separabilidad</w:t>
      </w:r>
      <w:r w:rsidR="004142B3" w:rsidRPr="008B5572">
        <w:rPr>
          <w:rFonts w:ascii="Book Antiqua" w:hAnsi="Book Antiqua"/>
          <w:snapToGrid w:val="0"/>
          <w:szCs w:val="24"/>
          <w:lang w:val="es-PR"/>
        </w:rPr>
        <w:t>.</w:t>
      </w:r>
    </w:p>
    <w:p w14:paraId="68C71809" w14:textId="77777777" w:rsidR="007F61B2" w:rsidRPr="008B5572" w:rsidRDefault="0083082B" w:rsidP="0001230E">
      <w:pPr>
        <w:spacing w:line="480" w:lineRule="auto"/>
        <w:ind w:firstLine="720"/>
        <w:jc w:val="both"/>
        <w:rPr>
          <w:rFonts w:ascii="Book Antiqua" w:hAnsi="Book Antiqua"/>
          <w:snapToGrid w:val="0"/>
          <w:szCs w:val="24"/>
          <w:lang w:val="es-PR"/>
        </w:rPr>
      </w:pPr>
      <w:r w:rsidRPr="008B5572">
        <w:rPr>
          <w:rFonts w:ascii="Book Antiqua" w:hAnsi="Book Antiqua"/>
          <w:snapToGrid w:val="0"/>
          <w:szCs w:val="24"/>
          <w:lang w:val="es-PR"/>
        </w:rPr>
        <w:t xml:space="preserve">Si cualquier cláusula, párrafo, subpárrafo, oración, palabra, letra, artículo, disposición, sección, subsección, título, capítulo, subcapítulo, acápite o parte de esta Ley fuera anulada o declarada inconstitucional, la resolución, dictamen o sentencia a tal efecto dictada no afectará, perjudicará, ni invalidará el remanente de esta Ley.  El efecto de dicha resolución, dictamen o sentencia quedará limitado a la cláusula, párrafo, subpárrafo, oración, palabra, letra, artículo, disposición, sección, subsección, título, capítulo, subcapítulo, acápite o parte de </w:t>
      </w:r>
      <w:r w:rsidR="0009772C" w:rsidRPr="008B5572">
        <w:rPr>
          <w:rFonts w:ascii="Book Antiqua" w:hAnsi="Book Antiqua"/>
          <w:snapToGrid w:val="0"/>
          <w:szCs w:val="24"/>
          <w:lang w:val="es-PR"/>
        </w:rPr>
        <w:t>esta</w:t>
      </w:r>
      <w:r w:rsidRPr="008B5572">
        <w:rPr>
          <w:rFonts w:ascii="Book Antiqua" w:hAnsi="Book Antiqua"/>
          <w:snapToGrid w:val="0"/>
          <w:szCs w:val="24"/>
          <w:lang w:val="es-PR"/>
        </w:rPr>
        <w:t xml:space="preserve"> que así hubiere sido anulada o declarada inconstitucional.  Si la aplicación a una persona o a una circunstancia de cualquier cláusula, párrafo, subpárrafo, oración, palabra, letra, artículo, disposición, sección, subsección, título, capítulo, subcapítulo, acápite o parte de esta Ley fuera invalidada o declarada inconstitucional, la resolución, dictamen o sentencia a tal efecto dictada no afectará ni invalidará la aplicación del remanente de esta Ley a aquellas personas o circunstancia en que se pueda aplicar válidamente.  Es la voluntad expresa e inequívoca de esta Asamblea Legislativa que los tribunales hagan cumplir las disposiciones y la aplicación de esta Ley en la mayor medida posible, aunque se deje sin efecto, anule, invalide, perjudique o declare inconstitucional alguna de sus partes, </w:t>
      </w:r>
      <w:proofErr w:type="gramStart"/>
      <w:r w:rsidRPr="008B5572">
        <w:rPr>
          <w:rFonts w:ascii="Book Antiqua" w:hAnsi="Book Antiqua"/>
          <w:snapToGrid w:val="0"/>
          <w:szCs w:val="24"/>
          <w:lang w:val="es-PR"/>
        </w:rPr>
        <w:t>o</w:t>
      </w:r>
      <w:proofErr w:type="gramEnd"/>
      <w:r w:rsidRPr="008B5572">
        <w:rPr>
          <w:rFonts w:ascii="Book Antiqua" w:hAnsi="Book Antiqua"/>
          <w:snapToGrid w:val="0"/>
          <w:szCs w:val="24"/>
          <w:lang w:val="es-PR"/>
        </w:rPr>
        <w:t xml:space="preserve"> aunque se deje sin efecto, invalide, perjudique o declare inconstitucional su aplicación a alguna persona o circunstancia.  Esta Asamblea Legislativa hubiera aprobado esta ley sin importar la determinación de separabilidad que el Tribunal pueda hacer.</w:t>
      </w:r>
    </w:p>
    <w:p w14:paraId="38F1FED1" w14:textId="77777777" w:rsidR="007F61B2" w:rsidRPr="008B5572" w:rsidRDefault="0083082B" w:rsidP="0001230E">
      <w:pPr>
        <w:spacing w:line="480" w:lineRule="auto"/>
        <w:ind w:firstLine="720"/>
        <w:jc w:val="both"/>
        <w:rPr>
          <w:rFonts w:ascii="Book Antiqua" w:hAnsi="Book Antiqua"/>
          <w:snapToGrid w:val="0"/>
          <w:szCs w:val="24"/>
          <w:lang w:val="es-PR"/>
        </w:rPr>
      </w:pPr>
      <w:r w:rsidRPr="008B5572">
        <w:rPr>
          <w:rFonts w:ascii="Book Antiqua" w:hAnsi="Book Antiqua"/>
          <w:snapToGrid w:val="0"/>
          <w:szCs w:val="24"/>
          <w:lang w:val="es-PR"/>
        </w:rPr>
        <w:lastRenderedPageBreak/>
        <w:t>Sección 5. – Vigencia</w:t>
      </w:r>
      <w:r w:rsidR="004142B3" w:rsidRPr="008B5572">
        <w:rPr>
          <w:rFonts w:ascii="Book Antiqua" w:hAnsi="Book Antiqua"/>
          <w:snapToGrid w:val="0"/>
          <w:szCs w:val="24"/>
          <w:lang w:val="es-PR"/>
        </w:rPr>
        <w:t>.</w:t>
      </w:r>
    </w:p>
    <w:p w14:paraId="36C960D5" w14:textId="77777777" w:rsidR="007F61B2" w:rsidRPr="008B5572" w:rsidRDefault="0083082B" w:rsidP="0001230E">
      <w:pPr>
        <w:spacing w:line="480" w:lineRule="auto"/>
        <w:ind w:firstLine="720"/>
        <w:jc w:val="both"/>
        <w:rPr>
          <w:rFonts w:ascii="Book Antiqua" w:hAnsi="Book Antiqua"/>
          <w:snapToGrid w:val="0"/>
          <w:szCs w:val="24"/>
          <w:lang w:val="es-PR"/>
        </w:rPr>
      </w:pPr>
      <w:r w:rsidRPr="008B5572">
        <w:rPr>
          <w:rFonts w:ascii="Book Antiqua" w:hAnsi="Book Antiqua"/>
          <w:snapToGrid w:val="0"/>
          <w:szCs w:val="24"/>
          <w:lang w:val="es-PR"/>
        </w:rPr>
        <w:t>Esta Ley comenzará a regir inmediatamente después de su aprobación.</w:t>
      </w:r>
    </w:p>
    <w:sectPr w:rsidR="007F61B2" w:rsidRPr="008B5572">
      <w:headerReference w:type="even" r:id="rId14"/>
      <w:headerReference w:type="default" r:id="rId15"/>
      <w:headerReference w:type="first" r:id="rId16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B811F" w14:textId="77777777" w:rsidR="00BB0D87" w:rsidRDefault="00BB0D87">
      <w:r>
        <w:separator/>
      </w:r>
    </w:p>
  </w:endnote>
  <w:endnote w:type="continuationSeparator" w:id="0">
    <w:p w14:paraId="0F74ED27" w14:textId="77777777" w:rsidR="00BB0D87" w:rsidRDefault="00BB0D87">
      <w:r>
        <w:continuationSeparator/>
      </w:r>
    </w:p>
  </w:endnote>
  <w:endnote w:type="continuationNotice" w:id="1">
    <w:p w14:paraId="79B88635" w14:textId="77777777" w:rsidR="00BB0D87" w:rsidRDefault="00BB0D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F1879" w14:textId="77777777" w:rsidR="00BB0D87" w:rsidRDefault="00BB0D87">
      <w:r>
        <w:separator/>
      </w:r>
    </w:p>
  </w:footnote>
  <w:footnote w:type="continuationSeparator" w:id="0">
    <w:p w14:paraId="0811EA79" w14:textId="77777777" w:rsidR="00BB0D87" w:rsidRDefault="00BB0D87">
      <w:r>
        <w:continuationSeparator/>
      </w:r>
    </w:p>
  </w:footnote>
  <w:footnote w:type="continuationNotice" w:id="1">
    <w:p w14:paraId="30FD9543" w14:textId="77777777" w:rsidR="00BB0D87" w:rsidRDefault="00BB0D8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E60A1" w14:textId="77777777" w:rsidR="007F61B2" w:rsidRDefault="0083082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0DF453" w14:textId="77777777" w:rsidR="007F61B2" w:rsidRDefault="007F61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284E3" w14:textId="77777777" w:rsidR="007F61B2" w:rsidRDefault="0083082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 w14:paraId="69B0D599" w14:textId="77777777" w:rsidR="007F61B2" w:rsidRDefault="007F61B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9754E" w14:textId="77777777" w:rsidR="007F61B2" w:rsidRPr="00C60B4E" w:rsidRDefault="00C60B4E" w:rsidP="00C60B4E">
    <w:pPr>
      <w:pStyle w:val="Header"/>
      <w:jc w:val="right"/>
      <w:rPr>
        <w:lang w:val="en-US"/>
      </w:rPr>
    </w:pPr>
    <w:r>
      <w:rPr>
        <w:lang w:val="en-US"/>
      </w:rPr>
      <w:t>A-0</w:t>
    </w:r>
    <w:r w:rsidR="008B5572">
      <w:rPr>
        <w:lang w:val="en-US"/>
      </w:rPr>
      <w:t>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020DA"/>
    <w:multiLevelType w:val="hybridMultilevel"/>
    <w:tmpl w:val="2C2CEED4"/>
    <w:lvl w:ilvl="0" w:tplc="2DE617B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6D1429"/>
    <w:multiLevelType w:val="multilevel"/>
    <w:tmpl w:val="3A6D1429"/>
    <w:lvl w:ilvl="0">
      <w:start w:val="1"/>
      <w:numFmt w:val="decimal"/>
      <w:lvlText w:val="(%1)"/>
      <w:lvlJc w:val="left"/>
      <w:pPr>
        <w:ind w:left="180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52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24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96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68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40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12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84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568" w:hanging="180"/>
      </w:pPr>
      <w:rPr>
        <w:vertAlign w:val="baseline"/>
      </w:rPr>
    </w:lvl>
  </w:abstractNum>
  <w:num w:numId="1" w16cid:durableId="1391878897">
    <w:abstractNumId w:val="1"/>
  </w:num>
  <w:num w:numId="2" w16cid:durableId="130682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5FA"/>
    <w:rsid w:val="00005CEB"/>
    <w:rsid w:val="0001230E"/>
    <w:rsid w:val="00014190"/>
    <w:rsid w:val="00014A7E"/>
    <w:rsid w:val="000164BB"/>
    <w:rsid w:val="00020EA3"/>
    <w:rsid w:val="000270A5"/>
    <w:rsid w:val="0004098B"/>
    <w:rsid w:val="00045F08"/>
    <w:rsid w:val="000579C4"/>
    <w:rsid w:val="00063D14"/>
    <w:rsid w:val="000659E0"/>
    <w:rsid w:val="00076D71"/>
    <w:rsid w:val="00076E80"/>
    <w:rsid w:val="000866CA"/>
    <w:rsid w:val="0009772C"/>
    <w:rsid w:val="000A1D21"/>
    <w:rsid w:val="000A5112"/>
    <w:rsid w:val="000C2412"/>
    <w:rsid w:val="000D129F"/>
    <w:rsid w:val="000D67C9"/>
    <w:rsid w:val="000E25DA"/>
    <w:rsid w:val="000E5ABE"/>
    <w:rsid w:val="000E6A9E"/>
    <w:rsid w:val="000F3B48"/>
    <w:rsid w:val="00100AF1"/>
    <w:rsid w:val="001016AC"/>
    <w:rsid w:val="0010370A"/>
    <w:rsid w:val="0011023B"/>
    <w:rsid w:val="00112D3D"/>
    <w:rsid w:val="00121A8C"/>
    <w:rsid w:val="00151B88"/>
    <w:rsid w:val="00151EAB"/>
    <w:rsid w:val="001614B1"/>
    <w:rsid w:val="00167892"/>
    <w:rsid w:val="00170A1C"/>
    <w:rsid w:val="00170D6C"/>
    <w:rsid w:val="00176176"/>
    <w:rsid w:val="00183D59"/>
    <w:rsid w:val="001855E6"/>
    <w:rsid w:val="0019638B"/>
    <w:rsid w:val="00196959"/>
    <w:rsid w:val="001A4F66"/>
    <w:rsid w:val="001A7DF2"/>
    <w:rsid w:val="001B45AF"/>
    <w:rsid w:val="001B6435"/>
    <w:rsid w:val="001C5485"/>
    <w:rsid w:val="001D7752"/>
    <w:rsid w:val="001E08D1"/>
    <w:rsid w:val="00203A46"/>
    <w:rsid w:val="00206653"/>
    <w:rsid w:val="0021171A"/>
    <w:rsid w:val="00231429"/>
    <w:rsid w:val="0023774B"/>
    <w:rsid w:val="00247D33"/>
    <w:rsid w:val="002541AD"/>
    <w:rsid w:val="00254612"/>
    <w:rsid w:val="00271EE7"/>
    <w:rsid w:val="0027475C"/>
    <w:rsid w:val="00274D04"/>
    <w:rsid w:val="0027683B"/>
    <w:rsid w:val="00283306"/>
    <w:rsid w:val="00293AAF"/>
    <w:rsid w:val="00294DCD"/>
    <w:rsid w:val="002972D2"/>
    <w:rsid w:val="002A2E3E"/>
    <w:rsid w:val="002A5F56"/>
    <w:rsid w:val="002A684D"/>
    <w:rsid w:val="002B42DB"/>
    <w:rsid w:val="002B5D05"/>
    <w:rsid w:val="002B635D"/>
    <w:rsid w:val="002C09F7"/>
    <w:rsid w:val="002D29E2"/>
    <w:rsid w:val="002D2C15"/>
    <w:rsid w:val="002D5613"/>
    <w:rsid w:val="002E5701"/>
    <w:rsid w:val="002E6517"/>
    <w:rsid w:val="002F332F"/>
    <w:rsid w:val="002F6C22"/>
    <w:rsid w:val="003007AB"/>
    <w:rsid w:val="003026E8"/>
    <w:rsid w:val="00306C4B"/>
    <w:rsid w:val="00306D6F"/>
    <w:rsid w:val="0030725B"/>
    <w:rsid w:val="00310A31"/>
    <w:rsid w:val="0031489E"/>
    <w:rsid w:val="00326CBF"/>
    <w:rsid w:val="00336436"/>
    <w:rsid w:val="003465AB"/>
    <w:rsid w:val="003475FA"/>
    <w:rsid w:val="00350A18"/>
    <w:rsid w:val="00366A6D"/>
    <w:rsid w:val="00367F94"/>
    <w:rsid w:val="00370898"/>
    <w:rsid w:val="003718F2"/>
    <w:rsid w:val="00395EF3"/>
    <w:rsid w:val="00396297"/>
    <w:rsid w:val="003A7944"/>
    <w:rsid w:val="003B343A"/>
    <w:rsid w:val="003C2BBB"/>
    <w:rsid w:val="003D08AA"/>
    <w:rsid w:val="003D3DB3"/>
    <w:rsid w:val="003D4D7E"/>
    <w:rsid w:val="003E247C"/>
    <w:rsid w:val="003E2A06"/>
    <w:rsid w:val="003F1396"/>
    <w:rsid w:val="003F3C4F"/>
    <w:rsid w:val="003F3D81"/>
    <w:rsid w:val="003F49C5"/>
    <w:rsid w:val="003F565B"/>
    <w:rsid w:val="004053B1"/>
    <w:rsid w:val="00410446"/>
    <w:rsid w:val="004142B3"/>
    <w:rsid w:val="00417589"/>
    <w:rsid w:val="004178C9"/>
    <w:rsid w:val="004200C7"/>
    <w:rsid w:val="00420984"/>
    <w:rsid w:val="004366F6"/>
    <w:rsid w:val="00441832"/>
    <w:rsid w:val="00441E7B"/>
    <w:rsid w:val="00443336"/>
    <w:rsid w:val="004433CA"/>
    <w:rsid w:val="00447E1B"/>
    <w:rsid w:val="004512E8"/>
    <w:rsid w:val="00452905"/>
    <w:rsid w:val="00463D73"/>
    <w:rsid w:val="00464285"/>
    <w:rsid w:val="00467979"/>
    <w:rsid w:val="0047581C"/>
    <w:rsid w:val="00477188"/>
    <w:rsid w:val="00477788"/>
    <w:rsid w:val="0048628A"/>
    <w:rsid w:val="00486D91"/>
    <w:rsid w:val="00492CD7"/>
    <w:rsid w:val="004974EB"/>
    <w:rsid w:val="004A24C6"/>
    <w:rsid w:val="004A41D0"/>
    <w:rsid w:val="004B2F36"/>
    <w:rsid w:val="004B68F9"/>
    <w:rsid w:val="004C178C"/>
    <w:rsid w:val="004C5E2E"/>
    <w:rsid w:val="004C670A"/>
    <w:rsid w:val="004D04DE"/>
    <w:rsid w:val="004D0718"/>
    <w:rsid w:val="004D3FBD"/>
    <w:rsid w:val="004D406E"/>
    <w:rsid w:val="004D6AE4"/>
    <w:rsid w:val="004E2CE2"/>
    <w:rsid w:val="004E2E81"/>
    <w:rsid w:val="004E57F6"/>
    <w:rsid w:val="004E62D8"/>
    <w:rsid w:val="004F7331"/>
    <w:rsid w:val="0050380A"/>
    <w:rsid w:val="00504471"/>
    <w:rsid w:val="00506A16"/>
    <w:rsid w:val="005130BF"/>
    <w:rsid w:val="00523805"/>
    <w:rsid w:val="005332AA"/>
    <w:rsid w:val="00557D84"/>
    <w:rsid w:val="00560A03"/>
    <w:rsid w:val="00561180"/>
    <w:rsid w:val="0056407E"/>
    <w:rsid w:val="00580F55"/>
    <w:rsid w:val="00593C7F"/>
    <w:rsid w:val="00594085"/>
    <w:rsid w:val="005A119E"/>
    <w:rsid w:val="005A183F"/>
    <w:rsid w:val="005A37CE"/>
    <w:rsid w:val="005A4CFA"/>
    <w:rsid w:val="005A5437"/>
    <w:rsid w:val="005D1822"/>
    <w:rsid w:val="005D4C44"/>
    <w:rsid w:val="005E4879"/>
    <w:rsid w:val="005E5478"/>
    <w:rsid w:val="005E5FE3"/>
    <w:rsid w:val="005E62A5"/>
    <w:rsid w:val="005E75FF"/>
    <w:rsid w:val="005F02A0"/>
    <w:rsid w:val="005F197B"/>
    <w:rsid w:val="005F492A"/>
    <w:rsid w:val="00600473"/>
    <w:rsid w:val="00601919"/>
    <w:rsid w:val="006031E1"/>
    <w:rsid w:val="00613F88"/>
    <w:rsid w:val="0061681A"/>
    <w:rsid w:val="00624EE4"/>
    <w:rsid w:val="00631CBE"/>
    <w:rsid w:val="006329AB"/>
    <w:rsid w:val="006408D2"/>
    <w:rsid w:val="00646680"/>
    <w:rsid w:val="00650175"/>
    <w:rsid w:val="00650529"/>
    <w:rsid w:val="00651941"/>
    <w:rsid w:val="00652773"/>
    <w:rsid w:val="006534FD"/>
    <w:rsid w:val="00653E7E"/>
    <w:rsid w:val="00664C3F"/>
    <w:rsid w:val="00666535"/>
    <w:rsid w:val="00667B4D"/>
    <w:rsid w:val="00683A9C"/>
    <w:rsid w:val="006859AB"/>
    <w:rsid w:val="00690BA5"/>
    <w:rsid w:val="006941F5"/>
    <w:rsid w:val="006956FE"/>
    <w:rsid w:val="00697A07"/>
    <w:rsid w:val="00697AA5"/>
    <w:rsid w:val="006A4836"/>
    <w:rsid w:val="006B0DE4"/>
    <w:rsid w:val="006B102E"/>
    <w:rsid w:val="006B2595"/>
    <w:rsid w:val="006B3260"/>
    <w:rsid w:val="006B5B38"/>
    <w:rsid w:val="006B6474"/>
    <w:rsid w:val="006C22CA"/>
    <w:rsid w:val="006C7979"/>
    <w:rsid w:val="006D4DDC"/>
    <w:rsid w:val="006D6F10"/>
    <w:rsid w:val="006E101C"/>
    <w:rsid w:val="006E2726"/>
    <w:rsid w:val="006E5CFC"/>
    <w:rsid w:val="006E77D4"/>
    <w:rsid w:val="006E782B"/>
    <w:rsid w:val="006F0E20"/>
    <w:rsid w:val="006F4EDF"/>
    <w:rsid w:val="006F64F8"/>
    <w:rsid w:val="007026D1"/>
    <w:rsid w:val="00704D1B"/>
    <w:rsid w:val="007107D9"/>
    <w:rsid w:val="007151E8"/>
    <w:rsid w:val="007156C7"/>
    <w:rsid w:val="007160C5"/>
    <w:rsid w:val="00723722"/>
    <w:rsid w:val="007254CC"/>
    <w:rsid w:val="007429F0"/>
    <w:rsid w:val="00747032"/>
    <w:rsid w:val="0075159B"/>
    <w:rsid w:val="00761F10"/>
    <w:rsid w:val="007775FF"/>
    <w:rsid w:val="00785210"/>
    <w:rsid w:val="007913C2"/>
    <w:rsid w:val="00792036"/>
    <w:rsid w:val="007A4890"/>
    <w:rsid w:val="007A7038"/>
    <w:rsid w:val="007B3D22"/>
    <w:rsid w:val="007C018A"/>
    <w:rsid w:val="007C2ABA"/>
    <w:rsid w:val="007C73C1"/>
    <w:rsid w:val="007D02AC"/>
    <w:rsid w:val="007D04C1"/>
    <w:rsid w:val="007D2643"/>
    <w:rsid w:val="007D542B"/>
    <w:rsid w:val="007E7423"/>
    <w:rsid w:val="007F42C2"/>
    <w:rsid w:val="007F58AC"/>
    <w:rsid w:val="007F61B2"/>
    <w:rsid w:val="008027D7"/>
    <w:rsid w:val="0081147A"/>
    <w:rsid w:val="00820557"/>
    <w:rsid w:val="00820D67"/>
    <w:rsid w:val="00822EB0"/>
    <w:rsid w:val="0083082B"/>
    <w:rsid w:val="00836D91"/>
    <w:rsid w:val="00843AAE"/>
    <w:rsid w:val="00851372"/>
    <w:rsid w:val="008552D1"/>
    <w:rsid w:val="00877906"/>
    <w:rsid w:val="00886AEA"/>
    <w:rsid w:val="00890999"/>
    <w:rsid w:val="00894201"/>
    <w:rsid w:val="008A57BD"/>
    <w:rsid w:val="008B1FE6"/>
    <w:rsid w:val="008B307B"/>
    <w:rsid w:val="008B5572"/>
    <w:rsid w:val="008C17D4"/>
    <w:rsid w:val="008D0C41"/>
    <w:rsid w:val="008E11EF"/>
    <w:rsid w:val="008E480B"/>
    <w:rsid w:val="008F3657"/>
    <w:rsid w:val="008F45E5"/>
    <w:rsid w:val="008F6826"/>
    <w:rsid w:val="008F6EA1"/>
    <w:rsid w:val="0090363D"/>
    <w:rsid w:val="0092574A"/>
    <w:rsid w:val="00926BC1"/>
    <w:rsid w:val="009320A8"/>
    <w:rsid w:val="00940544"/>
    <w:rsid w:val="0094294A"/>
    <w:rsid w:val="009434A9"/>
    <w:rsid w:val="00945971"/>
    <w:rsid w:val="00960475"/>
    <w:rsid w:val="009617D5"/>
    <w:rsid w:val="00961DDB"/>
    <w:rsid w:val="00966FA9"/>
    <w:rsid w:val="009771FC"/>
    <w:rsid w:val="009812E2"/>
    <w:rsid w:val="00981DAC"/>
    <w:rsid w:val="009A05A3"/>
    <w:rsid w:val="009A787A"/>
    <w:rsid w:val="009C47A8"/>
    <w:rsid w:val="009C54CA"/>
    <w:rsid w:val="009D115E"/>
    <w:rsid w:val="009D659A"/>
    <w:rsid w:val="009E0FA1"/>
    <w:rsid w:val="009F61F7"/>
    <w:rsid w:val="00A03E35"/>
    <w:rsid w:val="00A05CBE"/>
    <w:rsid w:val="00A258E7"/>
    <w:rsid w:val="00A30405"/>
    <w:rsid w:val="00A36A5F"/>
    <w:rsid w:val="00A415F2"/>
    <w:rsid w:val="00A43B6B"/>
    <w:rsid w:val="00A43EC5"/>
    <w:rsid w:val="00A50CBC"/>
    <w:rsid w:val="00A54EEA"/>
    <w:rsid w:val="00A701C5"/>
    <w:rsid w:val="00A71027"/>
    <w:rsid w:val="00A75FF7"/>
    <w:rsid w:val="00A82019"/>
    <w:rsid w:val="00A87FC6"/>
    <w:rsid w:val="00A95B27"/>
    <w:rsid w:val="00AA3873"/>
    <w:rsid w:val="00AA3B92"/>
    <w:rsid w:val="00AA4522"/>
    <w:rsid w:val="00AA46E1"/>
    <w:rsid w:val="00AB2370"/>
    <w:rsid w:val="00AC1EBE"/>
    <w:rsid w:val="00AC3C0A"/>
    <w:rsid w:val="00AC4ADE"/>
    <w:rsid w:val="00AD0068"/>
    <w:rsid w:val="00AE3B8E"/>
    <w:rsid w:val="00AF0830"/>
    <w:rsid w:val="00AF2BB2"/>
    <w:rsid w:val="00AF3E42"/>
    <w:rsid w:val="00AF5FD1"/>
    <w:rsid w:val="00AF70D8"/>
    <w:rsid w:val="00B00B01"/>
    <w:rsid w:val="00B12A36"/>
    <w:rsid w:val="00B13131"/>
    <w:rsid w:val="00B13F57"/>
    <w:rsid w:val="00B17A3A"/>
    <w:rsid w:val="00B20247"/>
    <w:rsid w:val="00B23602"/>
    <w:rsid w:val="00B31609"/>
    <w:rsid w:val="00B516B0"/>
    <w:rsid w:val="00B51D4B"/>
    <w:rsid w:val="00B54D7C"/>
    <w:rsid w:val="00B60022"/>
    <w:rsid w:val="00B644EA"/>
    <w:rsid w:val="00B7637E"/>
    <w:rsid w:val="00B77C27"/>
    <w:rsid w:val="00B8688D"/>
    <w:rsid w:val="00B872A1"/>
    <w:rsid w:val="00B909F0"/>
    <w:rsid w:val="00B933DA"/>
    <w:rsid w:val="00B93659"/>
    <w:rsid w:val="00BA5775"/>
    <w:rsid w:val="00BA62C3"/>
    <w:rsid w:val="00BB0D87"/>
    <w:rsid w:val="00BB63E5"/>
    <w:rsid w:val="00BC0E43"/>
    <w:rsid w:val="00BC29F9"/>
    <w:rsid w:val="00BD0C31"/>
    <w:rsid w:val="00BE6B79"/>
    <w:rsid w:val="00BF0C93"/>
    <w:rsid w:val="00BF24DA"/>
    <w:rsid w:val="00BF5B60"/>
    <w:rsid w:val="00BF603F"/>
    <w:rsid w:val="00BF7DBB"/>
    <w:rsid w:val="00C00DC9"/>
    <w:rsid w:val="00C02130"/>
    <w:rsid w:val="00C10F6D"/>
    <w:rsid w:val="00C24F33"/>
    <w:rsid w:val="00C26945"/>
    <w:rsid w:val="00C27360"/>
    <w:rsid w:val="00C34C2D"/>
    <w:rsid w:val="00C36ABA"/>
    <w:rsid w:val="00C53A8C"/>
    <w:rsid w:val="00C60B4E"/>
    <w:rsid w:val="00C63A02"/>
    <w:rsid w:val="00C7113B"/>
    <w:rsid w:val="00C72B8C"/>
    <w:rsid w:val="00C76F14"/>
    <w:rsid w:val="00C80649"/>
    <w:rsid w:val="00C83431"/>
    <w:rsid w:val="00C90A6A"/>
    <w:rsid w:val="00C90AC9"/>
    <w:rsid w:val="00C95A69"/>
    <w:rsid w:val="00CA19DB"/>
    <w:rsid w:val="00CA275F"/>
    <w:rsid w:val="00CA35FE"/>
    <w:rsid w:val="00CA4453"/>
    <w:rsid w:val="00CA5F57"/>
    <w:rsid w:val="00CA6D1B"/>
    <w:rsid w:val="00CB7B9F"/>
    <w:rsid w:val="00CC1885"/>
    <w:rsid w:val="00CC5676"/>
    <w:rsid w:val="00CD2CC2"/>
    <w:rsid w:val="00CE0C8C"/>
    <w:rsid w:val="00CE2334"/>
    <w:rsid w:val="00CF2808"/>
    <w:rsid w:val="00CF3342"/>
    <w:rsid w:val="00D217C6"/>
    <w:rsid w:val="00D24DA2"/>
    <w:rsid w:val="00D35008"/>
    <w:rsid w:val="00D37054"/>
    <w:rsid w:val="00D37D69"/>
    <w:rsid w:val="00D40AE2"/>
    <w:rsid w:val="00D53ACF"/>
    <w:rsid w:val="00D57D0F"/>
    <w:rsid w:val="00D60FF0"/>
    <w:rsid w:val="00D623E2"/>
    <w:rsid w:val="00D77C8E"/>
    <w:rsid w:val="00D82800"/>
    <w:rsid w:val="00D85598"/>
    <w:rsid w:val="00D90036"/>
    <w:rsid w:val="00D92E87"/>
    <w:rsid w:val="00D953E1"/>
    <w:rsid w:val="00DA1F13"/>
    <w:rsid w:val="00DA34D8"/>
    <w:rsid w:val="00DB4272"/>
    <w:rsid w:val="00DB6ED3"/>
    <w:rsid w:val="00DC2DE4"/>
    <w:rsid w:val="00DC6D36"/>
    <w:rsid w:val="00DD2763"/>
    <w:rsid w:val="00DD4876"/>
    <w:rsid w:val="00DE2A89"/>
    <w:rsid w:val="00DE6FCA"/>
    <w:rsid w:val="00E044DD"/>
    <w:rsid w:val="00E04B77"/>
    <w:rsid w:val="00E06704"/>
    <w:rsid w:val="00E15C25"/>
    <w:rsid w:val="00E263C7"/>
    <w:rsid w:val="00E27D4B"/>
    <w:rsid w:val="00E304C8"/>
    <w:rsid w:val="00E51CE3"/>
    <w:rsid w:val="00E5538A"/>
    <w:rsid w:val="00E60299"/>
    <w:rsid w:val="00E615E1"/>
    <w:rsid w:val="00E64B96"/>
    <w:rsid w:val="00E90C62"/>
    <w:rsid w:val="00EA2D19"/>
    <w:rsid w:val="00EA412D"/>
    <w:rsid w:val="00EA455E"/>
    <w:rsid w:val="00EB412E"/>
    <w:rsid w:val="00EB4427"/>
    <w:rsid w:val="00EC69FF"/>
    <w:rsid w:val="00EC7C09"/>
    <w:rsid w:val="00ED031F"/>
    <w:rsid w:val="00ED048C"/>
    <w:rsid w:val="00EE4413"/>
    <w:rsid w:val="00EE61D0"/>
    <w:rsid w:val="00EE7CB6"/>
    <w:rsid w:val="00EF5966"/>
    <w:rsid w:val="00F02966"/>
    <w:rsid w:val="00F04EF2"/>
    <w:rsid w:val="00F05BAB"/>
    <w:rsid w:val="00F12A2B"/>
    <w:rsid w:val="00F15352"/>
    <w:rsid w:val="00F207F8"/>
    <w:rsid w:val="00F20816"/>
    <w:rsid w:val="00F20819"/>
    <w:rsid w:val="00F234E9"/>
    <w:rsid w:val="00F34824"/>
    <w:rsid w:val="00F434E6"/>
    <w:rsid w:val="00F47CF7"/>
    <w:rsid w:val="00F50746"/>
    <w:rsid w:val="00F51E9F"/>
    <w:rsid w:val="00F565DA"/>
    <w:rsid w:val="00F618DB"/>
    <w:rsid w:val="00F65039"/>
    <w:rsid w:val="00F66F83"/>
    <w:rsid w:val="00F84E92"/>
    <w:rsid w:val="00F87422"/>
    <w:rsid w:val="00FA489F"/>
    <w:rsid w:val="00FA5408"/>
    <w:rsid w:val="00FA6279"/>
    <w:rsid w:val="00FA7A68"/>
    <w:rsid w:val="00FB153D"/>
    <w:rsid w:val="00FB58AD"/>
    <w:rsid w:val="00FB63E2"/>
    <w:rsid w:val="00FC1EE1"/>
    <w:rsid w:val="00FC564C"/>
    <w:rsid w:val="00FD1837"/>
    <w:rsid w:val="00FD56E5"/>
    <w:rsid w:val="00FD76AF"/>
    <w:rsid w:val="00FF1BC7"/>
    <w:rsid w:val="00FF5E2C"/>
    <w:rsid w:val="1B65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B0DF8CF"/>
  <w15:docId w15:val="{7001F592-A2B5-4BDC-9CD4-0E91AC687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 w:qFormat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/>
      <w:sz w:val="16"/>
      <w:szCs w:val="16"/>
      <w:lang w:val="zh-CN" w:eastAsia="zh-CN"/>
    </w:rPr>
  </w:style>
  <w:style w:type="paragraph" w:styleId="BodyText">
    <w:name w:val="Body Text"/>
    <w:basedOn w:val="Normal"/>
    <w:link w:val="BodyTextChar"/>
    <w:qFormat/>
    <w:pPr>
      <w:widowControl w:val="0"/>
      <w:tabs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line="480" w:lineRule="auto"/>
      <w:ind w:right="360"/>
      <w:jc w:val="both"/>
    </w:pPr>
    <w:rPr>
      <w:snapToGrid w:val="0"/>
      <w:spacing w:val="-3"/>
    </w:rPr>
  </w:style>
  <w:style w:type="character" w:styleId="CommentReference">
    <w:name w:val="annotation reference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rPr>
      <w:sz w:val="20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paragraph" w:styleId="Footer">
    <w:name w:val="footer"/>
    <w:basedOn w:val="Normal"/>
    <w:link w:val="FooterChar"/>
    <w:qFormat/>
    <w:pPr>
      <w:tabs>
        <w:tab w:val="center" w:pos="4320"/>
        <w:tab w:val="right" w:pos="8640"/>
      </w:tabs>
    </w:pPr>
    <w:rPr>
      <w:lang w:val="zh-CN" w:eastAsia="zh-CN"/>
    </w:rPr>
  </w:style>
  <w:style w:type="paragraph" w:styleId="Header">
    <w:name w:val="header"/>
    <w:basedOn w:val="Normal"/>
    <w:link w:val="HeaderChar"/>
    <w:uiPriority w:val="99"/>
    <w:qFormat/>
    <w:pPr>
      <w:tabs>
        <w:tab w:val="center" w:pos="4320"/>
        <w:tab w:val="right" w:pos="8640"/>
      </w:tabs>
    </w:pPr>
    <w:rPr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qFormat/>
    <w:rPr>
      <w:rFonts w:ascii="Consolas" w:hAnsi="Consolas"/>
      <w:sz w:val="20"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character" w:styleId="LineNumber">
    <w:name w:val="line number"/>
    <w:basedOn w:val="DefaultParagraphFont"/>
    <w:uiPriority w:val="99"/>
    <w:semiHidden/>
    <w:unhideWhenUsed/>
    <w:qFormat/>
  </w:style>
  <w:style w:type="character" w:styleId="PageNumber">
    <w:name w:val="page number"/>
    <w:basedOn w:val="DefaultParagraphFont"/>
    <w:qFormat/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character" w:customStyle="1" w:styleId="HeaderChar">
    <w:name w:val="Header Char"/>
    <w:link w:val="Header"/>
    <w:uiPriority w:val="99"/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link w:val="Footer"/>
    <w:rPr>
      <w:rFonts w:ascii="Times New Roman" w:eastAsia="Times New Roman" w:hAnsi="Times New Roman" w:cs="Times New Roman"/>
      <w:sz w:val="24"/>
      <w:szCs w:val="20"/>
    </w:rPr>
  </w:style>
  <w:style w:type="character" w:customStyle="1" w:styleId="CommentTextChar">
    <w:name w:val="Comment Text Char"/>
    <w:link w:val="CommentText"/>
    <w:uiPriority w:val="99"/>
    <w:qFormat/>
    <w:rPr>
      <w:rFonts w:ascii="Times New Roman" w:eastAsia="Times New Roman" w:hAnsi="Times New Roman"/>
    </w:rPr>
  </w:style>
  <w:style w:type="character" w:customStyle="1" w:styleId="CommentSubjectChar">
    <w:name w:val="Comment Subject Char"/>
    <w:link w:val="CommentSubject"/>
    <w:uiPriority w:val="99"/>
    <w:semiHidden/>
    <w:qFormat/>
    <w:rPr>
      <w:rFonts w:ascii="Times New Roman" w:eastAsia="Times New Roman" w:hAnsi="Times New Roman"/>
      <w:b/>
      <w:bCs/>
    </w:rPr>
  </w:style>
  <w:style w:type="character" w:customStyle="1" w:styleId="BalloonTextChar">
    <w:name w:val="Balloon Text Char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Pr>
      <w:rFonts w:ascii="Times New Roman" w:eastAsia="Times New Roman" w:hAnsi="Times New Roman"/>
      <w:sz w:val="24"/>
      <w:lang w:val="en-US"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odyTextChar">
    <w:name w:val="Body Text Char"/>
    <w:link w:val="BodyText"/>
    <w:rPr>
      <w:rFonts w:ascii="Times New Roman" w:eastAsia="Times New Roman" w:hAnsi="Times New Roman"/>
      <w:snapToGrid w:val="0"/>
      <w:spacing w:val="-3"/>
      <w:sz w:val="24"/>
    </w:rPr>
  </w:style>
  <w:style w:type="character" w:customStyle="1" w:styleId="apple-converted-space">
    <w:name w:val="apple-converted-space"/>
    <w:basedOn w:val="DefaultParagraphFont"/>
    <w:qFormat/>
  </w:style>
  <w:style w:type="character" w:styleId="PlaceholderText">
    <w:name w:val="Placeholder Text"/>
    <w:uiPriority w:val="99"/>
    <w:semiHidden/>
    <w:rPr>
      <w:color w:val="808080"/>
    </w:rPr>
  </w:style>
  <w:style w:type="character" w:customStyle="1" w:styleId="HTMLPreformattedChar">
    <w:name w:val="HTML Preformatted Char"/>
    <w:link w:val="HTMLPreformatted"/>
    <w:uiPriority w:val="99"/>
    <w:semiHidden/>
    <w:qFormat/>
    <w:rPr>
      <w:rFonts w:ascii="Consolas" w:eastAsia="Times New Roman" w:hAnsi="Consolas"/>
    </w:rPr>
  </w:style>
  <w:style w:type="paragraph" w:customStyle="1" w:styleId="Revision1">
    <w:name w:val="Revision1"/>
    <w:hidden/>
    <w:uiPriority w:val="99"/>
    <w:semiHidden/>
    <w:qFormat/>
    <w:rPr>
      <w:rFonts w:ascii="Times New Roman" w:eastAsia="Times New Roman" w:hAnsi="Times New Roman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4SQX5P7U7WPY-958212181-815797</_dlc_DocId>
    <_dlc_DocIdUrl xmlns="c890fddd-4e87-4e08-8b51-545f2a3f7b06">
      <Url>https://senpr.sharepoint.com/sites/obralegislativa/_layouts/15/DocIdRedir.aspx?ID=4SQX5P7U7WPY-958212181-815797</Url>
      <Description>4SQX5P7U7WPY-958212181-815797</Description>
    </_dlc_DocIdUrl>
  </documentManagement>
</p:properties>
</file>

<file path=customXml/item7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D398783F-62FE-4EFE-85A8-1D4AAFCD1F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D7B523-8951-4EAA-85F0-F60441BCA6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E78521-2050-4E7E-B899-608BC8E2394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32A67F0E-CAFE-4C70-A262-DDFB19DB5F9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B1C8852-AF1F-4AA3-87E7-ABA6C8972C1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6F15D3C8-EFC6-44EA-B50A-AD684DF063A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7.xml><?xml version="1.0" encoding="utf-8"?>
<ds:datastoreItem xmlns:ds="http://schemas.openxmlformats.org/officeDocument/2006/customXml" ds:itemID="{781E36F5-D461-437F-B9AD-FF4FBB926F10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2019</Words>
  <Characters>11514</Characters>
  <Application>Microsoft Office Word</Application>
  <DocSecurity>0</DocSecurity>
  <Lines>95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S. Adams Vega</dc:creator>
  <cp:keywords/>
  <cp:lastModifiedBy>Monica Maldonado Gonzalez (Secretaria)</cp:lastModifiedBy>
  <cp:revision>2</cp:revision>
  <cp:lastPrinted>2025-06-18T12:44:00Z</cp:lastPrinted>
  <dcterms:created xsi:type="dcterms:W3CDTF">2025-06-19T21:49:00Z</dcterms:created>
  <dcterms:modified xsi:type="dcterms:W3CDTF">2025-06-19T21:49:00Z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F21EA6FB911D41E088D4785716AE1F03_13</vt:lpwstr>
  </property>
  <property fmtid="{D5CDD505-2E9C-101B-9397-08002B2CF9AE}" pid="4" name="ContentTypeId">
    <vt:lpwstr>0x0101008C58FC75B682744FB4A53C756BEDC3A3</vt:lpwstr>
  </property>
  <property fmtid="{D5CDD505-2E9C-101B-9397-08002B2CF9AE}" pid="5" name="_activity">
    <vt:lpwstr/>
  </property>
  <property fmtid="{D5CDD505-2E9C-101B-9397-08002B2CF9AE}" pid="6" name="_dlc_DocId">
    <vt:lpwstr>4SQX5P7U7WPY-958212181-811488</vt:lpwstr>
  </property>
  <property fmtid="{D5CDD505-2E9C-101B-9397-08002B2CF9AE}" pid="7" name="_dlc_DocIdItemGuid">
    <vt:lpwstr>73b9ba78-25ad-427d-a361-846553d8a8df</vt:lpwstr>
  </property>
  <property fmtid="{D5CDD505-2E9C-101B-9397-08002B2CF9AE}" pid="8" name="_dlc_DocIdUrl">
    <vt:lpwstr>https://senpr.sharepoint.com/sites/obralegislativa/_layouts/15/DocIdRedir.aspx?ID=4SQX5P7U7WPY-958212181-811488, 4SQX5P7U7WPY-958212181-811488</vt:lpwstr>
  </property>
  <property fmtid="{D5CDD505-2E9C-101B-9397-08002B2CF9AE}" pid="9" name="MediaServiceImageTags">
    <vt:lpwstr/>
  </property>
</Properties>
</file>