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C77449">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1A83BE71" w:rsidR="00E057F4" w:rsidRPr="0086134A" w:rsidRDefault="00147F54" w:rsidP="00C77449">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t xml:space="preserve">Asamblea                                                                                               </w:t>
      </w:r>
      <w:r w:rsidR="00C77449">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BDE9742" w:rsidR="00E057F4" w:rsidRPr="0086134A" w:rsidRDefault="00E057F4" w:rsidP="00C77449">
      <w:pPr>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00C77449">
        <w:rPr>
          <w:rFonts w:ascii="Book Antiqua" w:eastAsia="Times New Roman" w:hAnsi="Book Antiqua" w:cs="Times New Roman"/>
          <w:sz w:val="24"/>
          <w:szCs w:val="20"/>
          <w:lang w:val="es-PR"/>
        </w:rPr>
        <w:t xml:space="preserve">  </w:t>
      </w:r>
      <w:r w:rsidR="00C77449">
        <w:rPr>
          <w:rFonts w:ascii="Book Antiqua" w:eastAsia="Times New Roman" w:hAnsi="Book Antiqua" w:cs="Times New Roman"/>
          <w:sz w:val="24"/>
          <w:szCs w:val="20"/>
          <w:lang w:val="es-PR"/>
        </w:rPr>
        <w:tab/>
      </w:r>
      <w:r w:rsidR="00C77449">
        <w:rPr>
          <w:rFonts w:ascii="Book Antiqua" w:eastAsia="Times New Roman" w:hAnsi="Book Antiqua" w:cs="Times New Roman"/>
          <w:sz w:val="24"/>
          <w:szCs w:val="20"/>
          <w:lang w:val="es-PR"/>
        </w:rPr>
        <w:tab/>
        <w:t xml:space="preserve">                  </w:t>
      </w:r>
      <w:r w:rsidRPr="0086134A">
        <w:rPr>
          <w:rFonts w:ascii="Book Antiqua" w:eastAsia="Times New Roman" w:hAnsi="Book Antiqua" w:cs="Times New Roman"/>
          <w:sz w:val="24"/>
          <w:szCs w:val="20"/>
          <w:lang w:val="es-PR"/>
        </w:rPr>
        <w:t>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0D12DD47"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D5355A">
        <w:rPr>
          <w:rFonts w:ascii="Book Antiqua" w:eastAsia="Times New Roman" w:hAnsi="Book Antiqua" w:cs="Times New Roman"/>
          <w:b/>
          <w:sz w:val="52"/>
          <w:szCs w:val="20"/>
          <w:lang w:val="es-PR"/>
        </w:rPr>
        <w:t>286</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4E28CE9A" w:rsidR="00E057F4" w:rsidRPr="0086134A" w:rsidRDefault="00602831"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Sinespaciado"/>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2DED4EBA"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C77449">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5F93367A" w:rsidR="00E5621A" w:rsidRPr="00550F0C" w:rsidRDefault="00E057F4" w:rsidP="00C77449">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8256AB">
        <w:rPr>
          <w:rFonts w:ascii="Book Antiqua" w:hAnsi="Book Antiqua"/>
          <w:bCs/>
          <w:sz w:val="24"/>
          <w:szCs w:val="24"/>
          <w:lang w:val="es-MX"/>
        </w:rPr>
        <w:t xml:space="preserve">Vivienda </w:t>
      </w:r>
      <w:r w:rsidR="00B57BBC">
        <w:rPr>
          <w:rFonts w:ascii="Book Antiqua" w:hAnsi="Book Antiqua"/>
          <w:bCs/>
          <w:sz w:val="24"/>
          <w:szCs w:val="24"/>
          <w:lang w:val="es-MX"/>
        </w:rPr>
        <w:t>y Desarrollo Urbano</w:t>
      </w:r>
      <w:r w:rsidR="004516F0" w:rsidRPr="00550F0C">
        <w:rPr>
          <w:rFonts w:ascii="Book Antiqua" w:hAnsi="Book Antiqua"/>
          <w:bCs/>
          <w:sz w:val="24"/>
          <w:szCs w:val="24"/>
          <w:lang w:val="es-MX"/>
        </w:rPr>
        <w:t xml:space="preserve">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estado de</w:t>
      </w:r>
      <w:r w:rsidR="000B4AB5">
        <w:rPr>
          <w:rFonts w:ascii="Book Antiqua" w:hAnsi="Book Antiqua"/>
          <w:sz w:val="24"/>
          <w:szCs w:val="24"/>
          <w:lang w:val="es-PR"/>
        </w:rPr>
        <w:t xml:space="preserve"> restauración de la Laguna de Guánica</w:t>
      </w:r>
      <w:r w:rsidR="0045042F">
        <w:rPr>
          <w:rFonts w:ascii="Book Antiqua" w:hAnsi="Book Antiqua"/>
          <w:sz w:val="24"/>
          <w:szCs w:val="24"/>
          <w:lang w:val="es-PR"/>
        </w:rPr>
        <w:t xml:space="preserve">, </w:t>
      </w:r>
      <w:proofErr w:type="spellStart"/>
      <w:r w:rsidR="0045042F">
        <w:rPr>
          <w:rFonts w:ascii="Book Antiqua" w:hAnsi="Book Antiqua"/>
          <w:sz w:val="24"/>
          <w:szCs w:val="24"/>
          <w:lang w:val="es-PR"/>
        </w:rPr>
        <w:t>permisología</w:t>
      </w:r>
      <w:proofErr w:type="spellEnd"/>
      <w:r w:rsidR="0045042F">
        <w:rPr>
          <w:rFonts w:ascii="Book Antiqua" w:hAnsi="Book Antiqua"/>
          <w:sz w:val="24"/>
          <w:szCs w:val="24"/>
          <w:lang w:val="es-PR"/>
        </w:rPr>
        <w:t xml:space="preserve"> vigente,</w:t>
      </w:r>
      <w:r w:rsidR="000B4AB5">
        <w:rPr>
          <w:rFonts w:ascii="Book Antiqua" w:hAnsi="Book Antiqua"/>
          <w:sz w:val="24"/>
          <w:szCs w:val="24"/>
          <w:lang w:val="es-PR"/>
        </w:rPr>
        <w:t xml:space="preserve"> aprobación económica establecida por las entidades pertinentes, consecuencias directas para las poblaciones y comunidades cercanas a la Laguna, alteración del actual ecosistema que se ha desarrollado tras su drenaje, suelos a impactarse,</w:t>
      </w:r>
      <w:r w:rsidR="0045042F">
        <w:rPr>
          <w:rFonts w:ascii="Book Antiqua" w:hAnsi="Book Antiqua"/>
          <w:sz w:val="24"/>
          <w:szCs w:val="24"/>
          <w:lang w:val="es-PR"/>
        </w:rPr>
        <w:t xml:space="preserve"> entre otros</w:t>
      </w:r>
      <w:r w:rsidR="000B4AB5">
        <w:rPr>
          <w:rFonts w:ascii="Book Antiqua" w:hAnsi="Book Antiqua"/>
          <w:sz w:val="24"/>
          <w:szCs w:val="24"/>
          <w:lang w:val="es-PR"/>
        </w:rPr>
        <w:t xml:space="preserve"> asuntos</w:t>
      </w:r>
      <w:r w:rsidR="0045042F">
        <w:rPr>
          <w:rFonts w:ascii="Book Antiqua" w:hAnsi="Book Antiqua"/>
          <w:sz w:val="24"/>
          <w:szCs w:val="24"/>
          <w:lang w:val="es-PR"/>
        </w:rPr>
        <w:t xml:space="preserve"> con el fin de</w:t>
      </w:r>
      <w:bookmarkStart w:id="0" w:name="_Hlk187243410"/>
      <w:r w:rsidR="0045042F">
        <w:rPr>
          <w:rFonts w:ascii="Book Antiqua" w:hAnsi="Book Antiqua"/>
          <w:sz w:val="24"/>
          <w:szCs w:val="24"/>
          <w:lang w:val="es-PR"/>
        </w:rPr>
        <w:t xml:space="preserve"> auscultar su </w:t>
      </w:r>
      <w:r w:rsidR="000B4AB5">
        <w:rPr>
          <w:rFonts w:ascii="Book Antiqua" w:hAnsi="Book Antiqua"/>
          <w:sz w:val="24"/>
          <w:szCs w:val="24"/>
          <w:lang w:val="es-PR"/>
        </w:rPr>
        <w:t>viabilidad, si afectará negativamente el área, consecuencias económicas para el área</w:t>
      </w:r>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73E294A5" w14:textId="3E47E11A" w:rsidR="00905CEC" w:rsidRDefault="008C7290" w:rsidP="00C77449">
      <w:pPr>
        <w:spacing w:after="0" w:line="240" w:lineRule="auto"/>
        <w:ind w:firstLine="720"/>
        <w:jc w:val="both"/>
        <w:rPr>
          <w:rFonts w:ascii="Book Antiqua" w:eastAsia="Times New Roman" w:hAnsi="Book Antiqua" w:cs="Arial"/>
          <w:sz w:val="24"/>
          <w:szCs w:val="20"/>
          <w:lang w:val="es-ES"/>
        </w:rPr>
      </w:pPr>
      <w:r>
        <w:rPr>
          <w:rFonts w:ascii="Book Antiqua" w:eastAsia="Times New Roman" w:hAnsi="Book Antiqua" w:cs="Arial"/>
          <w:sz w:val="24"/>
          <w:szCs w:val="20"/>
          <w:lang w:val="es-ES"/>
        </w:rPr>
        <w:t xml:space="preserve">La </w:t>
      </w:r>
      <w:r w:rsidR="00905CEC" w:rsidRPr="00905CEC">
        <w:rPr>
          <w:rFonts w:ascii="Book Antiqua" w:eastAsia="Times New Roman" w:hAnsi="Book Antiqua" w:cs="Arial"/>
          <w:sz w:val="24"/>
          <w:szCs w:val="20"/>
          <w:lang w:val="es-ES"/>
        </w:rPr>
        <w:t xml:space="preserve">Laguna </w:t>
      </w:r>
      <w:r>
        <w:rPr>
          <w:rFonts w:ascii="Book Antiqua" w:eastAsia="Times New Roman" w:hAnsi="Book Antiqua" w:cs="Arial"/>
          <w:sz w:val="24"/>
          <w:szCs w:val="20"/>
          <w:lang w:val="es-ES"/>
        </w:rPr>
        <w:t xml:space="preserve">de </w:t>
      </w:r>
      <w:r w:rsidR="00905CEC" w:rsidRPr="00905CEC">
        <w:rPr>
          <w:rFonts w:ascii="Book Antiqua" w:eastAsia="Times New Roman" w:hAnsi="Book Antiqua" w:cs="Arial"/>
          <w:sz w:val="24"/>
          <w:szCs w:val="20"/>
          <w:lang w:val="es-ES"/>
        </w:rPr>
        <w:t>Guánica es un humedal y laguna natural de agua dulce ubicado en Barrio Arena en el</w:t>
      </w:r>
      <w:r w:rsidR="00905CEC">
        <w:rPr>
          <w:rFonts w:ascii="Book Antiqua" w:eastAsia="Times New Roman" w:hAnsi="Book Antiqua" w:cs="Arial"/>
          <w:sz w:val="24"/>
          <w:szCs w:val="20"/>
          <w:lang w:val="es-ES"/>
        </w:rPr>
        <w:t xml:space="preserve"> </w:t>
      </w:r>
      <w:r w:rsidR="00905CEC" w:rsidRPr="00905CEC">
        <w:rPr>
          <w:rFonts w:ascii="Book Antiqua" w:eastAsia="Times New Roman" w:hAnsi="Book Antiqua" w:cs="Arial"/>
          <w:sz w:val="24"/>
          <w:szCs w:val="20"/>
          <w:lang w:val="es-ES"/>
        </w:rPr>
        <w:t>municipio de Guánica, en el suroeste de Puerto Rico. Antes de</w:t>
      </w:r>
      <w:r>
        <w:rPr>
          <w:rFonts w:ascii="Book Antiqua" w:eastAsia="Times New Roman" w:hAnsi="Book Antiqua" w:cs="Arial"/>
          <w:sz w:val="24"/>
          <w:szCs w:val="20"/>
          <w:lang w:val="es-ES"/>
        </w:rPr>
        <w:t xml:space="preserve"> su drenaje en el 1955, la Laguna de </w:t>
      </w:r>
      <w:r w:rsidR="00905CEC" w:rsidRPr="00905CEC">
        <w:rPr>
          <w:rFonts w:ascii="Book Antiqua" w:eastAsia="Times New Roman" w:hAnsi="Book Antiqua" w:cs="Arial"/>
          <w:sz w:val="24"/>
          <w:szCs w:val="20"/>
          <w:lang w:val="es-ES"/>
        </w:rPr>
        <w:t>Guánica en realidad constaba de dos componentes principales</w:t>
      </w:r>
      <w:r>
        <w:rPr>
          <w:rFonts w:ascii="Book Antiqua" w:eastAsia="Times New Roman" w:hAnsi="Book Antiqua" w:cs="Arial"/>
          <w:sz w:val="24"/>
          <w:szCs w:val="20"/>
          <w:lang w:val="es-ES"/>
        </w:rPr>
        <w:t>:</w:t>
      </w:r>
      <w:r w:rsidR="00905CEC" w:rsidRPr="00905CEC">
        <w:rPr>
          <w:rFonts w:ascii="Book Antiqua" w:eastAsia="Times New Roman" w:hAnsi="Book Antiqua" w:cs="Arial"/>
          <w:sz w:val="24"/>
          <w:szCs w:val="20"/>
          <w:lang w:val="es-ES"/>
        </w:rPr>
        <w:t xml:space="preserve"> la Laguna Guánica y</w:t>
      </w:r>
      <w:r w:rsidR="00905CEC">
        <w:rPr>
          <w:rFonts w:ascii="Book Antiqua" w:eastAsia="Times New Roman" w:hAnsi="Book Antiqua" w:cs="Arial"/>
          <w:sz w:val="24"/>
          <w:szCs w:val="20"/>
          <w:lang w:val="es-ES"/>
        </w:rPr>
        <w:t xml:space="preserve"> </w:t>
      </w:r>
      <w:r>
        <w:rPr>
          <w:rFonts w:ascii="Book Antiqua" w:eastAsia="Times New Roman" w:hAnsi="Book Antiqua" w:cs="Arial"/>
          <w:sz w:val="24"/>
          <w:szCs w:val="20"/>
          <w:lang w:val="es-ES"/>
        </w:rPr>
        <w:t xml:space="preserve">la </w:t>
      </w:r>
      <w:r w:rsidR="00905CEC" w:rsidRPr="00905CEC">
        <w:rPr>
          <w:rFonts w:ascii="Book Antiqua" w:eastAsia="Times New Roman" w:hAnsi="Book Antiqua" w:cs="Arial"/>
          <w:sz w:val="24"/>
          <w:szCs w:val="20"/>
          <w:lang w:val="es-ES"/>
        </w:rPr>
        <w:t>Ciénaga El Anegado, una marisma herbácea de agua dulce dominada por la espadaña (</w:t>
      </w:r>
      <w:proofErr w:type="spellStart"/>
      <w:r w:rsidR="00905CEC" w:rsidRPr="00905CEC">
        <w:rPr>
          <w:rFonts w:ascii="Book Antiqua" w:eastAsia="Times New Roman" w:hAnsi="Book Antiqua" w:cs="Arial"/>
          <w:sz w:val="24"/>
          <w:szCs w:val="20"/>
          <w:lang w:val="es-ES"/>
        </w:rPr>
        <w:t>Typha</w:t>
      </w:r>
      <w:proofErr w:type="spellEnd"/>
      <w:r w:rsidR="00905CEC">
        <w:rPr>
          <w:rFonts w:ascii="Book Antiqua" w:eastAsia="Times New Roman" w:hAnsi="Book Antiqua" w:cs="Arial"/>
          <w:sz w:val="24"/>
          <w:szCs w:val="20"/>
          <w:lang w:val="es-ES"/>
        </w:rPr>
        <w:t xml:space="preserve"> </w:t>
      </w:r>
      <w:proofErr w:type="spellStart"/>
      <w:r w:rsidR="00905CEC" w:rsidRPr="00905CEC">
        <w:rPr>
          <w:rFonts w:ascii="Book Antiqua" w:eastAsia="Times New Roman" w:hAnsi="Book Antiqua" w:cs="Arial"/>
          <w:sz w:val="24"/>
          <w:szCs w:val="20"/>
          <w:lang w:val="es-ES"/>
        </w:rPr>
        <w:t>dominguensis</w:t>
      </w:r>
      <w:proofErr w:type="spellEnd"/>
      <w:r w:rsidR="00905CEC" w:rsidRPr="00905CEC">
        <w:rPr>
          <w:rFonts w:ascii="Book Antiqua" w:eastAsia="Times New Roman" w:hAnsi="Book Antiqua" w:cs="Arial"/>
          <w:sz w:val="24"/>
          <w:szCs w:val="20"/>
          <w:lang w:val="es-ES"/>
        </w:rPr>
        <w:t>).</w:t>
      </w:r>
    </w:p>
    <w:p w14:paraId="7EE9AFE1" w14:textId="77777777" w:rsidR="00905CEC" w:rsidRDefault="00905CEC" w:rsidP="00C77449">
      <w:pPr>
        <w:spacing w:after="0" w:line="240" w:lineRule="auto"/>
        <w:ind w:firstLine="720"/>
        <w:jc w:val="both"/>
        <w:rPr>
          <w:rFonts w:ascii="Book Antiqua" w:eastAsia="Times New Roman" w:hAnsi="Book Antiqua" w:cs="Arial"/>
          <w:sz w:val="24"/>
          <w:szCs w:val="20"/>
          <w:lang w:val="es-ES"/>
        </w:rPr>
      </w:pPr>
    </w:p>
    <w:p w14:paraId="5EF1159F" w14:textId="72DA15E0" w:rsidR="00602831" w:rsidRDefault="008C7290" w:rsidP="00C77449">
      <w:pPr>
        <w:spacing w:after="0" w:line="240" w:lineRule="auto"/>
        <w:ind w:firstLine="720"/>
        <w:jc w:val="both"/>
        <w:rPr>
          <w:rFonts w:ascii="Book Antiqua" w:eastAsia="Times New Roman" w:hAnsi="Book Antiqua" w:cs="Arial"/>
          <w:sz w:val="24"/>
          <w:szCs w:val="20"/>
          <w:lang w:val="es-ES"/>
        </w:rPr>
      </w:pPr>
      <w:r w:rsidRPr="008C7290">
        <w:rPr>
          <w:rFonts w:ascii="Book Antiqua" w:eastAsia="Times New Roman" w:hAnsi="Book Antiqua" w:cs="Arial"/>
          <w:sz w:val="24"/>
          <w:szCs w:val="20"/>
          <w:lang w:val="es-ES"/>
        </w:rPr>
        <w:t>Est</w:t>
      </w:r>
      <w:r w:rsidR="0009097D">
        <w:rPr>
          <w:rFonts w:ascii="Book Antiqua" w:eastAsia="Times New Roman" w:hAnsi="Book Antiqua" w:cs="Arial"/>
          <w:sz w:val="24"/>
          <w:szCs w:val="20"/>
          <w:lang w:val="es-ES"/>
        </w:rPr>
        <w:t>e humedal fue drenado</w:t>
      </w:r>
      <w:r w:rsidRPr="008C7290">
        <w:rPr>
          <w:rFonts w:ascii="Book Antiqua" w:eastAsia="Times New Roman" w:hAnsi="Book Antiqua" w:cs="Arial"/>
          <w:sz w:val="24"/>
          <w:szCs w:val="20"/>
          <w:lang w:val="es-ES"/>
        </w:rPr>
        <w:t xml:space="preserve"> en 1955 como parte de un proyecto de desarrollo agrícola en el Valle de Lajas. </w:t>
      </w:r>
      <w:r w:rsidR="00602831">
        <w:rPr>
          <w:rFonts w:ascii="Book Antiqua" w:eastAsia="Times New Roman" w:hAnsi="Book Antiqua" w:cs="Arial"/>
          <w:sz w:val="24"/>
          <w:szCs w:val="20"/>
          <w:lang w:val="es-ES"/>
        </w:rPr>
        <w:t>Dicho proyecto para el desarrollo agrícola del Valle tuvo un costo de $34 millones y el mismo tenía varios propósitos:</w:t>
      </w:r>
    </w:p>
    <w:p w14:paraId="2F283030" w14:textId="77777777" w:rsidR="002E1939" w:rsidRDefault="002E1939" w:rsidP="008C7290">
      <w:pPr>
        <w:spacing w:after="0" w:line="240" w:lineRule="auto"/>
        <w:ind w:firstLine="567"/>
        <w:jc w:val="both"/>
        <w:rPr>
          <w:rFonts w:ascii="Book Antiqua" w:eastAsia="Times New Roman" w:hAnsi="Book Antiqua" w:cs="Arial"/>
          <w:sz w:val="24"/>
          <w:szCs w:val="20"/>
          <w:lang w:val="es-ES"/>
        </w:rPr>
      </w:pPr>
    </w:p>
    <w:p w14:paraId="586D6676" w14:textId="77777777" w:rsidR="00602831" w:rsidRPr="002E1939" w:rsidRDefault="00602831" w:rsidP="002E1939">
      <w:pPr>
        <w:pStyle w:val="Prrafodelista"/>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Lograr una producción agrícola intensiva, poniendo bajo riego 26,000 cuerdas del Valle de Lajas.</w:t>
      </w:r>
    </w:p>
    <w:p w14:paraId="30E892EC" w14:textId="77777777" w:rsidR="00602831" w:rsidRPr="002E1939" w:rsidRDefault="00602831" w:rsidP="002E1939">
      <w:pPr>
        <w:pStyle w:val="Prrafodelista"/>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lastRenderedPageBreak/>
        <w:t>Generar alrededor de 100,000,000 kV-</w:t>
      </w:r>
      <w:proofErr w:type="spellStart"/>
      <w:r w:rsidRPr="002E1939">
        <w:rPr>
          <w:rFonts w:ascii="Book Antiqua" w:eastAsia="Times New Roman" w:hAnsi="Book Antiqua" w:cs="Arial"/>
          <w:sz w:val="24"/>
          <w:szCs w:val="20"/>
          <w:lang w:val="es-ES"/>
        </w:rPr>
        <w:t>hr</w:t>
      </w:r>
      <w:proofErr w:type="spellEnd"/>
      <w:r w:rsidRPr="002E1939">
        <w:rPr>
          <w:rFonts w:ascii="Book Antiqua" w:eastAsia="Times New Roman" w:hAnsi="Book Antiqua" w:cs="Arial"/>
          <w:sz w:val="24"/>
          <w:szCs w:val="20"/>
          <w:lang w:val="es-ES"/>
        </w:rPr>
        <w:t xml:space="preserve"> de energía eléctrica en un año promedio.</w:t>
      </w:r>
    </w:p>
    <w:p w14:paraId="4D96C531" w14:textId="77777777" w:rsidR="00602831" w:rsidRPr="002E1939" w:rsidRDefault="00602831" w:rsidP="002E1939">
      <w:pPr>
        <w:pStyle w:val="Prrafodelista"/>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Proteger los terrenos y comunidades contra las inundaciones de los Ríos Yauco y Loco, mediante los embalses que se construyeron.</w:t>
      </w:r>
    </w:p>
    <w:p w14:paraId="5936E3A8" w14:textId="68EFDA30" w:rsidR="0009097D" w:rsidRPr="002E1939" w:rsidRDefault="00602831" w:rsidP="002E1939">
      <w:pPr>
        <w:pStyle w:val="Prrafodelista"/>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Proveer agua para el consumo de los habitantes de la Región</w:t>
      </w:r>
      <w:r w:rsidR="002E1939" w:rsidRPr="002E1939">
        <w:rPr>
          <w:rFonts w:ascii="Book Antiqua" w:eastAsia="Times New Roman" w:hAnsi="Book Antiqua" w:cs="Arial"/>
          <w:sz w:val="24"/>
          <w:szCs w:val="20"/>
          <w:lang w:val="es-ES"/>
        </w:rPr>
        <w:t xml:space="preserve"> Suroeste de Puerto Rico. </w:t>
      </w:r>
      <w:r w:rsidRPr="002E1939">
        <w:rPr>
          <w:rFonts w:ascii="Book Antiqua" w:eastAsia="Times New Roman" w:hAnsi="Book Antiqua" w:cs="Arial"/>
          <w:sz w:val="24"/>
          <w:szCs w:val="20"/>
          <w:lang w:val="es-ES"/>
        </w:rPr>
        <w:t xml:space="preserve"> </w:t>
      </w:r>
    </w:p>
    <w:p w14:paraId="0FE733C4" w14:textId="77777777" w:rsidR="0009097D" w:rsidRDefault="0009097D" w:rsidP="008C7290">
      <w:pPr>
        <w:spacing w:after="0" w:line="240" w:lineRule="auto"/>
        <w:ind w:firstLine="567"/>
        <w:jc w:val="both"/>
        <w:rPr>
          <w:rFonts w:ascii="Book Antiqua" w:eastAsia="Times New Roman" w:hAnsi="Book Antiqua" w:cs="Arial"/>
          <w:sz w:val="24"/>
          <w:szCs w:val="20"/>
          <w:lang w:val="es-ES"/>
        </w:rPr>
      </w:pPr>
    </w:p>
    <w:p w14:paraId="63AB9A1E" w14:textId="074B86F3" w:rsidR="0009097D" w:rsidRDefault="0009097D" w:rsidP="00C77449">
      <w:pPr>
        <w:spacing w:after="0" w:line="240" w:lineRule="auto"/>
        <w:ind w:firstLine="720"/>
        <w:jc w:val="both"/>
        <w:rPr>
          <w:rFonts w:ascii="Book Antiqua" w:eastAsia="Times New Roman" w:hAnsi="Book Antiqua" w:cs="Arial"/>
          <w:sz w:val="24"/>
          <w:szCs w:val="20"/>
          <w:lang w:val="es-ES"/>
        </w:rPr>
      </w:pPr>
      <w:r>
        <w:rPr>
          <w:rFonts w:ascii="Book Antiqua" w:eastAsia="Times New Roman" w:hAnsi="Book Antiqua" w:cs="Arial"/>
          <w:sz w:val="24"/>
          <w:szCs w:val="20"/>
          <w:lang w:val="es-ES"/>
        </w:rPr>
        <w:t>Existen grupos que optan y desean restaurar los niveles de agua en la zona de la Laguna de Guánica para reestablecer la condición original de la laguna</w:t>
      </w:r>
      <w:r w:rsidR="00030F16">
        <w:rPr>
          <w:rFonts w:ascii="Book Antiqua" w:eastAsia="Times New Roman" w:hAnsi="Book Antiqua" w:cs="Arial"/>
          <w:sz w:val="24"/>
          <w:szCs w:val="20"/>
          <w:lang w:val="es-ES"/>
        </w:rPr>
        <w:t xml:space="preserve">. Ahora bien, tras </w:t>
      </w:r>
      <w:r w:rsidR="00097678">
        <w:rPr>
          <w:rFonts w:ascii="Book Antiqua" w:eastAsia="Times New Roman" w:hAnsi="Book Antiqua" w:cs="Arial"/>
          <w:sz w:val="24"/>
          <w:szCs w:val="20"/>
          <w:lang w:val="es-ES"/>
        </w:rPr>
        <w:t>70</w:t>
      </w:r>
      <w:r w:rsidR="00030F16">
        <w:rPr>
          <w:rFonts w:ascii="Book Antiqua" w:eastAsia="Times New Roman" w:hAnsi="Book Antiqua" w:cs="Arial"/>
          <w:sz w:val="24"/>
          <w:szCs w:val="20"/>
          <w:lang w:val="es-ES"/>
        </w:rPr>
        <w:t xml:space="preserve"> (se</w:t>
      </w:r>
      <w:r w:rsidR="00097678">
        <w:rPr>
          <w:rFonts w:ascii="Book Antiqua" w:eastAsia="Times New Roman" w:hAnsi="Book Antiqua" w:cs="Arial"/>
          <w:sz w:val="24"/>
          <w:szCs w:val="20"/>
          <w:lang w:val="es-ES"/>
        </w:rPr>
        <w:t>t</w:t>
      </w:r>
      <w:r w:rsidR="00030F16">
        <w:rPr>
          <w:rFonts w:ascii="Book Antiqua" w:eastAsia="Times New Roman" w:hAnsi="Book Antiqua" w:cs="Arial"/>
          <w:sz w:val="24"/>
          <w:szCs w:val="20"/>
          <w:lang w:val="es-ES"/>
        </w:rPr>
        <w:t>en</w:t>
      </w:r>
      <w:r w:rsidR="00097678">
        <w:rPr>
          <w:rFonts w:ascii="Book Antiqua" w:eastAsia="Times New Roman" w:hAnsi="Book Antiqua" w:cs="Arial"/>
          <w:sz w:val="24"/>
          <w:szCs w:val="20"/>
          <w:lang w:val="es-ES"/>
        </w:rPr>
        <w:t>ta</w:t>
      </w:r>
      <w:r w:rsidR="00030F16">
        <w:rPr>
          <w:rFonts w:ascii="Book Antiqua" w:eastAsia="Times New Roman" w:hAnsi="Book Antiqua" w:cs="Arial"/>
          <w:sz w:val="24"/>
          <w:szCs w:val="20"/>
          <w:lang w:val="es-ES"/>
        </w:rPr>
        <w:t xml:space="preserve">) años de alteración al ecosistema que se realizó en el 1955, la Laguna de Guánica desarrolló un nuevo hábitat, flora, fauna e incluso se han desarrollado infraestructuras </w:t>
      </w:r>
      <w:proofErr w:type="gramStart"/>
      <w:r w:rsidR="00030F16">
        <w:rPr>
          <w:rFonts w:ascii="Book Antiqua" w:eastAsia="Times New Roman" w:hAnsi="Book Antiqua" w:cs="Arial"/>
          <w:sz w:val="24"/>
          <w:szCs w:val="20"/>
          <w:lang w:val="es-ES"/>
        </w:rPr>
        <w:t>que</w:t>
      </w:r>
      <w:proofErr w:type="gramEnd"/>
      <w:r w:rsidR="00030F16">
        <w:rPr>
          <w:rFonts w:ascii="Book Antiqua" w:eastAsia="Times New Roman" w:hAnsi="Book Antiqua" w:cs="Arial"/>
          <w:sz w:val="24"/>
          <w:szCs w:val="20"/>
          <w:lang w:val="es-ES"/>
        </w:rPr>
        <w:t xml:space="preserve"> aunque a las afueras de la laguna, serían incompatibles con la restauración</w:t>
      </w:r>
      <w:r w:rsidR="00097678">
        <w:rPr>
          <w:rFonts w:ascii="Book Antiqua" w:eastAsia="Times New Roman" w:hAnsi="Book Antiqua" w:cs="Arial"/>
          <w:sz w:val="24"/>
          <w:szCs w:val="20"/>
          <w:lang w:val="es-ES"/>
        </w:rPr>
        <w:t xml:space="preserve"> original</w:t>
      </w:r>
      <w:r w:rsidR="00030F16">
        <w:rPr>
          <w:rFonts w:ascii="Book Antiqua" w:eastAsia="Times New Roman" w:hAnsi="Book Antiqua" w:cs="Arial"/>
          <w:sz w:val="24"/>
          <w:szCs w:val="20"/>
          <w:lang w:val="es-ES"/>
        </w:rPr>
        <w:t xml:space="preserve"> de la misma. </w:t>
      </w:r>
    </w:p>
    <w:p w14:paraId="7D30691D" w14:textId="77777777" w:rsidR="009C5C3E" w:rsidRDefault="009C5C3E" w:rsidP="00C77449">
      <w:pPr>
        <w:spacing w:after="0" w:line="240" w:lineRule="auto"/>
        <w:ind w:firstLine="720"/>
        <w:jc w:val="both"/>
        <w:rPr>
          <w:rFonts w:ascii="Book Antiqua" w:eastAsia="Times New Roman" w:hAnsi="Book Antiqua" w:cs="Arial"/>
          <w:sz w:val="24"/>
          <w:szCs w:val="20"/>
          <w:lang w:val="es-ES"/>
        </w:rPr>
      </w:pPr>
    </w:p>
    <w:p w14:paraId="022FD5ED" w14:textId="74E4BB2F" w:rsidR="009C5C3E" w:rsidRDefault="009C5C3E" w:rsidP="00C77449">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ES"/>
        </w:rPr>
        <w:t xml:space="preserve">Un estudio realizado por Morris </w:t>
      </w:r>
      <w:proofErr w:type="spellStart"/>
      <w:r>
        <w:rPr>
          <w:rFonts w:ascii="Book Antiqua" w:eastAsia="Times New Roman" w:hAnsi="Book Antiqua" w:cs="Arial"/>
          <w:sz w:val="24"/>
          <w:szCs w:val="20"/>
          <w:lang w:val="es-ES"/>
        </w:rPr>
        <w:t>Eingeneering</w:t>
      </w:r>
      <w:proofErr w:type="spellEnd"/>
      <w:r>
        <w:rPr>
          <w:rFonts w:ascii="Book Antiqua" w:eastAsia="Times New Roman" w:hAnsi="Book Antiqua" w:cs="Arial"/>
          <w:sz w:val="24"/>
          <w:szCs w:val="20"/>
          <w:lang w:val="es-ES"/>
        </w:rPr>
        <w:t xml:space="preserve"> en el año 2011 para </w:t>
      </w:r>
      <w:r w:rsidRPr="009C5C3E">
        <w:rPr>
          <w:rFonts w:ascii="Book Antiqua" w:eastAsia="Times New Roman" w:hAnsi="Book Antiqua" w:cs="Arial"/>
          <w:sz w:val="24"/>
          <w:szCs w:val="20"/>
          <w:lang w:val="es-PR"/>
        </w:rPr>
        <w:t xml:space="preserve">Center </w:t>
      </w:r>
      <w:proofErr w:type="spellStart"/>
      <w:r w:rsidRPr="009C5C3E">
        <w:rPr>
          <w:rFonts w:ascii="Book Antiqua" w:eastAsia="Times New Roman" w:hAnsi="Book Antiqua" w:cs="Arial"/>
          <w:sz w:val="24"/>
          <w:szCs w:val="20"/>
          <w:lang w:val="es-PR"/>
        </w:rPr>
        <w:t>for</w:t>
      </w:r>
      <w:proofErr w:type="spellEnd"/>
      <w:r w:rsidRPr="009C5C3E">
        <w:rPr>
          <w:rFonts w:ascii="Book Antiqua" w:eastAsia="Times New Roman" w:hAnsi="Book Antiqua" w:cs="Arial"/>
          <w:sz w:val="24"/>
          <w:szCs w:val="20"/>
          <w:lang w:val="es-PR"/>
        </w:rPr>
        <w:t xml:space="preserve"> </w:t>
      </w:r>
      <w:proofErr w:type="spellStart"/>
      <w:r w:rsidRPr="009C5C3E">
        <w:rPr>
          <w:rFonts w:ascii="Book Antiqua" w:eastAsia="Times New Roman" w:hAnsi="Book Antiqua" w:cs="Arial"/>
          <w:sz w:val="24"/>
          <w:szCs w:val="20"/>
          <w:lang w:val="es-PR"/>
        </w:rPr>
        <w:t>Watershed</w:t>
      </w:r>
      <w:proofErr w:type="spellEnd"/>
      <w:r w:rsidRPr="009C5C3E">
        <w:rPr>
          <w:rFonts w:ascii="Book Antiqua" w:eastAsia="Times New Roman" w:hAnsi="Book Antiqua" w:cs="Arial"/>
          <w:sz w:val="24"/>
          <w:szCs w:val="20"/>
          <w:lang w:val="es-PR"/>
        </w:rPr>
        <w:t xml:space="preserve"> </w:t>
      </w:r>
      <w:proofErr w:type="spellStart"/>
      <w:r w:rsidRPr="009C5C3E">
        <w:rPr>
          <w:rFonts w:ascii="Book Antiqua" w:eastAsia="Times New Roman" w:hAnsi="Book Antiqua" w:cs="Arial"/>
          <w:sz w:val="24"/>
          <w:szCs w:val="20"/>
          <w:lang w:val="es-PR"/>
        </w:rPr>
        <w:t>Protection</w:t>
      </w:r>
      <w:proofErr w:type="spellEnd"/>
      <w:r w:rsidR="00FD2D7F">
        <w:rPr>
          <w:rFonts w:ascii="Book Antiqua" w:eastAsia="Times New Roman" w:hAnsi="Book Antiqua" w:cs="Arial"/>
          <w:sz w:val="24"/>
          <w:szCs w:val="20"/>
          <w:lang w:val="es-PR"/>
        </w:rPr>
        <w:t xml:space="preserve"> titulado “</w:t>
      </w:r>
      <w:r w:rsidR="00FD2D7F" w:rsidRPr="00FD2D7F">
        <w:rPr>
          <w:rFonts w:ascii="Book Antiqua" w:eastAsia="Times New Roman" w:hAnsi="Book Antiqua" w:cs="Arial"/>
          <w:sz w:val="24"/>
          <w:szCs w:val="20"/>
          <w:lang w:val="es-PR"/>
        </w:rPr>
        <w:t>HYDROLOGIC-HYDRAULIC STUDY OF LAGUNA GUANICA RESTORATION IMPACTS ON REGULATORY FLOOD LEVELS, GUANICA, PUERTO RICO</w:t>
      </w:r>
      <w:r w:rsidR="00FD2D7F">
        <w:rPr>
          <w:rFonts w:ascii="Book Antiqua" w:eastAsia="Times New Roman" w:hAnsi="Book Antiqua" w:cs="Arial"/>
          <w:sz w:val="24"/>
          <w:szCs w:val="20"/>
          <w:lang w:val="es-PR"/>
        </w:rPr>
        <w:t>”</w:t>
      </w:r>
      <w:r>
        <w:rPr>
          <w:rFonts w:ascii="Book Antiqua" w:eastAsia="Times New Roman" w:hAnsi="Book Antiqua" w:cs="Arial"/>
          <w:sz w:val="24"/>
          <w:szCs w:val="20"/>
          <w:lang w:val="es-PR"/>
        </w:rPr>
        <w:t xml:space="preserve"> y el cual se encuentra en la página oficial de la Administración Nacional Oceánica y Atmosférica (NOAA), presentó como Resumen y Conclusión los siguiente</w:t>
      </w:r>
      <w:r w:rsidR="007847F7">
        <w:rPr>
          <w:rFonts w:ascii="Book Antiqua" w:eastAsia="Times New Roman" w:hAnsi="Book Antiqua" w:cs="Arial"/>
          <w:sz w:val="24"/>
          <w:szCs w:val="20"/>
          <w:lang w:val="es-PR"/>
        </w:rPr>
        <w:t>s puntos</w:t>
      </w:r>
      <w:r>
        <w:rPr>
          <w:rFonts w:ascii="Book Antiqua" w:eastAsia="Times New Roman" w:hAnsi="Book Antiqua" w:cs="Arial"/>
          <w:sz w:val="24"/>
          <w:szCs w:val="20"/>
          <w:lang w:val="es-PR"/>
        </w:rPr>
        <w:t xml:space="preserve">: </w:t>
      </w:r>
    </w:p>
    <w:p w14:paraId="18EA76B2" w14:textId="77777777" w:rsidR="009C5C3E" w:rsidRDefault="009C5C3E" w:rsidP="008C7290">
      <w:pPr>
        <w:spacing w:after="0" w:line="240" w:lineRule="auto"/>
        <w:ind w:firstLine="567"/>
        <w:jc w:val="both"/>
        <w:rPr>
          <w:rFonts w:ascii="Book Antiqua" w:eastAsia="Times New Roman" w:hAnsi="Book Antiqua" w:cs="Arial"/>
          <w:sz w:val="24"/>
          <w:szCs w:val="20"/>
          <w:lang w:val="es-PR"/>
        </w:rPr>
      </w:pPr>
    </w:p>
    <w:p w14:paraId="50AFC20B" w14:textId="77777777" w:rsidR="009C5C3E" w:rsidRPr="007847F7" w:rsidRDefault="009C5C3E" w:rsidP="007847F7">
      <w:pPr>
        <w:pStyle w:val="Prrafodelista"/>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sz w:val="24"/>
          <w:szCs w:val="20"/>
          <w:lang w:val="es-ES"/>
        </w:rPr>
        <w:t>El análisis HH previo realizado por nuestra firma en 1998 para el DRNA, “Análisis hidrológico e hidráulico: Impactos de la restauración de la laguna de Guánica en los niveles de inundación regulatorios”, utilizó datos de precipitación extraídos del ahora obsoleto Documento Técnico 42 (TP-42) para analizar las condiciones existentes y propuestas en la laguna de Guánica y el valle de Lajas para un aumento permisible de 0.3 m en las elevaciones de inundación base.</w:t>
      </w:r>
    </w:p>
    <w:p w14:paraId="177AA3FA" w14:textId="77777777" w:rsidR="009C5C3E" w:rsidRPr="007847F7" w:rsidRDefault="009C5C3E" w:rsidP="007847F7">
      <w:pPr>
        <w:pStyle w:val="Prrafodelista"/>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sz w:val="24"/>
          <w:szCs w:val="20"/>
          <w:lang w:val="es-ES"/>
        </w:rPr>
        <w:t xml:space="preserve">Según el Reglamento </w:t>
      </w:r>
      <w:proofErr w:type="spellStart"/>
      <w:r w:rsidRPr="007847F7">
        <w:rPr>
          <w:rFonts w:ascii="Book Antiqua" w:eastAsia="Times New Roman" w:hAnsi="Book Antiqua" w:cs="Arial"/>
          <w:sz w:val="24"/>
          <w:szCs w:val="20"/>
          <w:lang w:val="es-ES"/>
        </w:rPr>
        <w:t>n.°</w:t>
      </w:r>
      <w:proofErr w:type="spellEnd"/>
      <w:r w:rsidRPr="007847F7">
        <w:rPr>
          <w:rFonts w:ascii="Book Antiqua" w:eastAsia="Times New Roman" w:hAnsi="Book Antiqua" w:cs="Arial"/>
          <w:sz w:val="24"/>
          <w:szCs w:val="20"/>
          <w:lang w:val="es-ES"/>
        </w:rPr>
        <w:t xml:space="preserve"> 13 de la Junta de Planificación de Puerto Rico, revisado el 7 de enero de 2010, la restauración propuesta de la laguna no deberá aumentar las cotas de inundación base (evento de 100 años) en todo el Valle de Lajas en más de 0.15 metros. Nuestro estudio previo de HH, basado en una versión anterior del Reglamento </w:t>
      </w:r>
      <w:proofErr w:type="spellStart"/>
      <w:r w:rsidRPr="007847F7">
        <w:rPr>
          <w:rFonts w:ascii="Book Antiqua" w:eastAsia="Times New Roman" w:hAnsi="Book Antiqua" w:cs="Arial"/>
          <w:sz w:val="24"/>
          <w:szCs w:val="20"/>
          <w:lang w:val="es-ES"/>
        </w:rPr>
        <w:t>n.°</w:t>
      </w:r>
      <w:proofErr w:type="spellEnd"/>
      <w:r w:rsidRPr="007847F7">
        <w:rPr>
          <w:rFonts w:ascii="Book Antiqua" w:eastAsia="Times New Roman" w:hAnsi="Book Antiqua" w:cs="Arial"/>
          <w:sz w:val="24"/>
          <w:szCs w:val="20"/>
          <w:lang w:val="es-ES"/>
        </w:rPr>
        <w:t xml:space="preserve"> 13, analizó la restauración propuesta de la laguna con un aumento permisible de la cota de inundación base de 0.3 metros. El presente análisis revisa el estudio previo de HH para determinar el nivel de agua de la laguna propuesto, el cual no aumentará las cotas de inundación base en más de 0.15 m.</w:t>
      </w:r>
    </w:p>
    <w:p w14:paraId="74A1B538" w14:textId="621D4C32" w:rsidR="009C5C3E" w:rsidRPr="007847F7" w:rsidRDefault="009C5C3E" w:rsidP="007847F7">
      <w:pPr>
        <w:pStyle w:val="Prrafodelista"/>
        <w:numPr>
          <w:ilvl w:val="0"/>
          <w:numId w:val="1"/>
        </w:numPr>
        <w:spacing w:line="240" w:lineRule="auto"/>
        <w:ind w:left="1080" w:right="720"/>
        <w:jc w:val="both"/>
        <w:rPr>
          <w:rFonts w:ascii="Book Antiqua" w:eastAsia="Times New Roman" w:hAnsi="Book Antiqua" w:cs="Arial"/>
          <w:sz w:val="24"/>
          <w:lang w:val="es-PR"/>
        </w:rPr>
      </w:pPr>
      <w:r w:rsidRPr="007847F7">
        <w:rPr>
          <w:rFonts w:ascii="Book Antiqua" w:eastAsia="Times New Roman" w:hAnsi="Book Antiqua" w:cs="Arial"/>
          <w:sz w:val="24"/>
          <w:lang w:val="es-ES"/>
        </w:rPr>
        <w:t>Este informe también actualiza modelos anteriores para incorporar datos recientes de precipitaciones obtenidos del Atlas 14 de la NOAA, publicado el 26 de octubre de 2006.</w:t>
      </w:r>
    </w:p>
    <w:p w14:paraId="688D80A3" w14:textId="77777777" w:rsidR="009C5C3E" w:rsidRPr="007847F7" w:rsidRDefault="009C5C3E" w:rsidP="007847F7">
      <w:pPr>
        <w:pStyle w:val="Prrafodelista"/>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sz w:val="24"/>
          <w:szCs w:val="20"/>
          <w:lang w:val="es-ES"/>
        </w:rPr>
        <w:t xml:space="preserve">La restauración de un nivel de agua de 2,7 o 3,1 m en la laguna no producirá un aumento en el nivel de inundación reglamentario de 100 </w:t>
      </w:r>
      <w:r w:rsidRPr="007847F7">
        <w:rPr>
          <w:rFonts w:ascii="Book Antiqua" w:eastAsia="Times New Roman" w:hAnsi="Book Antiqua" w:cs="Arial"/>
          <w:sz w:val="24"/>
          <w:szCs w:val="20"/>
          <w:lang w:val="es-ES"/>
        </w:rPr>
        <w:lastRenderedPageBreak/>
        <w:t>años mayor que los 0,15 m permitidos por las disposiciones del Reglamento n.º 13 de la Junta de Planificación, “Regulación de zonas sujetas a inundaciones”, de fecha 10 de enero de 2010.</w:t>
      </w:r>
    </w:p>
    <w:p w14:paraId="32039C92" w14:textId="4F07B9AA" w:rsidR="009C5C3E" w:rsidRPr="007847F7" w:rsidRDefault="009C5C3E" w:rsidP="007847F7">
      <w:pPr>
        <w:pStyle w:val="Prrafodelista"/>
        <w:numPr>
          <w:ilvl w:val="0"/>
          <w:numId w:val="1"/>
        </w:numPr>
        <w:spacing w:after="0" w:line="240" w:lineRule="auto"/>
        <w:ind w:left="1080" w:right="720"/>
        <w:jc w:val="both"/>
        <w:rPr>
          <w:rFonts w:ascii="Book Antiqua" w:eastAsia="Times New Roman" w:hAnsi="Book Antiqua" w:cs="Arial"/>
          <w:sz w:val="24"/>
          <w:szCs w:val="20"/>
          <w:lang w:val="es-PR"/>
        </w:rPr>
      </w:pPr>
      <w:r w:rsidRPr="007847F7">
        <w:rPr>
          <w:rFonts w:ascii="Book Antiqua" w:eastAsia="Times New Roman" w:hAnsi="Book Antiqua" w:cs="Arial"/>
          <w:b/>
          <w:bCs/>
          <w:sz w:val="24"/>
          <w:szCs w:val="20"/>
          <w:lang w:val="es-ES"/>
        </w:rPr>
        <w:t>Llenar la laguna hasta su nivel original de agua de 3,4 m-msnm producirá un aumento en la elevación de inundación base de más de 0,15 m, lo que incumple la normativa estatal</w:t>
      </w:r>
      <w:r w:rsidRPr="007847F7">
        <w:rPr>
          <w:rFonts w:ascii="Book Antiqua" w:eastAsia="Times New Roman" w:hAnsi="Book Antiqua" w:cs="Arial"/>
          <w:sz w:val="24"/>
          <w:szCs w:val="20"/>
          <w:lang w:val="es-ES"/>
        </w:rPr>
        <w:t>.</w:t>
      </w:r>
      <w:r w:rsidR="007847F7">
        <w:rPr>
          <w:rFonts w:ascii="Book Antiqua" w:eastAsia="Times New Roman" w:hAnsi="Book Antiqua" w:cs="Arial"/>
          <w:sz w:val="24"/>
          <w:szCs w:val="20"/>
          <w:lang w:val="es-ES"/>
        </w:rPr>
        <w:t xml:space="preserve"> (Énfasis nuestro).</w:t>
      </w:r>
    </w:p>
    <w:p w14:paraId="64D978B6" w14:textId="7AB20B65" w:rsidR="009C5C3E" w:rsidRDefault="009C5C3E" w:rsidP="008C7290">
      <w:pPr>
        <w:spacing w:after="0" w:line="240" w:lineRule="auto"/>
        <w:ind w:firstLine="567"/>
        <w:jc w:val="both"/>
        <w:rPr>
          <w:rFonts w:ascii="Book Antiqua" w:eastAsia="Times New Roman" w:hAnsi="Book Antiqua" w:cs="Arial"/>
          <w:sz w:val="24"/>
          <w:szCs w:val="20"/>
          <w:lang w:val="es-PR"/>
        </w:rPr>
      </w:pPr>
    </w:p>
    <w:p w14:paraId="3781B381" w14:textId="02C9103D" w:rsidR="001D6FE0" w:rsidRDefault="001D6FE0" w:rsidP="00C77449">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Otro estudio realizado por varios catedráticos de la Universidad de Puerto Rico, recinto de Mayagüez en 2012</w:t>
      </w:r>
      <w:r w:rsidR="00100151">
        <w:rPr>
          <w:rFonts w:ascii="Book Antiqua" w:eastAsia="Times New Roman" w:hAnsi="Book Antiqua" w:cs="Arial"/>
          <w:sz w:val="24"/>
          <w:szCs w:val="20"/>
          <w:lang w:val="es-PR"/>
        </w:rPr>
        <w:t>,</w:t>
      </w:r>
      <w:r>
        <w:rPr>
          <w:rFonts w:ascii="Book Antiqua" w:eastAsia="Times New Roman" w:hAnsi="Book Antiqua" w:cs="Arial"/>
          <w:sz w:val="24"/>
          <w:szCs w:val="20"/>
          <w:lang w:val="es-PR"/>
        </w:rPr>
        <w:t xml:space="preserve"> titulado “LA PERSPECTIVA AGRÍCOLA EN TORNO AL PROYECTO DE INUNDACIÓN DEL ÁREA DE LA ANTIGUA LAGUNA DE GUÁNICA” concluyó</w:t>
      </w:r>
      <w:r w:rsidR="00100151">
        <w:rPr>
          <w:rFonts w:ascii="Book Antiqua" w:eastAsia="Times New Roman" w:hAnsi="Book Antiqua" w:cs="Arial"/>
          <w:sz w:val="24"/>
          <w:szCs w:val="20"/>
          <w:lang w:val="es-PR"/>
        </w:rPr>
        <w:t xml:space="preserve"> a grandes rasgos lo siguiente:</w:t>
      </w:r>
    </w:p>
    <w:p w14:paraId="429493E7" w14:textId="77777777" w:rsidR="00100151" w:rsidRDefault="00100151" w:rsidP="00E668B1">
      <w:pPr>
        <w:spacing w:after="0" w:line="240" w:lineRule="auto"/>
        <w:jc w:val="both"/>
        <w:rPr>
          <w:rFonts w:ascii="Book Antiqua" w:eastAsia="Times New Roman" w:hAnsi="Book Antiqua" w:cs="Arial"/>
          <w:sz w:val="24"/>
          <w:szCs w:val="20"/>
          <w:lang w:val="es-PR"/>
        </w:rPr>
      </w:pPr>
    </w:p>
    <w:p w14:paraId="2D23746C" w14:textId="0753D031" w:rsidR="00100151" w:rsidRPr="009C5C3E" w:rsidRDefault="00100151" w:rsidP="00E668B1">
      <w:pPr>
        <w:spacing w:after="0" w:line="240" w:lineRule="auto"/>
        <w:ind w:left="720" w:right="720" w:firstLine="562"/>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La Laguna de Guánica fue drenada para viabilizar la agricultura del Valle de Lajas y este propósito todavía sigue vigente; especialmente en el contexto de que los suelos son clasificados como “Prime </w:t>
      </w:r>
      <w:proofErr w:type="spellStart"/>
      <w:r>
        <w:rPr>
          <w:rFonts w:ascii="Book Antiqua" w:eastAsia="Times New Roman" w:hAnsi="Book Antiqua" w:cs="Arial"/>
          <w:sz w:val="24"/>
          <w:szCs w:val="20"/>
          <w:lang w:val="es-PR"/>
        </w:rPr>
        <w:t>Farmland</w:t>
      </w:r>
      <w:proofErr w:type="spellEnd"/>
      <w:r>
        <w:rPr>
          <w:rFonts w:ascii="Book Antiqua" w:eastAsia="Times New Roman" w:hAnsi="Book Antiqua" w:cs="Arial"/>
          <w:sz w:val="24"/>
          <w:szCs w:val="20"/>
          <w:lang w:val="es-PR"/>
        </w:rPr>
        <w:t>”, y que son parte de la Reserva Agrícola del Valle de Lajas. El sistema de drenaje en el Valle de Lajas ha servido eficientemente para controlar la humedad de los suelos y la presencia de sales. Inundar un área como la propuesta implicaría</w:t>
      </w:r>
      <w:r w:rsidR="00E668B1">
        <w:rPr>
          <w:rFonts w:ascii="Book Antiqua" w:eastAsia="Times New Roman" w:hAnsi="Book Antiqua" w:cs="Arial"/>
          <w:sz w:val="24"/>
          <w:szCs w:val="20"/>
          <w:lang w:val="es-PR"/>
        </w:rPr>
        <w:t xml:space="preserve"> la creación de un humedal y por reglamentos vigentes, sería un proceso que no tendría marcha atrás; se convertiría en una acción irrevocable. Estas y otras consideraciones agrícolas son las que debe adopt</w:t>
      </w:r>
      <w:r w:rsidR="00D95F76">
        <w:rPr>
          <w:rFonts w:ascii="Book Antiqua" w:eastAsia="Times New Roman" w:hAnsi="Book Antiqua" w:cs="Arial"/>
          <w:sz w:val="24"/>
          <w:szCs w:val="20"/>
          <w:lang w:val="es-PR"/>
        </w:rPr>
        <w:t>a</w:t>
      </w:r>
      <w:r w:rsidR="00E668B1">
        <w:rPr>
          <w:rFonts w:ascii="Book Antiqua" w:eastAsia="Times New Roman" w:hAnsi="Book Antiqua" w:cs="Arial"/>
          <w:sz w:val="24"/>
          <w:szCs w:val="20"/>
          <w:lang w:val="es-PR"/>
        </w:rPr>
        <w:t>r la legislatura y el gobierno para evaluar cualquier proyecto que pueda atentar contra la integridad agrícola del área. Son científicos agrícolas los que, en todo caso, deben evaluar cualquier proyecto que pueda tener un impacto en el Valle de Lajas. […]</w:t>
      </w:r>
    </w:p>
    <w:p w14:paraId="2281D19B" w14:textId="77777777" w:rsidR="00030F16" w:rsidRDefault="00030F16" w:rsidP="008C7290">
      <w:pPr>
        <w:spacing w:after="0" w:line="240" w:lineRule="auto"/>
        <w:ind w:firstLine="567"/>
        <w:jc w:val="both"/>
        <w:rPr>
          <w:rFonts w:ascii="Book Antiqua" w:eastAsia="Times New Roman" w:hAnsi="Book Antiqua" w:cs="Arial"/>
          <w:sz w:val="24"/>
          <w:szCs w:val="20"/>
          <w:lang w:val="es-ES"/>
        </w:rPr>
      </w:pPr>
    </w:p>
    <w:p w14:paraId="2C7A6D5B" w14:textId="4FD05B85" w:rsidR="00030F16" w:rsidRDefault="00030F16" w:rsidP="00C77449">
      <w:pPr>
        <w:spacing w:after="0" w:line="240" w:lineRule="auto"/>
        <w:ind w:firstLine="720"/>
        <w:jc w:val="both"/>
        <w:rPr>
          <w:rFonts w:ascii="Book Antiqua" w:eastAsia="Times New Roman" w:hAnsi="Book Antiqua" w:cs="Arial"/>
          <w:sz w:val="24"/>
          <w:szCs w:val="20"/>
          <w:lang w:val="es-ES"/>
        </w:rPr>
      </w:pPr>
      <w:r>
        <w:rPr>
          <w:rFonts w:ascii="Book Antiqua" w:eastAsia="Times New Roman" w:hAnsi="Book Antiqua" w:cs="Arial"/>
          <w:sz w:val="24"/>
          <w:szCs w:val="20"/>
          <w:lang w:val="es-ES"/>
        </w:rPr>
        <w:t xml:space="preserve">Por lo anterior, es más que necesario que previo a la restauración de la Laguna de Guánica, a su estado original, se realice un estudio exhaustivo, sustentado por fuentes científicas, que acredite la viabilidad de restaurar a su estado original la laguna. Por otra parte, un estudio exhaustivo sobre el asunto también podría arrojar luz </w:t>
      </w:r>
      <w:r w:rsidR="00097678">
        <w:rPr>
          <w:rFonts w:ascii="Book Antiqua" w:eastAsia="Times New Roman" w:hAnsi="Book Antiqua" w:cs="Arial"/>
          <w:sz w:val="24"/>
          <w:szCs w:val="20"/>
          <w:lang w:val="es-ES"/>
        </w:rPr>
        <w:t>sobre</w:t>
      </w:r>
      <w:r>
        <w:rPr>
          <w:rFonts w:ascii="Book Antiqua" w:eastAsia="Times New Roman" w:hAnsi="Book Antiqua" w:cs="Arial"/>
          <w:sz w:val="24"/>
          <w:szCs w:val="20"/>
          <w:lang w:val="es-ES"/>
        </w:rPr>
        <w:t xml:space="preserve"> otras formas de </w:t>
      </w:r>
      <w:r w:rsidR="00097678">
        <w:rPr>
          <w:rFonts w:ascii="Book Antiqua" w:eastAsia="Times New Roman" w:hAnsi="Book Antiqua" w:cs="Arial"/>
          <w:sz w:val="24"/>
          <w:szCs w:val="20"/>
          <w:lang w:val="es-ES"/>
        </w:rPr>
        <w:t>propiciar el desarrollo de flora, fauna, actividades sociales y económicas del área de la laguna</w:t>
      </w:r>
      <w:r w:rsidR="00D95F76">
        <w:rPr>
          <w:rFonts w:ascii="Book Antiqua" w:eastAsia="Times New Roman" w:hAnsi="Book Antiqua" w:cs="Arial"/>
          <w:sz w:val="24"/>
          <w:szCs w:val="20"/>
          <w:lang w:val="es-ES"/>
        </w:rPr>
        <w:t xml:space="preserve"> sin trastocar lo ya logrado en el área de la laguna y el Valle de Lajas como los canales de riego y los terrenos dedicados a fines agrícolas. </w:t>
      </w:r>
    </w:p>
    <w:p w14:paraId="2C0C5C26" w14:textId="77777777" w:rsidR="007531D1" w:rsidRDefault="007531D1" w:rsidP="00183506">
      <w:pPr>
        <w:spacing w:after="0" w:line="240" w:lineRule="auto"/>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1"/>
          <w:headerReference w:type="first" r:id="rId12"/>
          <w:pgSz w:w="12240" w:h="15840" w:code="1"/>
          <w:pgMar w:top="1440" w:right="1440" w:bottom="1440" w:left="1440" w:header="720" w:footer="720" w:gutter="0"/>
          <w:cols w:space="720"/>
          <w:titlePg/>
          <w:docGrid w:linePitch="326"/>
        </w:sectPr>
      </w:pPr>
    </w:p>
    <w:p w14:paraId="2A1BCDED" w14:textId="6FC0F435" w:rsidR="00714F2A" w:rsidRPr="00896105" w:rsidRDefault="00E057F4" w:rsidP="00880507">
      <w:pPr>
        <w:spacing w:after="0" w:line="480" w:lineRule="auto"/>
        <w:ind w:firstLine="567"/>
        <w:jc w:val="both"/>
        <w:rPr>
          <w:rFonts w:ascii="Book Antiqua" w:hAnsi="Book Antiqua"/>
          <w:sz w:val="24"/>
          <w:szCs w:val="24"/>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183506" w:rsidRPr="00183506">
        <w:rPr>
          <w:rFonts w:ascii="Book Antiqua" w:eastAsia="Times New Roman" w:hAnsi="Book Antiqua" w:cs="Times New Roman"/>
          <w:sz w:val="24"/>
          <w:szCs w:val="20"/>
          <w:lang w:val="es-PR"/>
        </w:rPr>
        <w:t xml:space="preserve">ordena a la </w:t>
      </w:r>
      <w:r w:rsidR="00183506" w:rsidRPr="00183506">
        <w:rPr>
          <w:rFonts w:ascii="Book Antiqua" w:eastAsia="Times New Roman" w:hAnsi="Book Antiqua" w:cs="Times New Roman"/>
          <w:bCs/>
          <w:sz w:val="24"/>
          <w:szCs w:val="20"/>
          <w:lang w:val="es-MX"/>
        </w:rPr>
        <w:t xml:space="preserve">Comisión de Vivienda y Desarrollo Urbano </w:t>
      </w:r>
      <w:r w:rsidR="00183506" w:rsidRPr="00183506">
        <w:rPr>
          <w:rFonts w:ascii="Book Antiqua" w:eastAsia="Times New Roman" w:hAnsi="Book Antiqua" w:cs="Times New Roman"/>
          <w:sz w:val="24"/>
          <w:szCs w:val="20"/>
          <w:lang w:val="es-PR"/>
        </w:rPr>
        <w:t xml:space="preserve">de la Cámara de Representantes del Gobierno de Puerto Rico, realizar una investigación exhaustiva sobre el estado de restauración de la Laguna de Guánica, </w:t>
      </w:r>
      <w:proofErr w:type="spellStart"/>
      <w:r w:rsidR="00183506" w:rsidRPr="00183506">
        <w:rPr>
          <w:rFonts w:ascii="Book Antiqua" w:eastAsia="Times New Roman" w:hAnsi="Book Antiqua" w:cs="Times New Roman"/>
          <w:sz w:val="24"/>
          <w:szCs w:val="20"/>
          <w:lang w:val="es-PR"/>
        </w:rPr>
        <w:t>permisología</w:t>
      </w:r>
      <w:proofErr w:type="spellEnd"/>
      <w:r w:rsidR="00183506" w:rsidRPr="00183506">
        <w:rPr>
          <w:rFonts w:ascii="Book Antiqua" w:eastAsia="Times New Roman" w:hAnsi="Book Antiqua" w:cs="Times New Roman"/>
          <w:sz w:val="24"/>
          <w:szCs w:val="20"/>
          <w:lang w:val="es-PR"/>
        </w:rPr>
        <w:t xml:space="preserve"> vigente, aprobación económica establecida por las entidades pertinentes, consecuencias directas </w:t>
      </w:r>
      <w:r w:rsidR="00183506" w:rsidRPr="00183506">
        <w:rPr>
          <w:rFonts w:ascii="Book Antiqua" w:eastAsia="Times New Roman" w:hAnsi="Book Antiqua" w:cs="Times New Roman"/>
          <w:sz w:val="24"/>
          <w:szCs w:val="20"/>
          <w:lang w:val="es-PR"/>
        </w:rPr>
        <w:lastRenderedPageBreak/>
        <w:t>para las poblaciones y comunidades cercanas a la Laguna, alteración del actual ecosistema que se ha desarrollado tras su drenaje, suelos a impactarse, entre otros asuntos con el fin de auscultar su viabilidad, si afectará negativamente el área, consecuencias económicas para el área; y para otros fines relacionados</w:t>
      </w:r>
      <w:r w:rsidR="00183506">
        <w:rPr>
          <w:rFonts w:ascii="Book Antiqua" w:eastAsia="Times New Roman" w:hAnsi="Book Antiqua" w:cs="Times New Roman"/>
          <w:sz w:val="24"/>
          <w:szCs w:val="20"/>
          <w:lang w:val="es-PR"/>
        </w:rPr>
        <w:t xml:space="preserve">. </w:t>
      </w:r>
    </w:p>
    <w:p w14:paraId="67564E7E" w14:textId="3209EF90"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06525879" w:rsidR="00880507" w:rsidRPr="00896105" w:rsidRDefault="009F31B7" w:rsidP="00896105">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3.-La</w:t>
      </w:r>
      <w:r w:rsidR="00C61EF6" w:rsidRPr="00896105">
        <w:rPr>
          <w:rFonts w:ascii="Book Antiqua" w:eastAsia="Times New Roman" w:hAnsi="Book Antiqua" w:cs="Times New Roman"/>
          <w:sz w:val="24"/>
          <w:szCs w:val="20"/>
          <w:lang w:val="es-PR"/>
        </w:rPr>
        <w:t xml:space="preserve"> Comisión tendrá la responsabilidad de someter informes parciales y aquellos necesarios, con los hallazgos y recomendaciones a medida que se desarrollen los trabajos, investigaciones y análisis pertinentes relacionados.</w:t>
      </w:r>
      <w:r w:rsidR="00880507" w:rsidRPr="00896105">
        <w:rPr>
          <w:rFonts w:ascii="Book Antiqua" w:eastAsia="Times New Roman" w:hAnsi="Book Antiqua" w:cs="Times New Roman"/>
          <w:sz w:val="24"/>
          <w:szCs w:val="20"/>
          <w:lang w:val="es-PR"/>
        </w:rPr>
        <w:t xml:space="preserve"> </w:t>
      </w:r>
      <w:r w:rsidR="00457A32" w:rsidRPr="00896105">
        <w:rPr>
          <w:rFonts w:ascii="Book Antiqua" w:eastAsia="Times New Roman" w:hAnsi="Book Antiqua" w:cs="Times New Roman"/>
          <w:sz w:val="24"/>
          <w:szCs w:val="20"/>
          <w:lang w:val="es-PR"/>
        </w:rPr>
        <w:t>De igual manera</w:t>
      </w:r>
      <w:r w:rsidR="00FB6AC5" w:rsidRPr="00896105">
        <w:rPr>
          <w:rFonts w:ascii="Book Antiqua" w:eastAsia="Times New Roman" w:hAnsi="Book Antiqua" w:cs="Times New Roman"/>
          <w:sz w:val="24"/>
          <w:szCs w:val="20"/>
          <w:lang w:val="es-PR"/>
        </w:rPr>
        <w:t>,</w:t>
      </w:r>
      <w:r w:rsidR="008F2C5A" w:rsidRPr="00896105">
        <w:rPr>
          <w:rFonts w:ascii="Book Antiqua" w:eastAsia="Times New Roman" w:hAnsi="Book Antiqua" w:cs="Times New Roman"/>
          <w:sz w:val="24"/>
          <w:szCs w:val="20"/>
          <w:lang w:val="es-PR"/>
        </w:rPr>
        <w:t xml:space="preserve"> s</w:t>
      </w:r>
      <w:proofErr w:type="spellStart"/>
      <w:r w:rsidR="00E22FBB" w:rsidRPr="00896105">
        <w:rPr>
          <w:rFonts w:ascii="Book Antiqua" w:eastAsia="Times New Roman" w:hAnsi="Book Antiqua" w:cs="Times New Roman"/>
          <w:bCs/>
          <w:sz w:val="24"/>
          <w:szCs w:val="20"/>
          <w:lang w:val="es-MX"/>
        </w:rPr>
        <w:t>ometerá</w:t>
      </w:r>
      <w:proofErr w:type="spellEnd"/>
      <w:r w:rsidR="008F2C5A" w:rsidRPr="00896105">
        <w:rPr>
          <w:rFonts w:ascii="Book Antiqua" w:eastAsia="Times New Roman" w:hAnsi="Book Antiqua" w:cs="Times New Roman"/>
          <w:bCs/>
          <w:sz w:val="24"/>
          <w:szCs w:val="20"/>
          <w:lang w:val="es-MX"/>
        </w:rPr>
        <w:t xml:space="preserve"> un </w:t>
      </w:r>
      <w:r w:rsidR="00880507" w:rsidRPr="00896105">
        <w:rPr>
          <w:rFonts w:ascii="Book Antiqua" w:eastAsia="Times New Roman" w:hAnsi="Book Antiqua" w:cs="Times New Roman"/>
          <w:bCs/>
          <w:sz w:val="24"/>
          <w:szCs w:val="20"/>
          <w:lang w:val="es-MX"/>
        </w:rPr>
        <w:t xml:space="preserve">informe final </w:t>
      </w:r>
      <w:r w:rsidR="002F20CC" w:rsidRPr="00896105">
        <w:rPr>
          <w:rFonts w:ascii="Book Antiqua" w:eastAsia="Times New Roman" w:hAnsi="Book Antiqua" w:cs="Times New Roman"/>
          <w:bCs/>
          <w:sz w:val="24"/>
          <w:szCs w:val="20"/>
          <w:lang w:val="es-MX"/>
        </w:rPr>
        <w:t>d</w:t>
      </w:r>
      <w:r w:rsidR="00953866" w:rsidRPr="00896105">
        <w:rPr>
          <w:rFonts w:ascii="Book Antiqua" w:eastAsia="Times New Roman" w:hAnsi="Book Antiqua" w:cs="Times New Roman"/>
          <w:bCs/>
          <w:sz w:val="24"/>
          <w:szCs w:val="20"/>
          <w:lang w:val="es-MX"/>
        </w:rPr>
        <w:t>urante</w:t>
      </w:r>
      <w:r w:rsidR="00CB4E72" w:rsidRPr="00896105">
        <w:rPr>
          <w:rFonts w:ascii="Book Antiqua" w:eastAsia="Times New Roman" w:hAnsi="Book Antiqua" w:cs="Times New Roman"/>
          <w:bCs/>
          <w:sz w:val="24"/>
          <w:szCs w:val="20"/>
          <w:lang w:val="es-MX"/>
        </w:rPr>
        <w:t xml:space="preserve"> la </w:t>
      </w:r>
      <w:r w:rsidR="00E22FBB" w:rsidRPr="00896105">
        <w:rPr>
          <w:rFonts w:ascii="Book Antiqua" w:eastAsia="Times New Roman" w:hAnsi="Book Antiqua" w:cs="Times New Roman"/>
          <w:bCs/>
          <w:sz w:val="24"/>
          <w:szCs w:val="20"/>
          <w:lang w:val="es-MX"/>
        </w:rPr>
        <w:t>V</w:t>
      </w:r>
      <w:r w:rsidR="00CB4E72" w:rsidRPr="00896105">
        <w:rPr>
          <w:rFonts w:ascii="Book Antiqua" w:eastAsia="Times New Roman" w:hAnsi="Book Antiqua" w:cs="Times New Roman"/>
          <w:bCs/>
          <w:sz w:val="24"/>
          <w:szCs w:val="20"/>
          <w:lang w:val="es-MX"/>
        </w:rPr>
        <w:t>igésima Asamblea Legislativa,</w:t>
      </w:r>
      <w:r w:rsidR="00C53FE6" w:rsidRPr="00896105">
        <w:rPr>
          <w:rFonts w:ascii="Book Antiqua" w:eastAsia="Times New Roman" w:hAnsi="Book Antiqua" w:cs="Times New Roman"/>
          <w:bCs/>
          <w:sz w:val="24"/>
          <w:szCs w:val="20"/>
          <w:lang w:val="es-MX"/>
        </w:rPr>
        <w:t xml:space="preserve"> </w:t>
      </w:r>
      <w:r w:rsidR="002F20CC" w:rsidRPr="00896105">
        <w:rPr>
          <w:rFonts w:ascii="Book Antiqua" w:eastAsia="Times New Roman" w:hAnsi="Book Antiqua" w:cs="Times New Roman"/>
          <w:bCs/>
          <w:sz w:val="24"/>
          <w:szCs w:val="20"/>
          <w:lang w:val="es-MX"/>
        </w:rPr>
        <w:t xml:space="preserve">que </w:t>
      </w:r>
      <w:r w:rsidR="00880507" w:rsidRPr="00896105">
        <w:rPr>
          <w:rFonts w:ascii="Book Antiqua" w:eastAsia="Times New Roman" w:hAnsi="Book Antiqua" w:cs="Times New Roman"/>
          <w:bCs/>
          <w:sz w:val="24"/>
          <w:szCs w:val="20"/>
          <w:lang w:val="es-MX"/>
        </w:rPr>
        <w:t>incluirá recomendaciones legislativas o administrativas específicas que puedan implementarse para mejorar los reglamentos municipales y su puesta en práctica</w:t>
      </w:r>
      <w:r w:rsidR="00B70E28" w:rsidRPr="00896105">
        <w:rPr>
          <w:rFonts w:ascii="Book Antiqua" w:eastAsia="Times New Roman" w:hAnsi="Book Antiqua" w:cs="Times New Roman"/>
          <w:bCs/>
          <w:sz w:val="24"/>
          <w:szCs w:val="20"/>
          <w:lang w:val="es-MX"/>
        </w:rPr>
        <w:t>.</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3"/>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EF8F4" w14:textId="77777777" w:rsidR="003425DD" w:rsidRDefault="003425DD">
      <w:pPr>
        <w:spacing w:after="0" w:line="240" w:lineRule="auto"/>
      </w:pPr>
      <w:r>
        <w:separator/>
      </w:r>
    </w:p>
  </w:endnote>
  <w:endnote w:type="continuationSeparator" w:id="0">
    <w:p w14:paraId="0E4E7353" w14:textId="77777777" w:rsidR="003425DD" w:rsidRDefault="0034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350D3" w14:textId="77777777" w:rsidR="003425DD" w:rsidRDefault="003425DD">
      <w:pPr>
        <w:spacing w:after="0" w:line="240" w:lineRule="auto"/>
      </w:pPr>
      <w:r>
        <w:separator/>
      </w:r>
    </w:p>
  </w:footnote>
  <w:footnote w:type="continuationSeparator" w:id="0">
    <w:p w14:paraId="5DA29AFC" w14:textId="77777777" w:rsidR="003425DD" w:rsidRDefault="00342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Encabezado"/>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54DADF02" w:rsidR="00F11B70" w:rsidRPr="002E4F88" w:rsidRDefault="00F11B70" w:rsidP="002E4F88">
    <w:pPr>
      <w:pStyle w:val="Encabezado"/>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Encabezado"/>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C6CCB"/>
    <w:multiLevelType w:val="hybridMultilevel"/>
    <w:tmpl w:val="E6F4D66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61C09C3"/>
    <w:multiLevelType w:val="hybridMultilevel"/>
    <w:tmpl w:val="6DE4679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96576161">
    <w:abstractNumId w:val="0"/>
  </w:num>
  <w:num w:numId="2" w16cid:durableId="714619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123D0"/>
    <w:rsid w:val="0001587C"/>
    <w:rsid w:val="000240E7"/>
    <w:rsid w:val="00030F16"/>
    <w:rsid w:val="00041E11"/>
    <w:rsid w:val="00050941"/>
    <w:rsid w:val="00050FF9"/>
    <w:rsid w:val="00052199"/>
    <w:rsid w:val="000548C6"/>
    <w:rsid w:val="00061393"/>
    <w:rsid w:val="00080447"/>
    <w:rsid w:val="0009097D"/>
    <w:rsid w:val="00097678"/>
    <w:rsid w:val="000A5E62"/>
    <w:rsid w:val="000B4AB5"/>
    <w:rsid w:val="000C3F6F"/>
    <w:rsid w:val="000E7AD8"/>
    <w:rsid w:val="00100151"/>
    <w:rsid w:val="00103509"/>
    <w:rsid w:val="001069A8"/>
    <w:rsid w:val="00136E01"/>
    <w:rsid w:val="00147F54"/>
    <w:rsid w:val="001610A4"/>
    <w:rsid w:val="001645DF"/>
    <w:rsid w:val="0018051D"/>
    <w:rsid w:val="00183506"/>
    <w:rsid w:val="00183958"/>
    <w:rsid w:val="001A74DA"/>
    <w:rsid w:val="001B0554"/>
    <w:rsid w:val="001C232B"/>
    <w:rsid w:val="001D6FE0"/>
    <w:rsid w:val="001E06C6"/>
    <w:rsid w:val="001E1651"/>
    <w:rsid w:val="001E6A27"/>
    <w:rsid w:val="00203817"/>
    <w:rsid w:val="00221337"/>
    <w:rsid w:val="0022176C"/>
    <w:rsid w:val="00221929"/>
    <w:rsid w:val="00222E83"/>
    <w:rsid w:val="00230A23"/>
    <w:rsid w:val="00231CFA"/>
    <w:rsid w:val="00233D15"/>
    <w:rsid w:val="002423D8"/>
    <w:rsid w:val="002506BA"/>
    <w:rsid w:val="002672A6"/>
    <w:rsid w:val="00277123"/>
    <w:rsid w:val="0028210D"/>
    <w:rsid w:val="00284C52"/>
    <w:rsid w:val="002854AE"/>
    <w:rsid w:val="00290A23"/>
    <w:rsid w:val="002A11B2"/>
    <w:rsid w:val="002B4194"/>
    <w:rsid w:val="002B5606"/>
    <w:rsid w:val="002B59C7"/>
    <w:rsid w:val="002C0704"/>
    <w:rsid w:val="002C1B20"/>
    <w:rsid w:val="002D3F33"/>
    <w:rsid w:val="002D795B"/>
    <w:rsid w:val="002E1939"/>
    <w:rsid w:val="002E4F88"/>
    <w:rsid w:val="002F0D95"/>
    <w:rsid w:val="002F20CC"/>
    <w:rsid w:val="002F6EA8"/>
    <w:rsid w:val="00310041"/>
    <w:rsid w:val="00321CAA"/>
    <w:rsid w:val="003425DD"/>
    <w:rsid w:val="00345C7D"/>
    <w:rsid w:val="003546A5"/>
    <w:rsid w:val="00383A00"/>
    <w:rsid w:val="00384AF7"/>
    <w:rsid w:val="00387AC3"/>
    <w:rsid w:val="00394AA7"/>
    <w:rsid w:val="003A3C21"/>
    <w:rsid w:val="003A3F99"/>
    <w:rsid w:val="003A5631"/>
    <w:rsid w:val="003B6226"/>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5733"/>
    <w:rsid w:val="00446FA6"/>
    <w:rsid w:val="0045042F"/>
    <w:rsid w:val="004516F0"/>
    <w:rsid w:val="00454769"/>
    <w:rsid w:val="00457A32"/>
    <w:rsid w:val="00475070"/>
    <w:rsid w:val="0049713B"/>
    <w:rsid w:val="004C04E3"/>
    <w:rsid w:val="004C7054"/>
    <w:rsid w:val="004D1B9C"/>
    <w:rsid w:val="004D5700"/>
    <w:rsid w:val="004D647D"/>
    <w:rsid w:val="00515842"/>
    <w:rsid w:val="00521AE2"/>
    <w:rsid w:val="00526CEA"/>
    <w:rsid w:val="00526EFA"/>
    <w:rsid w:val="00541F59"/>
    <w:rsid w:val="00544BF6"/>
    <w:rsid w:val="0054505E"/>
    <w:rsid w:val="00550F0C"/>
    <w:rsid w:val="00582A31"/>
    <w:rsid w:val="00596351"/>
    <w:rsid w:val="005A7C41"/>
    <w:rsid w:val="005C45E1"/>
    <w:rsid w:val="005E7634"/>
    <w:rsid w:val="005F2776"/>
    <w:rsid w:val="00602831"/>
    <w:rsid w:val="0060309F"/>
    <w:rsid w:val="00605E12"/>
    <w:rsid w:val="00612C89"/>
    <w:rsid w:val="00641C92"/>
    <w:rsid w:val="00650F7C"/>
    <w:rsid w:val="00663D75"/>
    <w:rsid w:val="00677998"/>
    <w:rsid w:val="006B5BF6"/>
    <w:rsid w:val="006B780E"/>
    <w:rsid w:val="006E78C7"/>
    <w:rsid w:val="00714F2A"/>
    <w:rsid w:val="00732C21"/>
    <w:rsid w:val="007358DC"/>
    <w:rsid w:val="007406AE"/>
    <w:rsid w:val="00740EB9"/>
    <w:rsid w:val="007458A2"/>
    <w:rsid w:val="00751C58"/>
    <w:rsid w:val="00751DAC"/>
    <w:rsid w:val="00752D07"/>
    <w:rsid w:val="007531D1"/>
    <w:rsid w:val="00755AC9"/>
    <w:rsid w:val="00766C34"/>
    <w:rsid w:val="00770F1B"/>
    <w:rsid w:val="0077202A"/>
    <w:rsid w:val="00775E87"/>
    <w:rsid w:val="007847F7"/>
    <w:rsid w:val="00790088"/>
    <w:rsid w:val="00793863"/>
    <w:rsid w:val="00793F67"/>
    <w:rsid w:val="007A2D27"/>
    <w:rsid w:val="007A6E7E"/>
    <w:rsid w:val="007B4991"/>
    <w:rsid w:val="007B71A3"/>
    <w:rsid w:val="007C1041"/>
    <w:rsid w:val="007E00D9"/>
    <w:rsid w:val="007E7A15"/>
    <w:rsid w:val="007F671B"/>
    <w:rsid w:val="0082008D"/>
    <w:rsid w:val="00821997"/>
    <w:rsid w:val="00823C9D"/>
    <w:rsid w:val="00823E60"/>
    <w:rsid w:val="008256AB"/>
    <w:rsid w:val="00830A55"/>
    <w:rsid w:val="00833932"/>
    <w:rsid w:val="008409D6"/>
    <w:rsid w:val="00864876"/>
    <w:rsid w:val="00880507"/>
    <w:rsid w:val="00883104"/>
    <w:rsid w:val="00893801"/>
    <w:rsid w:val="00896105"/>
    <w:rsid w:val="008B3977"/>
    <w:rsid w:val="008B3F68"/>
    <w:rsid w:val="008C7290"/>
    <w:rsid w:val="008D2000"/>
    <w:rsid w:val="008D306C"/>
    <w:rsid w:val="008D7FE8"/>
    <w:rsid w:val="008E0155"/>
    <w:rsid w:val="008E5451"/>
    <w:rsid w:val="008E6DA1"/>
    <w:rsid w:val="008F2C5A"/>
    <w:rsid w:val="008F3D2A"/>
    <w:rsid w:val="00905CEC"/>
    <w:rsid w:val="009125CA"/>
    <w:rsid w:val="00933068"/>
    <w:rsid w:val="009333DD"/>
    <w:rsid w:val="00933A16"/>
    <w:rsid w:val="00952D56"/>
    <w:rsid w:val="00953866"/>
    <w:rsid w:val="00970A8A"/>
    <w:rsid w:val="00972932"/>
    <w:rsid w:val="009743BA"/>
    <w:rsid w:val="00990707"/>
    <w:rsid w:val="009A0D22"/>
    <w:rsid w:val="009A126B"/>
    <w:rsid w:val="009A4776"/>
    <w:rsid w:val="009C5C3E"/>
    <w:rsid w:val="009D1528"/>
    <w:rsid w:val="009D552A"/>
    <w:rsid w:val="009E4139"/>
    <w:rsid w:val="009E7856"/>
    <w:rsid w:val="009E7B42"/>
    <w:rsid w:val="009F31B7"/>
    <w:rsid w:val="00A102F3"/>
    <w:rsid w:val="00A1569E"/>
    <w:rsid w:val="00A26FD5"/>
    <w:rsid w:val="00A27390"/>
    <w:rsid w:val="00A30284"/>
    <w:rsid w:val="00A37881"/>
    <w:rsid w:val="00A50012"/>
    <w:rsid w:val="00A532E5"/>
    <w:rsid w:val="00A5349C"/>
    <w:rsid w:val="00A61A8C"/>
    <w:rsid w:val="00A65065"/>
    <w:rsid w:val="00A74474"/>
    <w:rsid w:val="00A83ADE"/>
    <w:rsid w:val="00A86B68"/>
    <w:rsid w:val="00A961E8"/>
    <w:rsid w:val="00AA56F4"/>
    <w:rsid w:val="00AC1AA4"/>
    <w:rsid w:val="00AC1ECF"/>
    <w:rsid w:val="00AC3F7F"/>
    <w:rsid w:val="00AC55C6"/>
    <w:rsid w:val="00AD2166"/>
    <w:rsid w:val="00AF61A6"/>
    <w:rsid w:val="00B339BD"/>
    <w:rsid w:val="00B34C6D"/>
    <w:rsid w:val="00B412DF"/>
    <w:rsid w:val="00B54F87"/>
    <w:rsid w:val="00B57BBC"/>
    <w:rsid w:val="00B70E28"/>
    <w:rsid w:val="00B72D87"/>
    <w:rsid w:val="00B7728E"/>
    <w:rsid w:val="00B8776A"/>
    <w:rsid w:val="00BA34CE"/>
    <w:rsid w:val="00BE32AB"/>
    <w:rsid w:val="00BE3F1E"/>
    <w:rsid w:val="00C10064"/>
    <w:rsid w:val="00C15853"/>
    <w:rsid w:val="00C34940"/>
    <w:rsid w:val="00C36427"/>
    <w:rsid w:val="00C36C6B"/>
    <w:rsid w:val="00C525C5"/>
    <w:rsid w:val="00C53FE6"/>
    <w:rsid w:val="00C61EF6"/>
    <w:rsid w:val="00C77449"/>
    <w:rsid w:val="00C801BA"/>
    <w:rsid w:val="00C80FBF"/>
    <w:rsid w:val="00C91B70"/>
    <w:rsid w:val="00C925D4"/>
    <w:rsid w:val="00CA7975"/>
    <w:rsid w:val="00CB4E72"/>
    <w:rsid w:val="00CC03FD"/>
    <w:rsid w:val="00CD4A7A"/>
    <w:rsid w:val="00CD4FA7"/>
    <w:rsid w:val="00CF30A9"/>
    <w:rsid w:val="00CF3ECB"/>
    <w:rsid w:val="00D077A0"/>
    <w:rsid w:val="00D15664"/>
    <w:rsid w:val="00D16143"/>
    <w:rsid w:val="00D16DB4"/>
    <w:rsid w:val="00D224F6"/>
    <w:rsid w:val="00D330B7"/>
    <w:rsid w:val="00D342F6"/>
    <w:rsid w:val="00D5147E"/>
    <w:rsid w:val="00D51645"/>
    <w:rsid w:val="00D5355A"/>
    <w:rsid w:val="00D6218D"/>
    <w:rsid w:val="00D803C9"/>
    <w:rsid w:val="00D91C00"/>
    <w:rsid w:val="00D926F2"/>
    <w:rsid w:val="00D95F76"/>
    <w:rsid w:val="00DA2E2A"/>
    <w:rsid w:val="00DA2F86"/>
    <w:rsid w:val="00DC14DD"/>
    <w:rsid w:val="00DC2446"/>
    <w:rsid w:val="00DC2FA3"/>
    <w:rsid w:val="00DE1923"/>
    <w:rsid w:val="00DE1B6D"/>
    <w:rsid w:val="00DE3353"/>
    <w:rsid w:val="00DF3E7D"/>
    <w:rsid w:val="00DF4C37"/>
    <w:rsid w:val="00E057F4"/>
    <w:rsid w:val="00E06E2D"/>
    <w:rsid w:val="00E1161A"/>
    <w:rsid w:val="00E22FBB"/>
    <w:rsid w:val="00E26BF7"/>
    <w:rsid w:val="00E26FD2"/>
    <w:rsid w:val="00E27A1E"/>
    <w:rsid w:val="00E3665C"/>
    <w:rsid w:val="00E5621A"/>
    <w:rsid w:val="00E668B1"/>
    <w:rsid w:val="00E671D2"/>
    <w:rsid w:val="00E8578D"/>
    <w:rsid w:val="00E920F0"/>
    <w:rsid w:val="00EA5FB1"/>
    <w:rsid w:val="00EB2EB1"/>
    <w:rsid w:val="00EB765D"/>
    <w:rsid w:val="00EC2914"/>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D2D7F"/>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055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B0554"/>
  </w:style>
  <w:style w:type="character" w:styleId="Nmerodepgina">
    <w:name w:val="page number"/>
    <w:basedOn w:val="Fuentedeprrafopredeter"/>
    <w:rsid w:val="001B0554"/>
  </w:style>
  <w:style w:type="character" w:styleId="Nmerodelnea">
    <w:name w:val="line number"/>
    <w:basedOn w:val="Fuentedeprrafopredeter"/>
    <w:uiPriority w:val="99"/>
    <w:semiHidden/>
    <w:unhideWhenUsed/>
    <w:rsid w:val="001B0554"/>
  </w:style>
  <w:style w:type="character" w:styleId="Hipervnculo">
    <w:name w:val="Hyperlink"/>
    <w:uiPriority w:val="99"/>
    <w:unhideWhenUsed/>
    <w:rsid w:val="00E057F4"/>
    <w:rPr>
      <w:color w:val="0563C1"/>
      <w:u w:val="single"/>
    </w:rPr>
  </w:style>
  <w:style w:type="paragraph" w:styleId="Textonotapie">
    <w:name w:val="footnote text"/>
    <w:basedOn w:val="Normal"/>
    <w:link w:val="TextonotapieC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uiPriority w:val="99"/>
    <w:rsid w:val="00E057F4"/>
    <w:rPr>
      <w:rFonts w:ascii="Times New Roman" w:eastAsia="Times New Roman" w:hAnsi="Times New Roman" w:cs="Times New Roman"/>
      <w:sz w:val="20"/>
      <w:szCs w:val="20"/>
    </w:rPr>
  </w:style>
  <w:style w:type="character" w:styleId="Refdenotaalpie">
    <w:name w:val="footnote reference"/>
    <w:uiPriority w:val="99"/>
    <w:semiHidden/>
    <w:unhideWhenUsed/>
    <w:rsid w:val="00E057F4"/>
    <w:rPr>
      <w:vertAlign w:val="superscript"/>
    </w:rPr>
  </w:style>
  <w:style w:type="paragraph" w:styleId="Sinespaciado">
    <w:name w:val="No Spacing"/>
    <w:uiPriority w:val="99"/>
    <w:qFormat/>
    <w:rsid w:val="003D2728"/>
    <w:pPr>
      <w:spacing w:after="0" w:line="240" w:lineRule="auto"/>
    </w:pPr>
    <w:rPr>
      <w:rFonts w:ascii="Calibri" w:eastAsia="Times New Roman" w:hAnsi="Calibri" w:cs="Times New Roman"/>
      <w:lang w:val="es-PR"/>
    </w:rPr>
  </w:style>
  <w:style w:type="paragraph" w:styleId="Textodeglobo">
    <w:name w:val="Balloon Text"/>
    <w:basedOn w:val="Normal"/>
    <w:link w:val="TextodegloboCar"/>
    <w:uiPriority w:val="99"/>
    <w:semiHidden/>
    <w:unhideWhenUsed/>
    <w:rsid w:val="004269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6928"/>
    <w:rPr>
      <w:rFonts w:ascii="Segoe UI" w:hAnsi="Segoe UI" w:cs="Segoe UI"/>
      <w:sz w:val="18"/>
      <w:szCs w:val="18"/>
    </w:rPr>
  </w:style>
  <w:style w:type="paragraph" w:styleId="Piedepgina">
    <w:name w:val="footer"/>
    <w:basedOn w:val="Normal"/>
    <w:link w:val="PiedepginaCar"/>
    <w:uiPriority w:val="99"/>
    <w:unhideWhenUsed/>
    <w:rsid w:val="001E06C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E06C6"/>
  </w:style>
  <w:style w:type="paragraph" w:styleId="HTMLconformatoprevio">
    <w:name w:val="HTML Preformatted"/>
    <w:basedOn w:val="Normal"/>
    <w:link w:val="HTMLconformatoprevioCar"/>
    <w:uiPriority w:val="99"/>
    <w:semiHidden/>
    <w:unhideWhenUsed/>
    <w:rsid w:val="009C5C3E"/>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9C5C3E"/>
    <w:rPr>
      <w:rFonts w:ascii="Consolas" w:hAnsi="Consolas"/>
      <w:sz w:val="20"/>
      <w:szCs w:val="20"/>
    </w:rPr>
  </w:style>
  <w:style w:type="paragraph" w:styleId="Prrafodelista">
    <w:name w:val="List Paragraph"/>
    <w:basedOn w:val="Normal"/>
    <w:uiPriority w:val="34"/>
    <w:qFormat/>
    <w:rsid w:val="00784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672032505">
      <w:bodyDiv w:val="1"/>
      <w:marLeft w:val="0"/>
      <w:marRight w:val="0"/>
      <w:marTop w:val="0"/>
      <w:marBottom w:val="0"/>
      <w:divBdr>
        <w:top w:val="none" w:sz="0" w:space="0" w:color="auto"/>
        <w:left w:val="none" w:sz="0" w:space="0" w:color="auto"/>
        <w:bottom w:val="none" w:sz="0" w:space="0" w:color="auto"/>
        <w:right w:val="none" w:sz="0" w:space="0" w:color="auto"/>
      </w:divBdr>
    </w:div>
    <w:div w:id="709497763">
      <w:bodyDiv w:val="1"/>
      <w:marLeft w:val="0"/>
      <w:marRight w:val="0"/>
      <w:marTop w:val="0"/>
      <w:marBottom w:val="0"/>
      <w:divBdr>
        <w:top w:val="none" w:sz="0" w:space="0" w:color="auto"/>
        <w:left w:val="none" w:sz="0" w:space="0" w:color="auto"/>
        <w:bottom w:val="none" w:sz="0" w:space="0" w:color="auto"/>
        <w:right w:val="none" w:sz="0" w:space="0" w:color="auto"/>
      </w:divBdr>
    </w:div>
    <w:div w:id="745802434">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3860368">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065880946">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126391172">
      <w:bodyDiv w:val="1"/>
      <w:marLeft w:val="0"/>
      <w:marRight w:val="0"/>
      <w:marTop w:val="0"/>
      <w:marBottom w:val="0"/>
      <w:divBdr>
        <w:top w:val="none" w:sz="0" w:space="0" w:color="auto"/>
        <w:left w:val="none" w:sz="0" w:space="0" w:color="auto"/>
        <w:bottom w:val="none" w:sz="0" w:space="0" w:color="auto"/>
        <w:right w:val="none" w:sz="0" w:space="0" w:color="auto"/>
      </w:divBdr>
    </w:div>
    <w:div w:id="1134100565">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660845250">
      <w:bodyDiv w:val="1"/>
      <w:marLeft w:val="0"/>
      <w:marRight w:val="0"/>
      <w:marTop w:val="0"/>
      <w:marBottom w:val="0"/>
      <w:divBdr>
        <w:top w:val="none" w:sz="0" w:space="0" w:color="auto"/>
        <w:left w:val="none" w:sz="0" w:space="0" w:color="auto"/>
        <w:bottom w:val="none" w:sz="0" w:space="0" w:color="auto"/>
        <w:right w:val="none" w:sz="0" w:space="0" w:color="auto"/>
      </w:divBdr>
    </w:div>
    <w:div w:id="189977841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3.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2ABEBB-D5B9-463F-8696-123D4D11BA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Rocío Alayón Morell</cp:lastModifiedBy>
  <cp:revision>3</cp:revision>
  <cp:lastPrinted>2025-04-30T21:03:00Z</cp:lastPrinted>
  <dcterms:created xsi:type="dcterms:W3CDTF">2025-04-30T19:43:00Z</dcterms:created>
  <dcterms:modified xsi:type="dcterms:W3CDTF">2025-04-30T21:05:00Z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