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401395" w14:textId="77777777" w:rsidR="00880F8C" w:rsidRPr="00880F8C" w:rsidRDefault="00880F8C" w:rsidP="00880F8C">
      <w:pPr>
        <w:suppressLineNumbers/>
        <w:tabs>
          <w:tab w:val="center" w:pos="4680"/>
        </w:tabs>
        <w:jc w:val="center"/>
        <w:rPr>
          <w:rFonts w:ascii="Book Antiqua" w:hAnsi="Book Antiqua"/>
          <w:b/>
          <w:bCs/>
          <w:lang w:val="es-PR"/>
        </w:rPr>
      </w:pPr>
      <w:bookmarkStart w:id="0" w:name="_Hlk138253982"/>
      <w:bookmarkStart w:id="1" w:name="_Hlk218677452"/>
      <w:r w:rsidRPr="00880F8C">
        <w:rPr>
          <w:rFonts w:ascii="Book Antiqua" w:hAnsi="Book Antiqua"/>
          <w:b/>
          <w:bCs/>
          <w:lang w:val="es-PR"/>
        </w:rPr>
        <w:t>(TEXTO DE APROBACIÓN FINAL POR LA CÁMARA)</w:t>
      </w:r>
      <w:r w:rsidRPr="00880F8C">
        <w:rPr>
          <w:rFonts w:ascii="Book Antiqua" w:hAnsi="Book Antiqua"/>
          <w:b/>
          <w:bCs/>
          <w:lang w:val="es-ES_tradnl"/>
        </w:rPr>
        <w:fldChar w:fldCharType="begin"/>
      </w:r>
      <w:r w:rsidRPr="00880F8C">
        <w:rPr>
          <w:rFonts w:ascii="Book Antiqua" w:hAnsi="Book Antiqua"/>
          <w:b/>
          <w:bCs/>
          <w:lang w:val="es-PR"/>
        </w:rPr>
        <w:instrText xml:space="preserve">PRIVATE </w:instrText>
      </w:r>
      <w:r w:rsidRPr="00880F8C">
        <w:rPr>
          <w:rFonts w:ascii="Book Antiqua" w:hAnsi="Book Antiqua"/>
          <w:b/>
          <w:bCs/>
          <w:lang w:val="es-ES_tradnl"/>
        </w:rPr>
        <w:fldChar w:fldCharType="end"/>
      </w:r>
    </w:p>
    <w:p w14:paraId="313C08E8" w14:textId="4E432B57" w:rsidR="00880F8C" w:rsidRPr="00880F8C" w:rsidRDefault="00880F8C" w:rsidP="00880F8C">
      <w:pPr>
        <w:suppressLineNumbers/>
        <w:tabs>
          <w:tab w:val="center" w:pos="4680"/>
        </w:tabs>
        <w:jc w:val="center"/>
        <w:rPr>
          <w:rFonts w:ascii="Book Antiqua" w:hAnsi="Book Antiqua"/>
          <w:b/>
          <w:bCs/>
          <w:lang w:val="es-PR"/>
        </w:rPr>
      </w:pPr>
      <w:r w:rsidRPr="00880F8C">
        <w:rPr>
          <w:rFonts w:ascii="Book Antiqua" w:hAnsi="Book Antiqua"/>
          <w:b/>
          <w:bCs/>
          <w:lang w:val="es-PR"/>
        </w:rPr>
        <w:t>(</w:t>
      </w:r>
      <w:r w:rsidR="007F7B38">
        <w:rPr>
          <w:rFonts w:ascii="Book Antiqua" w:hAnsi="Book Antiqua"/>
          <w:b/>
          <w:bCs/>
          <w:lang w:val="es-PR"/>
        </w:rPr>
        <w:t>11</w:t>
      </w:r>
      <w:r w:rsidRPr="00880F8C">
        <w:rPr>
          <w:rFonts w:ascii="Book Antiqua" w:hAnsi="Book Antiqua"/>
          <w:b/>
          <w:bCs/>
          <w:lang w:val="es-PR"/>
        </w:rPr>
        <w:t xml:space="preserve"> DE </w:t>
      </w:r>
      <w:r w:rsidR="007F7B38">
        <w:rPr>
          <w:rFonts w:ascii="Book Antiqua" w:hAnsi="Book Antiqua"/>
          <w:b/>
          <w:bCs/>
          <w:lang w:val="es-PR"/>
        </w:rPr>
        <w:t>JUNIO</w:t>
      </w:r>
      <w:r w:rsidRPr="00880F8C">
        <w:rPr>
          <w:rFonts w:ascii="Book Antiqua" w:hAnsi="Book Antiqua"/>
          <w:b/>
          <w:bCs/>
          <w:lang w:val="es-PR"/>
        </w:rPr>
        <w:t xml:space="preserve"> DE 2026)</w:t>
      </w:r>
    </w:p>
    <w:p w14:paraId="672E7496" w14:textId="77777777" w:rsidR="00880F8C" w:rsidRPr="00880F8C" w:rsidRDefault="00880F8C" w:rsidP="00880F8C">
      <w:pPr>
        <w:suppressLineNumbers/>
        <w:tabs>
          <w:tab w:val="center" w:pos="4680"/>
        </w:tabs>
        <w:jc w:val="center"/>
        <w:rPr>
          <w:rFonts w:ascii="Book Antiqua" w:hAnsi="Book Antiqua"/>
          <w:b/>
          <w:bCs/>
          <w:lang w:val="es-ES_tradnl"/>
        </w:rPr>
      </w:pPr>
      <w:r w:rsidRPr="00880F8C">
        <w:rPr>
          <w:noProof/>
          <w:szCs w:val="20"/>
          <w:lang w:val="es-ES"/>
        </w:rPr>
        <mc:AlternateContent>
          <mc:Choice Requires="wps">
            <w:drawing>
              <wp:anchor distT="0" distB="0" distL="114300" distR="114300" simplePos="0" relativeHeight="251659264" behindDoc="1" locked="0" layoutInCell="0" allowOverlap="1" wp14:anchorId="7C3B8331" wp14:editId="1224F3CD">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A3E9DD"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bookmarkEnd w:id="1"/>
    </w:p>
    <w:p w14:paraId="78173FD3" w14:textId="77777777" w:rsidR="006B2490" w:rsidRPr="00617CA5" w:rsidRDefault="006B2490" w:rsidP="006B2490">
      <w:pPr>
        <w:jc w:val="center"/>
        <w:rPr>
          <w:rFonts w:ascii="Book Antiqua" w:hAnsi="Book Antiqua"/>
          <w:lang w:val="es-ES"/>
        </w:rPr>
      </w:pPr>
      <w:r w:rsidRPr="00617CA5">
        <w:rPr>
          <w:rFonts w:ascii="Book Antiqua" w:hAnsi="Book Antiqua"/>
          <w:sz w:val="28"/>
          <w:szCs w:val="28"/>
          <w:lang w:val="es-ES"/>
        </w:rPr>
        <w:t>GOBIERNO DE PUERTO RICO</w:t>
      </w:r>
    </w:p>
    <w:p w14:paraId="2EF8848E" w14:textId="77777777" w:rsidR="006B2490" w:rsidRPr="00617CA5" w:rsidRDefault="006B2490" w:rsidP="006B2490">
      <w:pPr>
        <w:jc w:val="center"/>
        <w:rPr>
          <w:rFonts w:ascii="Book Antiqua" w:hAnsi="Book Antiqua"/>
          <w:lang w:val="es-ES"/>
        </w:rPr>
      </w:pPr>
    </w:p>
    <w:p w14:paraId="0F01FBA7" w14:textId="77777777" w:rsidR="006B2490" w:rsidRPr="007F7B38" w:rsidRDefault="0065248C" w:rsidP="006B2490">
      <w:pPr>
        <w:pStyle w:val="Title2"/>
        <w:suppressLineNumbers/>
        <w:rPr>
          <w:rFonts w:ascii="Book Antiqua" w:hAnsi="Book Antiqua"/>
          <w:szCs w:val="24"/>
          <w:lang w:val="es-PR"/>
        </w:rPr>
      </w:pPr>
      <w:r w:rsidRPr="007F7B38">
        <w:rPr>
          <w:rFonts w:ascii="Book Antiqua" w:hAnsi="Book Antiqua"/>
          <w:szCs w:val="24"/>
          <w:lang w:val="es-PR"/>
        </w:rPr>
        <w:t>20</w:t>
      </w:r>
      <w:r w:rsidRPr="007F7B38">
        <w:rPr>
          <w:rFonts w:ascii="Book Antiqua" w:hAnsi="Book Antiqua"/>
          <w:szCs w:val="24"/>
          <w:vertAlign w:val="superscript"/>
          <w:lang w:val="es-PR"/>
        </w:rPr>
        <w:t>ma.</w:t>
      </w:r>
      <w:r w:rsidR="006B2490" w:rsidRPr="007F7B38">
        <w:rPr>
          <w:rFonts w:ascii="Book Antiqua" w:hAnsi="Book Antiqua"/>
          <w:szCs w:val="24"/>
          <w:lang w:val="es-PR"/>
        </w:rPr>
        <w:tab/>
        <w:t>Asamblea</w:t>
      </w:r>
      <w:r w:rsidR="006B2490" w:rsidRPr="007F7B38">
        <w:rPr>
          <w:rFonts w:ascii="Book Antiqua" w:hAnsi="Book Antiqua"/>
          <w:szCs w:val="24"/>
          <w:lang w:val="es-PR"/>
        </w:rPr>
        <w:tab/>
      </w:r>
      <w:r w:rsidRPr="007F7B38">
        <w:rPr>
          <w:rFonts w:ascii="Book Antiqua" w:hAnsi="Book Antiqua"/>
          <w:szCs w:val="24"/>
          <w:lang w:val="es-PR"/>
        </w:rPr>
        <w:t>1</w:t>
      </w:r>
      <w:r w:rsidRPr="007F7B38">
        <w:rPr>
          <w:rFonts w:ascii="Book Antiqua" w:hAnsi="Book Antiqua"/>
          <w:szCs w:val="24"/>
          <w:vertAlign w:val="superscript"/>
          <w:lang w:val="es-PR"/>
        </w:rPr>
        <w:t>r</w:t>
      </w:r>
      <w:r w:rsidR="006B2490" w:rsidRPr="007F7B38">
        <w:rPr>
          <w:rFonts w:ascii="Book Antiqua" w:hAnsi="Book Antiqua"/>
          <w:szCs w:val="24"/>
          <w:vertAlign w:val="superscript"/>
          <w:lang w:val="es-PR"/>
        </w:rPr>
        <w:t>a</w:t>
      </w:r>
      <w:r w:rsidRPr="007F7B38">
        <w:rPr>
          <w:rFonts w:ascii="Book Antiqua" w:hAnsi="Book Antiqua"/>
          <w:szCs w:val="24"/>
          <w:vertAlign w:val="superscript"/>
          <w:lang w:val="es-PR"/>
        </w:rPr>
        <w:t>.</w:t>
      </w:r>
      <w:r w:rsidR="006B2490" w:rsidRPr="007F7B38">
        <w:rPr>
          <w:rFonts w:ascii="Book Antiqua" w:hAnsi="Book Antiqua"/>
          <w:szCs w:val="24"/>
          <w:lang w:val="es-PR"/>
        </w:rPr>
        <w:tab/>
        <w:t>Sesión</w:t>
      </w:r>
    </w:p>
    <w:p w14:paraId="5A1FF4C2" w14:textId="77777777" w:rsidR="006B2490" w:rsidRPr="007F7B38" w:rsidRDefault="006B2490" w:rsidP="006B2490">
      <w:pPr>
        <w:pStyle w:val="Title2"/>
        <w:suppressLineNumbers/>
        <w:rPr>
          <w:rFonts w:ascii="Book Antiqua" w:hAnsi="Book Antiqua"/>
          <w:szCs w:val="24"/>
          <w:lang w:val="es-PR"/>
        </w:rPr>
      </w:pPr>
      <w:r w:rsidRPr="007F7B38">
        <w:rPr>
          <w:rFonts w:ascii="Book Antiqua" w:hAnsi="Book Antiqua"/>
          <w:szCs w:val="24"/>
          <w:lang w:val="es-PR"/>
        </w:rPr>
        <w:tab/>
        <w:t>Legislativa</w:t>
      </w:r>
      <w:r w:rsidRPr="007F7B38">
        <w:rPr>
          <w:rFonts w:ascii="Book Antiqua" w:hAnsi="Book Antiqua"/>
          <w:szCs w:val="24"/>
          <w:lang w:val="es-PR"/>
        </w:rPr>
        <w:tab/>
      </w:r>
      <w:r w:rsidRPr="007F7B38">
        <w:rPr>
          <w:rFonts w:ascii="Book Antiqua" w:hAnsi="Book Antiqua"/>
          <w:szCs w:val="24"/>
          <w:lang w:val="es-PR"/>
        </w:rPr>
        <w:tab/>
        <w:t>Ordinaria</w:t>
      </w:r>
    </w:p>
    <w:p w14:paraId="16FD8E12" w14:textId="77777777" w:rsidR="006B2490" w:rsidRPr="007F7B38" w:rsidRDefault="006B2490" w:rsidP="006B2490">
      <w:pPr>
        <w:rPr>
          <w:rFonts w:ascii="Book Antiqua" w:hAnsi="Book Antiqua"/>
          <w:lang w:val="es-PR"/>
        </w:rPr>
      </w:pPr>
    </w:p>
    <w:p w14:paraId="184008FB" w14:textId="77777777" w:rsidR="006B2490" w:rsidRPr="00617CA5" w:rsidRDefault="006B2490" w:rsidP="006B2490">
      <w:pPr>
        <w:jc w:val="center"/>
        <w:rPr>
          <w:rFonts w:ascii="Book Antiqua" w:hAnsi="Book Antiqua"/>
          <w:b/>
          <w:sz w:val="36"/>
          <w:lang w:val="es-ES"/>
        </w:rPr>
      </w:pPr>
      <w:r w:rsidRPr="00617CA5">
        <w:rPr>
          <w:rFonts w:ascii="Book Antiqua" w:hAnsi="Book Antiqua"/>
          <w:b/>
          <w:sz w:val="36"/>
          <w:lang w:val="es-ES"/>
        </w:rPr>
        <w:t>CÁMARA DE REPRESENTANTES</w:t>
      </w:r>
    </w:p>
    <w:p w14:paraId="6BA540C0" w14:textId="77777777" w:rsidR="006B2490" w:rsidRPr="00617CA5" w:rsidRDefault="006B2490" w:rsidP="006B2490">
      <w:pPr>
        <w:jc w:val="center"/>
        <w:rPr>
          <w:rFonts w:ascii="Book Antiqua" w:hAnsi="Book Antiqua"/>
          <w:lang w:val="es-ES"/>
        </w:rPr>
      </w:pPr>
    </w:p>
    <w:p w14:paraId="3DB1EF1A" w14:textId="77777777" w:rsidR="006B2490" w:rsidRPr="00617CA5" w:rsidRDefault="006B2490" w:rsidP="006B2490">
      <w:pPr>
        <w:jc w:val="center"/>
        <w:rPr>
          <w:rFonts w:ascii="Book Antiqua" w:hAnsi="Book Antiqua"/>
          <w:b/>
          <w:sz w:val="52"/>
          <w:lang w:val="es-ES"/>
        </w:rPr>
      </w:pPr>
      <w:r w:rsidRPr="00617CA5">
        <w:rPr>
          <w:rFonts w:ascii="Book Antiqua" w:hAnsi="Book Antiqua"/>
          <w:b/>
          <w:sz w:val="52"/>
          <w:lang w:val="es-ES"/>
        </w:rPr>
        <w:t>P. de la C.</w:t>
      </w:r>
      <w:r w:rsidR="00347200" w:rsidRPr="00617CA5">
        <w:rPr>
          <w:rFonts w:ascii="Book Antiqua" w:hAnsi="Book Antiqua"/>
          <w:b/>
          <w:sz w:val="52"/>
          <w:lang w:val="es-ES"/>
        </w:rPr>
        <w:t xml:space="preserve"> 572</w:t>
      </w:r>
      <w:r w:rsidRPr="00617CA5">
        <w:rPr>
          <w:rFonts w:ascii="Book Antiqua" w:hAnsi="Book Antiqua"/>
          <w:b/>
          <w:sz w:val="52"/>
          <w:lang w:val="es-ES"/>
        </w:rPr>
        <w:t xml:space="preserve"> </w:t>
      </w:r>
    </w:p>
    <w:p w14:paraId="6E2E7AC1" w14:textId="77777777" w:rsidR="006B2490" w:rsidRPr="00617CA5" w:rsidRDefault="006B2490" w:rsidP="006B2490">
      <w:pPr>
        <w:jc w:val="center"/>
        <w:rPr>
          <w:rFonts w:ascii="Book Antiqua" w:hAnsi="Book Antiqua"/>
          <w:lang w:val="es-ES"/>
        </w:rPr>
      </w:pPr>
    </w:p>
    <w:p w14:paraId="082834CE" w14:textId="77777777" w:rsidR="006B2490" w:rsidRPr="00617CA5" w:rsidRDefault="00003ADD" w:rsidP="006B2490">
      <w:pPr>
        <w:jc w:val="center"/>
        <w:rPr>
          <w:rFonts w:ascii="Book Antiqua" w:hAnsi="Book Antiqua"/>
          <w:lang w:val="es-ES"/>
        </w:rPr>
      </w:pPr>
      <w:r w:rsidRPr="00617CA5">
        <w:rPr>
          <w:rFonts w:ascii="Book Antiqua" w:hAnsi="Book Antiqua"/>
          <w:lang w:val="es-ES"/>
        </w:rPr>
        <w:t>1 DE MAYO DE 2025</w:t>
      </w:r>
    </w:p>
    <w:p w14:paraId="097E6B87" w14:textId="77777777" w:rsidR="006B2490" w:rsidRPr="00617CA5" w:rsidRDefault="006B2490" w:rsidP="006B2490">
      <w:pPr>
        <w:jc w:val="center"/>
        <w:rPr>
          <w:rFonts w:ascii="Book Antiqua" w:hAnsi="Book Antiqua"/>
          <w:lang w:val="es-ES"/>
        </w:rPr>
      </w:pPr>
    </w:p>
    <w:p w14:paraId="51EFBF5B" w14:textId="77777777" w:rsidR="00347200" w:rsidRDefault="006B2490" w:rsidP="006B2490">
      <w:pPr>
        <w:jc w:val="center"/>
        <w:rPr>
          <w:rFonts w:ascii="Book Antiqua" w:hAnsi="Book Antiqua"/>
          <w:i/>
          <w:lang w:val="es-ES"/>
        </w:rPr>
      </w:pPr>
      <w:r w:rsidRPr="00617CA5">
        <w:rPr>
          <w:rFonts w:ascii="Book Antiqua" w:hAnsi="Book Antiqua"/>
          <w:lang w:val="es-ES"/>
        </w:rPr>
        <w:t xml:space="preserve">Presentado por </w:t>
      </w:r>
      <w:r w:rsidR="0065248C" w:rsidRPr="00617CA5">
        <w:rPr>
          <w:rFonts w:ascii="Book Antiqua" w:hAnsi="Book Antiqua"/>
          <w:lang w:val="es-ES"/>
        </w:rPr>
        <w:t>la</w:t>
      </w:r>
      <w:r w:rsidRPr="00617CA5">
        <w:rPr>
          <w:rFonts w:ascii="Book Antiqua" w:hAnsi="Book Antiqua"/>
          <w:lang w:val="es-ES"/>
        </w:rPr>
        <w:t xml:space="preserve"> representante</w:t>
      </w:r>
      <w:r w:rsidRPr="00617CA5">
        <w:rPr>
          <w:rFonts w:ascii="Book Antiqua" w:hAnsi="Book Antiqua"/>
          <w:i/>
          <w:lang w:val="es-ES"/>
        </w:rPr>
        <w:t xml:space="preserve"> </w:t>
      </w:r>
      <w:r w:rsidR="0065248C" w:rsidRPr="00617CA5">
        <w:rPr>
          <w:rFonts w:ascii="Book Antiqua" w:hAnsi="Book Antiqua"/>
          <w:i/>
          <w:lang w:val="es-ES"/>
        </w:rPr>
        <w:t>Pérez Ramírez</w:t>
      </w:r>
      <w:r w:rsidR="00854008" w:rsidRPr="00617CA5">
        <w:rPr>
          <w:rFonts w:ascii="Book Antiqua" w:hAnsi="Book Antiqua"/>
          <w:i/>
          <w:lang w:val="es-ES"/>
        </w:rPr>
        <w:t xml:space="preserve"> </w:t>
      </w:r>
    </w:p>
    <w:p w14:paraId="10D7C562" w14:textId="33F684DD" w:rsidR="002C057A" w:rsidRPr="00617CA5" w:rsidRDefault="002C057A" w:rsidP="006B2490">
      <w:pPr>
        <w:jc w:val="center"/>
        <w:rPr>
          <w:rFonts w:ascii="Book Antiqua" w:hAnsi="Book Antiqua"/>
          <w:i/>
          <w:lang w:val="es-ES"/>
        </w:rPr>
      </w:pPr>
      <w:r w:rsidRPr="002C057A">
        <w:rPr>
          <w:rFonts w:ascii="Book Antiqua" w:hAnsi="Book Antiqua"/>
          <w:iCs/>
          <w:lang w:val="es-ES"/>
        </w:rPr>
        <w:t>y suscrito por el</w:t>
      </w:r>
      <w:r>
        <w:rPr>
          <w:rFonts w:ascii="Book Antiqua" w:hAnsi="Book Antiqua"/>
          <w:i/>
          <w:lang w:val="es-ES"/>
        </w:rPr>
        <w:t xml:space="preserve"> representante Jiménez Torres </w:t>
      </w:r>
    </w:p>
    <w:p w14:paraId="758CF16E" w14:textId="77777777" w:rsidR="006B2490" w:rsidRPr="00617CA5" w:rsidRDefault="00854008" w:rsidP="006B2490">
      <w:pPr>
        <w:jc w:val="center"/>
        <w:rPr>
          <w:rFonts w:ascii="Book Antiqua" w:hAnsi="Book Antiqua"/>
          <w:iCs/>
          <w:szCs w:val="20"/>
          <w:lang w:val="es-ES"/>
        </w:rPr>
      </w:pPr>
      <w:r w:rsidRPr="00617CA5">
        <w:rPr>
          <w:rFonts w:ascii="Book Antiqua" w:hAnsi="Book Antiqua"/>
          <w:iCs/>
          <w:lang w:val="es-ES"/>
        </w:rPr>
        <w:t>(Por Petición de Ivelisse Román Román)</w:t>
      </w:r>
      <w:r w:rsidRPr="00617CA5">
        <w:rPr>
          <w:rFonts w:ascii="Book Antiqua" w:hAnsi="Book Antiqua"/>
          <w:i/>
          <w:lang w:val="es-ES"/>
        </w:rPr>
        <w:t xml:space="preserve"> </w:t>
      </w:r>
    </w:p>
    <w:p w14:paraId="3B16EDF7" w14:textId="77777777" w:rsidR="006B2490" w:rsidRPr="00617CA5" w:rsidRDefault="006B2490" w:rsidP="006B2490">
      <w:pPr>
        <w:jc w:val="center"/>
        <w:rPr>
          <w:rFonts w:ascii="Book Antiqua" w:hAnsi="Book Antiqua"/>
          <w:lang w:val="es-ES"/>
        </w:rPr>
      </w:pPr>
    </w:p>
    <w:p w14:paraId="79B3F0DF" w14:textId="77777777" w:rsidR="006B2490" w:rsidRPr="00617CA5" w:rsidRDefault="006B2490" w:rsidP="006B2490">
      <w:pPr>
        <w:jc w:val="center"/>
        <w:rPr>
          <w:rFonts w:ascii="Book Antiqua" w:hAnsi="Book Antiqua"/>
          <w:lang w:val="es-ES"/>
        </w:rPr>
      </w:pPr>
      <w:r w:rsidRPr="00617CA5">
        <w:rPr>
          <w:rFonts w:ascii="Book Antiqua" w:hAnsi="Book Antiqua"/>
          <w:lang w:val="es-ES"/>
        </w:rPr>
        <w:t>Referido a</w:t>
      </w:r>
      <w:r w:rsidR="00F50E66" w:rsidRPr="00617CA5">
        <w:rPr>
          <w:rFonts w:ascii="Book Antiqua" w:hAnsi="Book Antiqua"/>
          <w:lang w:val="es-ES"/>
        </w:rPr>
        <w:t xml:space="preserve"> la Comisión de</w:t>
      </w:r>
      <w:r w:rsidR="007E0B71" w:rsidRPr="00617CA5">
        <w:rPr>
          <w:rFonts w:ascii="Book Antiqua" w:hAnsi="Book Antiqua"/>
          <w:lang w:val="es-ES"/>
        </w:rPr>
        <w:t xml:space="preserve"> Banca, Seguros y Comercio</w:t>
      </w:r>
    </w:p>
    <w:p w14:paraId="072C9A8B" w14:textId="77777777" w:rsidR="006B2490" w:rsidRPr="00617CA5" w:rsidRDefault="006B2490" w:rsidP="006B2490">
      <w:pPr>
        <w:jc w:val="both"/>
        <w:rPr>
          <w:rFonts w:ascii="Book Antiqua" w:hAnsi="Book Antiqua"/>
          <w:lang w:val="es-ES"/>
        </w:rPr>
      </w:pPr>
    </w:p>
    <w:p w14:paraId="55317FD1" w14:textId="77777777" w:rsidR="006B2490" w:rsidRPr="00617CA5" w:rsidRDefault="006B2490" w:rsidP="00347200">
      <w:pPr>
        <w:jc w:val="center"/>
        <w:rPr>
          <w:rFonts w:ascii="Book Antiqua" w:hAnsi="Book Antiqua"/>
          <w:b/>
          <w:sz w:val="28"/>
          <w:szCs w:val="28"/>
          <w:lang w:val="es-ES"/>
        </w:rPr>
      </w:pPr>
      <w:r w:rsidRPr="00617CA5">
        <w:rPr>
          <w:rFonts w:ascii="Book Antiqua" w:hAnsi="Book Antiqua"/>
          <w:b/>
          <w:sz w:val="28"/>
          <w:szCs w:val="28"/>
          <w:lang w:val="es-ES"/>
        </w:rPr>
        <w:t>LEY</w:t>
      </w:r>
    </w:p>
    <w:p w14:paraId="67014D0A" w14:textId="77777777" w:rsidR="00003ADD" w:rsidRPr="00880F8C" w:rsidRDefault="00003ADD" w:rsidP="00347200">
      <w:pPr>
        <w:jc w:val="center"/>
        <w:rPr>
          <w:rFonts w:ascii="Book Antiqua" w:hAnsi="Book Antiqua"/>
          <w:b/>
          <w:lang w:val="es-ES"/>
        </w:rPr>
      </w:pPr>
    </w:p>
    <w:p w14:paraId="37F569DA" w14:textId="4462E8C7" w:rsidR="00DB5DCE" w:rsidRPr="00880F8C" w:rsidRDefault="00606313" w:rsidP="00606313">
      <w:pPr>
        <w:ind w:left="450" w:hanging="450"/>
        <w:jc w:val="both"/>
        <w:rPr>
          <w:rFonts w:ascii="Book Antiqua" w:hAnsi="Book Antiqua"/>
          <w:lang w:val="es-ES"/>
        </w:rPr>
      </w:pPr>
      <w:r w:rsidRPr="00880F8C">
        <w:rPr>
          <w:rFonts w:ascii="Book Antiqua" w:hAnsi="Book Antiqua"/>
          <w:lang w:val="es-ES"/>
        </w:rPr>
        <w:t>Para establecer como mandatorio que todo contrato de seguro médico en Puerto Rico incluya en su cubierta la evaluación de procesamiento auditivo central y las terapias del procesamiento auditivo u otras intervenciones terapéuticas relacionadas para estudiantes con necesidades de educación especial mayores de veintiún (21) años, siempre que medie prescripción de un profesional de la salud licenciado y necesidad médica certificada, con el fin de garantizar la continuidad de estos servicios esenciales una vez culminen la escuela secundaria y accedan a la educación postsecundaria; disponer la coordinación de dichos servicios con la Administración de Rehabilitación Vocacional; disponer para que el Comisionado de Seguros de Puerto Rico adopte, enmiende o derogue reglamentación para el cumplimiento de esta Ley.</w:t>
      </w:r>
    </w:p>
    <w:p w14:paraId="5CEA9547" w14:textId="77777777" w:rsidR="00DB5DCE" w:rsidRPr="00880F8C" w:rsidRDefault="00DB5DCE" w:rsidP="00606313">
      <w:pPr>
        <w:ind w:left="450" w:hanging="450"/>
        <w:jc w:val="both"/>
        <w:rPr>
          <w:rFonts w:ascii="Book Antiqua" w:hAnsi="Book Antiqua"/>
          <w:lang w:val="es-ES"/>
        </w:rPr>
      </w:pPr>
    </w:p>
    <w:p w14:paraId="2E6DB0C4" w14:textId="77777777" w:rsidR="0015108F" w:rsidRPr="00880F8C" w:rsidRDefault="006B2490" w:rsidP="0015108F">
      <w:pPr>
        <w:jc w:val="center"/>
        <w:rPr>
          <w:rFonts w:ascii="Book Antiqua" w:hAnsi="Book Antiqua"/>
          <w:lang w:val="es-ES"/>
        </w:rPr>
      </w:pPr>
      <w:r w:rsidRPr="00880F8C">
        <w:rPr>
          <w:rFonts w:ascii="Book Antiqua" w:hAnsi="Book Antiqua"/>
          <w:lang w:val="es-ES"/>
        </w:rPr>
        <w:t>EXPOSICIÓN DE MOTIVOS</w:t>
      </w:r>
    </w:p>
    <w:p w14:paraId="41231F3A" w14:textId="77777777" w:rsidR="0015108F" w:rsidRPr="00880F8C" w:rsidRDefault="0015108F" w:rsidP="0015108F">
      <w:pPr>
        <w:jc w:val="both"/>
        <w:rPr>
          <w:rFonts w:ascii="Book Antiqua" w:hAnsi="Book Antiqua"/>
          <w:lang w:val="es-ES"/>
        </w:rPr>
      </w:pPr>
    </w:p>
    <w:p w14:paraId="7B71CD9B" w14:textId="77777777" w:rsidR="00BC43A7" w:rsidRPr="00880F8C" w:rsidRDefault="0015108F" w:rsidP="00606313">
      <w:pPr>
        <w:tabs>
          <w:tab w:val="left" w:pos="540"/>
        </w:tabs>
        <w:jc w:val="both"/>
        <w:rPr>
          <w:rFonts w:ascii="Book Antiqua" w:hAnsi="Book Antiqua"/>
          <w:lang w:val="es-ES"/>
        </w:rPr>
      </w:pPr>
      <w:r w:rsidRPr="00880F8C">
        <w:rPr>
          <w:rFonts w:ascii="Book Antiqua" w:hAnsi="Book Antiqua"/>
          <w:lang w:val="es-ES"/>
        </w:rPr>
        <w:tab/>
      </w:r>
      <w:r w:rsidR="00606313" w:rsidRPr="00880F8C">
        <w:rPr>
          <w:rFonts w:ascii="Book Antiqua" w:hAnsi="Book Antiqua"/>
          <w:lang w:val="es-ES"/>
        </w:rPr>
        <w:t xml:space="preserve">La </w:t>
      </w:r>
      <w:r w:rsidR="002449A2" w:rsidRPr="00880F8C">
        <w:rPr>
          <w:rFonts w:ascii="Book Antiqua" w:hAnsi="Book Antiqua"/>
          <w:lang w:val="es-ES"/>
        </w:rPr>
        <w:t xml:space="preserve">Sección 5 de la Carta de Derechos de la </w:t>
      </w:r>
      <w:r w:rsidR="00606313" w:rsidRPr="00880F8C">
        <w:rPr>
          <w:rFonts w:ascii="Book Antiqua" w:hAnsi="Book Antiqua"/>
          <w:lang w:val="es-ES"/>
        </w:rPr>
        <w:t xml:space="preserve">Constitución de Puerto Rico consagra el derecho de toda persona </w:t>
      </w:r>
      <w:r w:rsidR="002449A2" w:rsidRPr="00880F8C">
        <w:rPr>
          <w:rFonts w:ascii="Book Antiqua" w:hAnsi="Book Antiqua"/>
          <w:lang w:val="es-ES"/>
        </w:rPr>
        <w:t>“</w:t>
      </w:r>
      <w:r w:rsidR="00606313" w:rsidRPr="00880F8C">
        <w:rPr>
          <w:rFonts w:ascii="Book Antiqua" w:hAnsi="Book Antiqua"/>
          <w:lang w:val="es-ES"/>
        </w:rPr>
        <w:t>a una educación que propenda al pleno desarrollo de su personalidad y al fortalecimiento del respeto de los derechos</w:t>
      </w:r>
      <w:r w:rsidR="002449A2" w:rsidRPr="00880F8C">
        <w:rPr>
          <w:rFonts w:ascii="Book Antiqua" w:hAnsi="Book Antiqua"/>
          <w:lang w:val="es-ES"/>
        </w:rPr>
        <w:t xml:space="preserve"> del hombre </w:t>
      </w:r>
      <w:r w:rsidR="00606313" w:rsidRPr="00880F8C">
        <w:rPr>
          <w:rFonts w:ascii="Book Antiqua" w:hAnsi="Book Antiqua"/>
          <w:lang w:val="es-ES"/>
        </w:rPr>
        <w:t xml:space="preserve">y </w:t>
      </w:r>
      <w:r w:rsidR="002449A2" w:rsidRPr="00880F8C">
        <w:rPr>
          <w:rFonts w:ascii="Book Antiqua" w:hAnsi="Book Antiqua"/>
          <w:lang w:val="es-ES"/>
        </w:rPr>
        <w:t xml:space="preserve">de </w:t>
      </w:r>
      <w:r w:rsidR="00606313" w:rsidRPr="00880F8C">
        <w:rPr>
          <w:rFonts w:ascii="Book Antiqua" w:hAnsi="Book Antiqua"/>
          <w:lang w:val="es-ES"/>
        </w:rPr>
        <w:t xml:space="preserve">las </w:t>
      </w:r>
      <w:r w:rsidR="00606313" w:rsidRPr="00880F8C">
        <w:rPr>
          <w:rFonts w:ascii="Book Antiqua" w:hAnsi="Book Antiqua"/>
          <w:lang w:val="es-ES"/>
        </w:rPr>
        <w:lastRenderedPageBreak/>
        <w:t>libertades fundamentales.</w:t>
      </w:r>
      <w:r w:rsidR="002449A2" w:rsidRPr="00880F8C">
        <w:rPr>
          <w:rFonts w:ascii="Book Antiqua" w:hAnsi="Book Antiqua"/>
          <w:lang w:val="es-ES"/>
        </w:rPr>
        <w:t>”</w:t>
      </w:r>
      <w:r w:rsidR="00961D19" w:rsidRPr="00880F8C">
        <w:rPr>
          <w:rStyle w:val="FootnoteReference"/>
          <w:rFonts w:ascii="Book Antiqua" w:hAnsi="Book Antiqua"/>
          <w:b/>
          <w:bCs/>
          <w:lang w:val="es-ES"/>
        </w:rPr>
        <w:footnoteReference w:id="1"/>
      </w:r>
      <w:r w:rsidR="002449A2" w:rsidRPr="00880F8C">
        <w:rPr>
          <w:rFonts w:ascii="Book Antiqua" w:hAnsi="Book Antiqua"/>
          <w:b/>
          <w:bCs/>
          <w:lang w:val="es-ES"/>
        </w:rPr>
        <w:t xml:space="preserve"> </w:t>
      </w:r>
      <w:r w:rsidR="00961D19" w:rsidRPr="00880F8C">
        <w:rPr>
          <w:rFonts w:ascii="Book Antiqua" w:hAnsi="Book Antiqua"/>
          <w:lang w:val="es-ES"/>
        </w:rPr>
        <w:t>De otro lado, l</w:t>
      </w:r>
      <w:r w:rsidR="00343218" w:rsidRPr="00880F8C">
        <w:rPr>
          <w:rFonts w:ascii="Book Antiqua" w:hAnsi="Book Antiqua"/>
          <w:lang w:val="es-ES"/>
        </w:rPr>
        <w:t>a Ley Núm. 85-2018, según enmendada, conocida como “Ley de Reforma Educativa de Puerto Rico”, en su Declaración de Política Pública, abunda</w:t>
      </w:r>
      <w:r w:rsidR="00961D19" w:rsidRPr="00880F8C">
        <w:rPr>
          <w:rFonts w:ascii="Book Antiqua" w:hAnsi="Book Antiqua"/>
          <w:lang w:val="es-ES"/>
        </w:rPr>
        <w:t xml:space="preserve"> </w:t>
      </w:r>
      <w:r w:rsidR="00343218" w:rsidRPr="00880F8C">
        <w:rPr>
          <w:rFonts w:ascii="Book Antiqua" w:hAnsi="Book Antiqua"/>
          <w:lang w:val="es-ES"/>
        </w:rPr>
        <w:t>que dicho precepto constitucional ordena</w:t>
      </w:r>
      <w:r w:rsidR="00961D19" w:rsidRPr="00880F8C">
        <w:rPr>
          <w:rFonts w:ascii="Book Antiqua" w:hAnsi="Book Antiqua"/>
          <w:lang w:val="es-ES"/>
        </w:rPr>
        <w:t>, además,</w:t>
      </w:r>
      <w:r w:rsidR="00343218" w:rsidRPr="00880F8C">
        <w:rPr>
          <w:rFonts w:ascii="Book Antiqua" w:hAnsi="Book Antiqua"/>
          <w:lang w:val="es-ES"/>
        </w:rPr>
        <w:t xml:space="preserve"> que el Gobierno establezca un Sistema de Educación Pública libre, sin ninguna inclinación sectaria y gratuita en los niveles primario y secundario que comprenda los grados de kínder a duodécimo.</w:t>
      </w:r>
      <w:r w:rsidR="00BC43A7" w:rsidRPr="00880F8C">
        <w:rPr>
          <w:rFonts w:ascii="Book Antiqua" w:hAnsi="Book Antiqua"/>
          <w:lang w:val="es-ES"/>
        </w:rPr>
        <w:t xml:space="preserve"> </w:t>
      </w:r>
      <w:r w:rsidR="00E50BAA" w:rsidRPr="00880F8C">
        <w:rPr>
          <w:rFonts w:ascii="Book Antiqua" w:hAnsi="Book Antiqua"/>
          <w:lang w:val="es-ES"/>
        </w:rPr>
        <w:t>E</w:t>
      </w:r>
      <w:r w:rsidR="00860182" w:rsidRPr="00880F8C">
        <w:rPr>
          <w:rFonts w:ascii="Book Antiqua" w:hAnsi="Book Antiqua"/>
          <w:lang w:val="es-ES"/>
        </w:rPr>
        <w:t xml:space="preserve">sta legislación </w:t>
      </w:r>
      <w:r w:rsidR="00BC43A7" w:rsidRPr="00880F8C">
        <w:rPr>
          <w:rFonts w:ascii="Book Antiqua" w:hAnsi="Book Antiqua"/>
          <w:lang w:val="es-ES"/>
        </w:rPr>
        <w:t>provee que el currículo de las escuelas, las actividades escolares y el entorno administrativo del Departamento de Educación se regirán, en</w:t>
      </w:r>
      <w:r w:rsidR="00003ADD" w:rsidRPr="00880F8C">
        <w:rPr>
          <w:rFonts w:ascii="Book Antiqua" w:hAnsi="Book Antiqua"/>
          <w:lang w:val="es-ES"/>
        </w:rPr>
        <w:t xml:space="preserve"> </w:t>
      </w:r>
      <w:r w:rsidR="00BC43A7" w:rsidRPr="00880F8C">
        <w:rPr>
          <w:rFonts w:ascii="Book Antiqua" w:hAnsi="Book Antiqua"/>
          <w:lang w:val="es-ES"/>
        </w:rPr>
        <w:t>particular, por este principio constitucional. Y es que la educación constituye el pilar sobre el cual se construyen las oportunidades de desarrollo para cualquier soc</w:t>
      </w:r>
      <w:r w:rsidR="00961D19" w:rsidRPr="00880F8C">
        <w:rPr>
          <w:rFonts w:ascii="Book Antiqua" w:hAnsi="Book Antiqua"/>
          <w:lang w:val="es-ES"/>
        </w:rPr>
        <w:t>i</w:t>
      </w:r>
      <w:r w:rsidR="00BC43A7" w:rsidRPr="00880F8C">
        <w:rPr>
          <w:rFonts w:ascii="Book Antiqua" w:hAnsi="Book Antiqua"/>
          <w:lang w:val="es-ES"/>
        </w:rPr>
        <w:t>edad.</w:t>
      </w:r>
    </w:p>
    <w:p w14:paraId="57E9B5D5" w14:textId="77777777" w:rsidR="00BC43A7" w:rsidRPr="00880F8C" w:rsidRDefault="00BC43A7" w:rsidP="00606313">
      <w:pPr>
        <w:tabs>
          <w:tab w:val="left" w:pos="540"/>
        </w:tabs>
        <w:jc w:val="both"/>
        <w:rPr>
          <w:rFonts w:ascii="Book Antiqua" w:hAnsi="Book Antiqua"/>
          <w:lang w:val="es-ES"/>
        </w:rPr>
      </w:pPr>
    </w:p>
    <w:p w14:paraId="3BF19641" w14:textId="77777777" w:rsidR="00BE5F2F" w:rsidRPr="00880F8C" w:rsidRDefault="00961D19" w:rsidP="00606313">
      <w:pPr>
        <w:tabs>
          <w:tab w:val="left" w:pos="540"/>
        </w:tabs>
        <w:jc w:val="both"/>
        <w:rPr>
          <w:rFonts w:ascii="Book Antiqua" w:hAnsi="Book Antiqua"/>
          <w:lang w:val="es-ES"/>
        </w:rPr>
      </w:pPr>
      <w:r w:rsidRPr="00880F8C">
        <w:rPr>
          <w:rFonts w:ascii="Book Antiqua" w:hAnsi="Book Antiqua"/>
          <w:lang w:val="es-ES"/>
        </w:rPr>
        <w:tab/>
        <w:t>En lo pertinente, la referida Ley Núm. 85 establece la obligación de las escuelas para suministrar servicios a alumnos con discapacidades como lo ordena la legislación y reglamentación estatal y federal aplicable a esta población, entre la cual se halla la Ley Núm. 51-1996, según enmendada, conocida como “Ley de Servicios Educativos Integrales para Personas con Impedimentos”.</w:t>
      </w:r>
      <w:r w:rsidR="00860182" w:rsidRPr="00880F8C">
        <w:rPr>
          <w:rFonts w:ascii="Book Antiqua" w:hAnsi="Book Antiqua"/>
          <w:lang w:val="es-ES"/>
        </w:rPr>
        <w:t xml:space="preserve"> </w:t>
      </w:r>
      <w:r w:rsidR="006C12FD" w:rsidRPr="00880F8C">
        <w:rPr>
          <w:rFonts w:ascii="Book Antiqua" w:hAnsi="Book Antiqua"/>
          <w:lang w:val="es-ES"/>
        </w:rPr>
        <w:t xml:space="preserve">En observancia </w:t>
      </w:r>
      <w:r w:rsidR="00544245" w:rsidRPr="00880F8C">
        <w:rPr>
          <w:rFonts w:ascii="Book Antiqua" w:hAnsi="Book Antiqua"/>
          <w:lang w:val="es-ES"/>
        </w:rPr>
        <w:t>a</w:t>
      </w:r>
      <w:r w:rsidR="006C12FD" w:rsidRPr="00880F8C">
        <w:rPr>
          <w:rFonts w:ascii="Book Antiqua" w:hAnsi="Book Antiqua"/>
          <w:lang w:val="es-ES"/>
        </w:rPr>
        <w:t xml:space="preserve"> lo anteriormente dispuesto, el Departamento de Educación, así como sus Oficinas Regionales Educativas, tienen el deber de mantener un programa de educación especial, de conformidad con los estándares adoptados por la Secretaría Auxiliar de Servicios Educativos Integrales para Personas con Impedimentos</w:t>
      </w:r>
      <w:r w:rsidR="00BE5F2F" w:rsidRPr="00880F8C">
        <w:rPr>
          <w:rFonts w:ascii="Book Antiqua" w:hAnsi="Book Antiqua"/>
          <w:lang w:val="es-ES"/>
        </w:rPr>
        <w:t xml:space="preserve"> (Secretaría Auxiliar)</w:t>
      </w:r>
      <w:r w:rsidR="00DB4961" w:rsidRPr="00880F8C">
        <w:rPr>
          <w:rFonts w:ascii="Book Antiqua" w:hAnsi="Book Antiqua"/>
          <w:lang w:val="es-ES"/>
        </w:rPr>
        <w:t>, que es un componente operacional del mencionado Departamento</w:t>
      </w:r>
      <w:r w:rsidR="006C12FD" w:rsidRPr="00880F8C">
        <w:rPr>
          <w:rFonts w:ascii="Book Antiqua" w:hAnsi="Book Antiqua"/>
          <w:lang w:val="es-ES"/>
        </w:rPr>
        <w:t>. Disponiéndose, que es responsabilidad de cada Oficina Regional Educativa garantizar el diseño y redacción de un Programa Educativo Individualizado (PEI) para cada estudiante bajo el programa de educación especial</w:t>
      </w:r>
      <w:r w:rsidR="00544245" w:rsidRPr="00880F8C">
        <w:rPr>
          <w:rFonts w:ascii="Book Antiqua" w:hAnsi="Book Antiqua"/>
          <w:lang w:val="es-ES"/>
        </w:rPr>
        <w:t xml:space="preserve">; que servirá para establecer los servicios educativos especializados y los relacionados </w:t>
      </w:r>
      <w:r w:rsidR="00415B4B" w:rsidRPr="00880F8C">
        <w:rPr>
          <w:rFonts w:ascii="Book Antiqua" w:hAnsi="Book Antiqua"/>
          <w:lang w:val="es-ES"/>
        </w:rPr>
        <w:t>[con la educación]</w:t>
      </w:r>
      <w:r w:rsidR="00415B4B" w:rsidRPr="00880F8C">
        <w:rPr>
          <w:rStyle w:val="FootnoteReference"/>
          <w:rFonts w:ascii="Book Antiqua" w:hAnsi="Book Antiqua"/>
          <w:b/>
          <w:bCs/>
          <w:lang w:val="es-ES"/>
        </w:rPr>
        <w:footnoteReference w:id="2"/>
      </w:r>
      <w:r w:rsidR="00415B4B" w:rsidRPr="00880F8C">
        <w:rPr>
          <w:rFonts w:ascii="Book Antiqua" w:hAnsi="Book Antiqua"/>
          <w:lang w:val="es-ES"/>
        </w:rPr>
        <w:t xml:space="preserve"> </w:t>
      </w:r>
      <w:r w:rsidR="00544245" w:rsidRPr="00880F8C">
        <w:rPr>
          <w:rFonts w:ascii="Book Antiqua" w:hAnsi="Book Antiqua"/>
          <w:lang w:val="es-ES"/>
        </w:rPr>
        <w:t>que recibirá cada estudiante y a los que el Departamento de Educación y sus Oficinas Regionales Educativas quedarán obligadas.</w:t>
      </w:r>
      <w:r w:rsidR="009B2905" w:rsidRPr="00880F8C">
        <w:rPr>
          <w:rFonts w:ascii="Book Antiqua" w:hAnsi="Book Antiqua"/>
          <w:lang w:val="es-ES"/>
        </w:rPr>
        <w:t xml:space="preserve"> </w:t>
      </w:r>
    </w:p>
    <w:p w14:paraId="3E1E0857" w14:textId="77777777" w:rsidR="00BE5F2F" w:rsidRPr="00880F8C" w:rsidRDefault="00BE5F2F" w:rsidP="00606313">
      <w:pPr>
        <w:tabs>
          <w:tab w:val="left" w:pos="540"/>
        </w:tabs>
        <w:jc w:val="both"/>
        <w:rPr>
          <w:rFonts w:ascii="Book Antiqua" w:hAnsi="Book Antiqua"/>
          <w:lang w:val="es-ES"/>
        </w:rPr>
      </w:pPr>
    </w:p>
    <w:p w14:paraId="2132CB72" w14:textId="77777777" w:rsidR="009325A3" w:rsidRPr="00880F8C" w:rsidRDefault="006A2CB9" w:rsidP="00606313">
      <w:pPr>
        <w:tabs>
          <w:tab w:val="left" w:pos="540"/>
        </w:tabs>
        <w:jc w:val="both"/>
        <w:rPr>
          <w:rFonts w:ascii="Book Antiqua" w:hAnsi="Book Antiqua"/>
          <w:lang w:val="es-ES"/>
        </w:rPr>
      </w:pPr>
      <w:r w:rsidRPr="00880F8C">
        <w:rPr>
          <w:rFonts w:ascii="Book Antiqua" w:hAnsi="Book Antiqua"/>
          <w:lang w:val="es-ES"/>
        </w:rPr>
        <w:tab/>
        <w:t xml:space="preserve">Según definido en la Ley Núm. 51, </w:t>
      </w:r>
      <w:r w:rsidRPr="00505FC6">
        <w:rPr>
          <w:rFonts w:ascii="Book Antiqua" w:hAnsi="Book Antiqua"/>
          <w:i/>
          <w:iCs/>
          <w:lang w:val="es-ES"/>
        </w:rPr>
        <w:t>supra,</w:t>
      </w:r>
      <w:r w:rsidRPr="00880F8C">
        <w:rPr>
          <w:rFonts w:ascii="Book Antiqua" w:hAnsi="Book Antiqua"/>
          <w:lang w:val="es-ES"/>
        </w:rPr>
        <w:t xml:space="preserve"> el PEI constituye “un documento escrito para cada persona con impedimentos, especialmente diseñado para responder a sus necesidades educativas particulares, basado en las evaluaciones realizadas por un equipo multidisciplinario, y con la participación de los padres de dicha persona y, cuando sea apropiado, por la propia persona, y el cual, en la medida que sea posible, brindará a la persona acceso a actividades vocacionales y ocupacionales”.</w:t>
      </w:r>
      <w:r w:rsidRPr="00880F8C">
        <w:rPr>
          <w:rStyle w:val="FootnoteReference"/>
          <w:rFonts w:ascii="Book Antiqua" w:hAnsi="Book Antiqua"/>
          <w:b/>
          <w:bCs/>
          <w:lang w:val="es-ES"/>
        </w:rPr>
        <w:footnoteReference w:id="3"/>
      </w:r>
      <w:r w:rsidRPr="00880F8C">
        <w:rPr>
          <w:rFonts w:ascii="Book Antiqua" w:hAnsi="Book Antiqua"/>
          <w:b/>
          <w:bCs/>
          <w:lang w:val="es-ES"/>
        </w:rPr>
        <w:t xml:space="preserve"> </w:t>
      </w:r>
      <w:r w:rsidRPr="00880F8C">
        <w:rPr>
          <w:rFonts w:ascii="Book Antiqua" w:hAnsi="Book Antiqua"/>
          <w:lang w:val="es-ES"/>
        </w:rPr>
        <w:t>Destacamos que, e</w:t>
      </w:r>
      <w:r w:rsidR="00BE5F2F" w:rsidRPr="00880F8C">
        <w:rPr>
          <w:rFonts w:ascii="Book Antiqua" w:hAnsi="Book Antiqua"/>
          <w:lang w:val="es-ES"/>
        </w:rPr>
        <w:t xml:space="preserve">n particular, le corresponde a la Secretaría Auxiliar diseñar y redactar el PEI, al igual que brindar los servicios educativos especializados y los relacionados a todas las personas con impedimentos que se determinen elegibles al programa de conformidad con el PEI. </w:t>
      </w:r>
    </w:p>
    <w:p w14:paraId="34B3A616" w14:textId="77777777" w:rsidR="009325A3" w:rsidRPr="00880F8C" w:rsidRDefault="009325A3" w:rsidP="00606313">
      <w:pPr>
        <w:tabs>
          <w:tab w:val="left" w:pos="540"/>
        </w:tabs>
        <w:jc w:val="both"/>
        <w:rPr>
          <w:rFonts w:ascii="Book Antiqua" w:hAnsi="Book Antiqua"/>
          <w:lang w:val="es-ES"/>
        </w:rPr>
      </w:pPr>
    </w:p>
    <w:p w14:paraId="6AF77361" w14:textId="77777777" w:rsidR="009B2905" w:rsidRPr="00880F8C" w:rsidRDefault="009325A3" w:rsidP="00606313">
      <w:pPr>
        <w:tabs>
          <w:tab w:val="left" w:pos="540"/>
        </w:tabs>
        <w:jc w:val="both"/>
        <w:rPr>
          <w:rFonts w:ascii="Book Antiqua" w:hAnsi="Book Antiqua"/>
          <w:lang w:val="es-ES"/>
        </w:rPr>
      </w:pPr>
      <w:r w:rsidRPr="00880F8C">
        <w:rPr>
          <w:rFonts w:ascii="Book Antiqua" w:hAnsi="Book Antiqua"/>
          <w:lang w:val="es-ES"/>
        </w:rPr>
        <w:lastRenderedPageBreak/>
        <w:tab/>
      </w:r>
      <w:r w:rsidR="00BE5F2F" w:rsidRPr="00880F8C">
        <w:rPr>
          <w:rFonts w:ascii="Book Antiqua" w:hAnsi="Book Antiqua"/>
          <w:lang w:val="es-ES"/>
        </w:rPr>
        <w:t>Así también</w:t>
      </w:r>
      <w:r w:rsidR="00264E45" w:rsidRPr="00880F8C">
        <w:rPr>
          <w:rFonts w:ascii="Book Antiqua" w:hAnsi="Book Antiqua"/>
          <w:lang w:val="es-ES"/>
        </w:rPr>
        <w:t xml:space="preserve">, </w:t>
      </w:r>
      <w:r w:rsidRPr="00880F8C">
        <w:rPr>
          <w:rFonts w:ascii="Book Antiqua" w:hAnsi="Book Antiqua"/>
          <w:lang w:val="es-ES"/>
        </w:rPr>
        <w:t xml:space="preserve">la Secretaría Auxiliar </w:t>
      </w:r>
      <w:r w:rsidR="00264E45" w:rsidRPr="00880F8C">
        <w:rPr>
          <w:rFonts w:ascii="Book Antiqua" w:hAnsi="Book Antiqua"/>
          <w:lang w:val="es-ES"/>
        </w:rPr>
        <w:t>tiene el deber de</w:t>
      </w:r>
      <w:r w:rsidR="00BE5F2F" w:rsidRPr="00880F8C">
        <w:rPr>
          <w:rFonts w:ascii="Book Antiqua" w:hAnsi="Book Antiqua"/>
          <w:lang w:val="es-ES"/>
        </w:rPr>
        <w:t xml:space="preserve"> coordinar con las agencias concernidas</w:t>
      </w:r>
      <w:r w:rsidR="006A2CB9" w:rsidRPr="00880F8C">
        <w:rPr>
          <w:rFonts w:ascii="Book Antiqua" w:hAnsi="Book Antiqua"/>
          <w:lang w:val="es-ES"/>
        </w:rPr>
        <w:t>, entre las cuales se encuentra la Administración de Rehabilitación Vocacional,</w:t>
      </w:r>
      <w:r w:rsidR="00BE5F2F" w:rsidRPr="00880F8C">
        <w:rPr>
          <w:rFonts w:ascii="Book Antiqua" w:hAnsi="Book Antiqua"/>
          <w:lang w:val="es-ES"/>
        </w:rPr>
        <w:t xml:space="preserve"> el desarrollo de un plan de transición a la vida adulta para los estudiantes con impedimentos</w:t>
      </w:r>
      <w:r w:rsidR="00264E45" w:rsidRPr="00880F8C">
        <w:rPr>
          <w:rFonts w:ascii="Book Antiqua" w:hAnsi="Book Antiqua"/>
          <w:lang w:val="es-ES"/>
        </w:rPr>
        <w:t>. Esto,</w:t>
      </w:r>
      <w:r w:rsidR="00BE5F2F" w:rsidRPr="00880F8C">
        <w:rPr>
          <w:rFonts w:ascii="Book Antiqua" w:hAnsi="Book Antiqua"/>
          <w:lang w:val="es-ES"/>
        </w:rPr>
        <w:t xml:space="preserve"> no más tarde de los dieciséis (16) </w:t>
      </w:r>
      <w:proofErr w:type="gramStart"/>
      <w:r w:rsidR="00BE5F2F" w:rsidRPr="00880F8C">
        <w:rPr>
          <w:rFonts w:ascii="Book Antiqua" w:hAnsi="Book Antiqua"/>
          <w:lang w:val="es-ES"/>
        </w:rPr>
        <w:t>años de edad</w:t>
      </w:r>
      <w:proofErr w:type="gramEnd"/>
      <w:r w:rsidR="00264E45" w:rsidRPr="00880F8C">
        <w:rPr>
          <w:rFonts w:ascii="Book Antiqua" w:hAnsi="Book Antiqua"/>
          <w:lang w:val="es-ES"/>
        </w:rPr>
        <w:t xml:space="preserve"> </w:t>
      </w:r>
      <w:r w:rsidR="00BE5F2F" w:rsidRPr="00880F8C">
        <w:rPr>
          <w:rFonts w:ascii="Book Antiqua" w:hAnsi="Book Antiqua"/>
          <w:lang w:val="es-ES"/>
        </w:rPr>
        <w:t xml:space="preserve">o </w:t>
      </w:r>
      <w:r w:rsidR="00264E45" w:rsidRPr="00880F8C">
        <w:rPr>
          <w:rFonts w:ascii="Book Antiqua" w:hAnsi="Book Antiqua"/>
          <w:lang w:val="es-ES"/>
        </w:rPr>
        <w:t>con anterioridad</w:t>
      </w:r>
      <w:r w:rsidR="006A2CB9" w:rsidRPr="00880F8C">
        <w:rPr>
          <w:rFonts w:ascii="Book Antiqua" w:hAnsi="Book Antiqua"/>
          <w:lang w:val="es-ES"/>
        </w:rPr>
        <w:t xml:space="preserve"> de haberlos cumplido</w:t>
      </w:r>
      <w:r w:rsidR="00264E45" w:rsidRPr="00880F8C">
        <w:rPr>
          <w:rFonts w:ascii="Book Antiqua" w:hAnsi="Book Antiqua"/>
          <w:lang w:val="es-ES"/>
        </w:rPr>
        <w:t>,</w:t>
      </w:r>
      <w:r w:rsidR="00BE5F2F" w:rsidRPr="00880F8C">
        <w:rPr>
          <w:rFonts w:ascii="Book Antiqua" w:hAnsi="Book Antiqua"/>
          <w:lang w:val="es-ES"/>
        </w:rPr>
        <w:t xml:space="preserve"> si fuera recomendado.</w:t>
      </w:r>
      <w:r w:rsidR="00264E45" w:rsidRPr="00880F8C">
        <w:rPr>
          <w:rFonts w:ascii="Book Antiqua" w:hAnsi="Book Antiqua"/>
          <w:lang w:val="es-ES"/>
        </w:rPr>
        <w:t xml:space="preserve"> Aclaramos que el llamado “plan de transición” constituye un proceso para facilitar a las personas con impedimentos</w:t>
      </w:r>
      <w:r w:rsidRPr="00880F8C">
        <w:rPr>
          <w:rStyle w:val="FootnoteReference"/>
          <w:rFonts w:ascii="Book Antiqua" w:hAnsi="Book Antiqua"/>
          <w:b/>
          <w:bCs/>
          <w:lang w:val="es-ES"/>
        </w:rPr>
        <w:footnoteReference w:id="4"/>
      </w:r>
      <w:r w:rsidR="00264E45" w:rsidRPr="00880F8C">
        <w:rPr>
          <w:rFonts w:ascii="Book Antiqua" w:hAnsi="Book Antiqua"/>
          <w:lang w:val="es-ES"/>
        </w:rPr>
        <w:t xml:space="preserve"> “su adaptación o integración a un nuevo ambiente, de las etapas de intervención temprana a la preescolar; a la escolar; al mundo del trabajo; a la vida independiente, o a la educación post secundaria.”</w:t>
      </w:r>
      <w:r w:rsidR="00264E45" w:rsidRPr="00880F8C">
        <w:rPr>
          <w:rStyle w:val="FootnoteReference"/>
          <w:rFonts w:ascii="Book Antiqua" w:hAnsi="Book Antiqua"/>
          <w:b/>
          <w:bCs/>
          <w:lang w:val="es-ES"/>
        </w:rPr>
        <w:footnoteReference w:id="5"/>
      </w:r>
    </w:p>
    <w:p w14:paraId="321244D4" w14:textId="77777777" w:rsidR="009B2905" w:rsidRPr="00880F8C" w:rsidRDefault="009B2905" w:rsidP="00606313">
      <w:pPr>
        <w:tabs>
          <w:tab w:val="left" w:pos="540"/>
        </w:tabs>
        <w:jc w:val="both"/>
        <w:rPr>
          <w:rFonts w:ascii="Book Antiqua" w:hAnsi="Book Antiqua"/>
          <w:lang w:val="es-ES"/>
        </w:rPr>
      </w:pPr>
    </w:p>
    <w:p w14:paraId="01E744C6" w14:textId="77777777" w:rsidR="00E50BAA" w:rsidRPr="00880F8C" w:rsidRDefault="009B2905" w:rsidP="00606313">
      <w:pPr>
        <w:tabs>
          <w:tab w:val="left" w:pos="540"/>
        </w:tabs>
        <w:jc w:val="both"/>
        <w:rPr>
          <w:rFonts w:ascii="Book Antiqua" w:hAnsi="Book Antiqua"/>
          <w:lang w:val="es-ES"/>
        </w:rPr>
      </w:pPr>
      <w:r w:rsidRPr="00880F8C">
        <w:rPr>
          <w:rFonts w:ascii="Book Antiqua" w:hAnsi="Book Antiqua"/>
          <w:lang w:val="es-ES"/>
        </w:rPr>
        <w:tab/>
      </w:r>
      <w:r w:rsidR="00E50BAA" w:rsidRPr="00880F8C">
        <w:rPr>
          <w:rFonts w:ascii="Book Antiqua" w:hAnsi="Book Antiqua"/>
          <w:lang w:val="es-ES"/>
        </w:rPr>
        <w:t>Así pues, el Departamento de Educación provee a los estudiantes con necesidades de educación especial una serie de servicios esenciales que incluyen terapias educativas y evaluaciones especializadas que son fundamentales para su aprendizaje, desarrollo y eventual integración en la educación superior y el mundo laboral. Sin embargo, una vez estos estudiantes culminan la escuela secundaria y alcanzan los veintiún (21) años,</w:t>
      </w:r>
      <w:r w:rsidR="000616A3" w:rsidRPr="00880F8C">
        <w:rPr>
          <w:rFonts w:ascii="Book Antiqua" w:hAnsi="Book Antiqua"/>
          <w:lang w:val="es-ES"/>
        </w:rPr>
        <w:t xml:space="preserve"> inclusive,</w:t>
      </w:r>
      <w:r w:rsidR="00E50BAA" w:rsidRPr="00880F8C">
        <w:rPr>
          <w:rFonts w:ascii="Book Antiqua" w:hAnsi="Book Antiqua"/>
          <w:lang w:val="es-ES"/>
        </w:rPr>
        <w:t xml:space="preserve"> la cobertura de estos servicios finaliza, dejando a miles de jóvenes y sus familias en una situación de extrema dificultad. Ciertamente, las necesidades de estos estudiantes no desaparecen al cumplir la mayoría de edad; debido a que muchos de ellos requieren evaluaciones continuas de procesamiento auditivo, ya que su capacidad de aprendizaje y comunicación depende de la identificación y tratamiento adecuado de estos problemas. De igual manera, las terapias educativas son </w:t>
      </w:r>
      <w:r w:rsidR="00D13A1A" w:rsidRPr="00880F8C">
        <w:rPr>
          <w:rFonts w:ascii="Book Antiqua" w:hAnsi="Book Antiqua"/>
          <w:lang w:val="es-ES"/>
        </w:rPr>
        <w:t>indispensables para reforzar destrezas esenciales en lectura, escritura, matemáticas y procesamiento de información, permitiéndoles continuar sus estudios postsecundarios o integrarse exitosamente al mundo laboral.</w:t>
      </w:r>
    </w:p>
    <w:p w14:paraId="2046058C" w14:textId="77777777" w:rsidR="00A61893" w:rsidRPr="00880F8C" w:rsidRDefault="00A61893" w:rsidP="00606313">
      <w:pPr>
        <w:tabs>
          <w:tab w:val="left" w:pos="540"/>
        </w:tabs>
        <w:jc w:val="both"/>
        <w:rPr>
          <w:rFonts w:ascii="Book Antiqua" w:hAnsi="Book Antiqua"/>
          <w:lang w:val="es-ES"/>
        </w:rPr>
      </w:pPr>
    </w:p>
    <w:p w14:paraId="394F8662" w14:textId="77777777" w:rsidR="00A61893" w:rsidRPr="00880F8C" w:rsidRDefault="00A61893" w:rsidP="00606313">
      <w:pPr>
        <w:tabs>
          <w:tab w:val="left" w:pos="540"/>
        </w:tabs>
        <w:jc w:val="both"/>
        <w:rPr>
          <w:rFonts w:ascii="Book Antiqua" w:hAnsi="Book Antiqua"/>
          <w:lang w:val="es-ES"/>
        </w:rPr>
      </w:pPr>
      <w:r w:rsidRPr="00880F8C">
        <w:rPr>
          <w:rFonts w:ascii="Book Antiqua" w:hAnsi="Book Antiqua"/>
          <w:lang w:val="es-ES"/>
        </w:rPr>
        <w:tab/>
        <w:t>El acceso a estas terapias y evaluaciones es una necesidad médica y educativa, pero su alto costo representa una barrera insalvable para muchas familias. En la actualidad, una evaluación de procesamiento auditivo para jóvenes mayores de veintiún (21) años puede costar entre doscientos (200) a trescientos (300) dólares; mientras que cada sesión de terapia educativa tiene un costo aproximado de sesenta y cinco (65) dólares. A modo de ejemplo, si un estudiante necesita un mínimo de ocho (8) sesiones al mes, el gasto mensual asciende a quinientos veinte (520) dólares, sin contar otros costos relacionados con su educación, como matrícula universitaria, materiales de estudio, hospedaje y alimentación. Esta carga económica recae sobre familias que, en muchos casos, ya enfrentan desafíos financieros significativos.</w:t>
      </w:r>
    </w:p>
    <w:p w14:paraId="3AE322C3" w14:textId="77777777" w:rsidR="00A61893" w:rsidRPr="00880F8C" w:rsidRDefault="00A61893" w:rsidP="00606313">
      <w:pPr>
        <w:tabs>
          <w:tab w:val="left" w:pos="540"/>
        </w:tabs>
        <w:jc w:val="both"/>
        <w:rPr>
          <w:rFonts w:ascii="Book Antiqua" w:hAnsi="Book Antiqua"/>
          <w:lang w:val="es-ES"/>
        </w:rPr>
      </w:pPr>
    </w:p>
    <w:p w14:paraId="36B95F6B" w14:textId="77777777" w:rsidR="00A61893" w:rsidRPr="00880F8C" w:rsidRDefault="00A61893" w:rsidP="00606313">
      <w:pPr>
        <w:tabs>
          <w:tab w:val="left" w:pos="540"/>
        </w:tabs>
        <w:jc w:val="both"/>
        <w:rPr>
          <w:rFonts w:ascii="Book Antiqua" w:hAnsi="Book Antiqua"/>
          <w:lang w:val="es-ES"/>
        </w:rPr>
      </w:pPr>
      <w:r w:rsidRPr="00880F8C">
        <w:rPr>
          <w:rFonts w:ascii="Book Antiqua" w:hAnsi="Book Antiqua"/>
          <w:lang w:val="es-ES"/>
        </w:rPr>
        <w:tab/>
        <w:t>A pesar de la existencia del Programa de Rehabilitación Vocacional,</w:t>
      </w:r>
      <w:r w:rsidR="000616A3" w:rsidRPr="00880F8C">
        <w:rPr>
          <w:rFonts w:ascii="Book Antiqua" w:hAnsi="Book Antiqua"/>
          <w:lang w:val="es-ES"/>
        </w:rPr>
        <w:t xml:space="preserve"> y de la Ley Núm. 105-2016, conocida como “Ley para el Acceso, Adiestramiento y Apoyo Extendido para la Inserción Social de las Personas de veintidós (22) años en adelante con Impedimentos”,</w:t>
      </w:r>
      <w:r w:rsidRPr="00880F8C">
        <w:rPr>
          <w:rFonts w:ascii="Book Antiqua" w:hAnsi="Book Antiqua"/>
          <w:lang w:val="es-ES"/>
        </w:rPr>
        <w:t xml:space="preserve"> </w:t>
      </w:r>
      <w:r w:rsidR="00214F6E" w:rsidRPr="00880F8C">
        <w:rPr>
          <w:rFonts w:ascii="Book Antiqua" w:hAnsi="Book Antiqua"/>
          <w:lang w:val="es-ES"/>
        </w:rPr>
        <w:t xml:space="preserve">la Administración de Rehabilitación Vocacional </w:t>
      </w:r>
      <w:r w:rsidR="000616A3" w:rsidRPr="00880F8C">
        <w:rPr>
          <w:rFonts w:ascii="Book Antiqua" w:hAnsi="Book Antiqua"/>
          <w:lang w:val="es-ES"/>
        </w:rPr>
        <w:t>se encuentra limitada para cubrir</w:t>
      </w:r>
      <w:r w:rsidRPr="00880F8C">
        <w:rPr>
          <w:rFonts w:ascii="Book Antiqua" w:hAnsi="Book Antiqua"/>
          <w:lang w:val="es-ES"/>
        </w:rPr>
        <w:t xml:space="preserve"> las evaluaciones de procesamiento auditivo </w:t>
      </w:r>
      <w:r w:rsidR="000616A3" w:rsidRPr="00880F8C">
        <w:rPr>
          <w:rFonts w:ascii="Book Antiqua" w:hAnsi="Book Antiqua"/>
          <w:lang w:val="es-ES"/>
        </w:rPr>
        <w:t>y</w:t>
      </w:r>
      <w:r w:rsidRPr="00880F8C">
        <w:rPr>
          <w:rFonts w:ascii="Book Antiqua" w:hAnsi="Book Antiqua"/>
          <w:lang w:val="es-ES"/>
        </w:rPr>
        <w:t xml:space="preserve"> las terapias educativas</w:t>
      </w:r>
      <w:r w:rsidR="009B084A" w:rsidRPr="00880F8C">
        <w:rPr>
          <w:rFonts w:ascii="Book Antiqua" w:hAnsi="Book Antiqua"/>
          <w:lang w:val="es-ES"/>
        </w:rPr>
        <w:t xml:space="preserve"> que necesitan estos jóvenes, dejándolos </w:t>
      </w:r>
      <w:r w:rsidRPr="00880F8C">
        <w:rPr>
          <w:rFonts w:ascii="Book Antiqua" w:hAnsi="Book Antiqua"/>
          <w:lang w:val="es-ES"/>
        </w:rPr>
        <w:t>sin acceso a servicios que son fundamentales para su desarrollo y éxito académico. Más aún, la falta de cobertura por parte de los planes médicos agrava la situación, obligando a muchas familias a tomar decisiones difíciles y, en muchos casos, a privar a sus hijos de la atención que necesitan para prosperar</w:t>
      </w:r>
      <w:r w:rsidR="00F07E54" w:rsidRPr="00880F8C">
        <w:rPr>
          <w:rFonts w:ascii="Book Antiqua" w:hAnsi="Book Antiqua"/>
          <w:lang w:val="es-ES"/>
        </w:rPr>
        <w:t>. Consecuentemente, negarles a estos estudiantes la continuidad de los servicios que han recibido durante su educación primaria y secundaria se traduce a truncar sus oportunidades de alcanzar su máximo potencial. Es condenarlos a enfrentar barreras innecesarias en su camino hacia la independencia y la autosuficiencia. Es una injusticia que, como sociedad, no podemos permitir.</w:t>
      </w:r>
    </w:p>
    <w:p w14:paraId="008E57C7" w14:textId="77777777" w:rsidR="00F07E54" w:rsidRPr="00880F8C" w:rsidRDefault="00F07E54" w:rsidP="00606313">
      <w:pPr>
        <w:tabs>
          <w:tab w:val="left" w:pos="540"/>
        </w:tabs>
        <w:jc w:val="both"/>
        <w:rPr>
          <w:rFonts w:ascii="Book Antiqua" w:hAnsi="Book Antiqua"/>
          <w:lang w:val="es-ES"/>
        </w:rPr>
      </w:pPr>
    </w:p>
    <w:p w14:paraId="6FCA20D7" w14:textId="064BB193" w:rsidR="00F57270" w:rsidRPr="00880F8C" w:rsidRDefault="00F07E54" w:rsidP="00606313">
      <w:pPr>
        <w:tabs>
          <w:tab w:val="left" w:pos="540"/>
        </w:tabs>
        <w:jc w:val="both"/>
        <w:rPr>
          <w:rFonts w:ascii="Book Antiqua" w:hAnsi="Book Antiqua"/>
          <w:lang w:val="es-ES"/>
        </w:rPr>
      </w:pPr>
      <w:r w:rsidRPr="00880F8C">
        <w:rPr>
          <w:rFonts w:ascii="Book Antiqua" w:hAnsi="Book Antiqua"/>
          <w:lang w:val="es-ES"/>
        </w:rPr>
        <w:tab/>
        <w:t xml:space="preserve">Por todo lo cual, esta Asamblea Legislativa tiene la responsabilidad de brindar protección a estos jóvenes, de manera que puedan acceder a los servicios que les permitan integrarse plenamente a la sociedad y alcanzar su máximo potencial. Así las cosas, esta </w:t>
      </w:r>
      <w:r w:rsidR="00F428BB">
        <w:rPr>
          <w:rFonts w:ascii="Book Antiqua" w:hAnsi="Book Antiqua"/>
          <w:lang w:val="es-ES"/>
        </w:rPr>
        <w:t>Ley</w:t>
      </w:r>
      <w:r w:rsidRPr="00880F8C">
        <w:rPr>
          <w:rFonts w:ascii="Book Antiqua" w:hAnsi="Book Antiqua"/>
          <w:lang w:val="es-ES"/>
        </w:rPr>
        <w:t xml:space="preserve"> busca establecer la obligatoriedad de que los planes médicos en Puerto Rico ofrezcan cobertura para evaluaciones de procesamiento auditivo y terapias educativas, asegurando la continuidad de los servicios esenciales para esta población vulnerable.</w:t>
      </w:r>
    </w:p>
    <w:p w14:paraId="385AD71C" w14:textId="77777777" w:rsidR="00FA4419" w:rsidRPr="00617CA5" w:rsidRDefault="00FA4419" w:rsidP="00606313">
      <w:pPr>
        <w:tabs>
          <w:tab w:val="left" w:pos="540"/>
        </w:tabs>
        <w:jc w:val="both"/>
        <w:rPr>
          <w:rFonts w:ascii="Book Antiqua" w:hAnsi="Book Antiqua"/>
          <w:lang w:val="es-ES"/>
        </w:rPr>
      </w:pPr>
    </w:p>
    <w:p w14:paraId="0FFB2DE8" w14:textId="77777777" w:rsidR="006B2490" w:rsidRPr="00617CA5" w:rsidRDefault="006B2490" w:rsidP="00880F8C">
      <w:pPr>
        <w:spacing w:line="480" w:lineRule="auto"/>
        <w:rPr>
          <w:rFonts w:ascii="Book Antiqua" w:hAnsi="Book Antiqua"/>
          <w:i/>
          <w:lang w:val="es-ES"/>
        </w:rPr>
      </w:pPr>
      <w:r w:rsidRPr="00617CA5">
        <w:rPr>
          <w:rFonts w:ascii="Book Antiqua" w:hAnsi="Book Antiqua"/>
          <w:i/>
          <w:lang w:val="es-ES"/>
        </w:rPr>
        <w:t>DECRÉTASE POR LA ASAMBLEA LEGISLATIVA DE PUERTO RICO:</w:t>
      </w:r>
    </w:p>
    <w:p w14:paraId="321CE3DD" w14:textId="77777777" w:rsidR="006B2490" w:rsidRPr="00617CA5" w:rsidRDefault="006B2490" w:rsidP="00880F8C">
      <w:pPr>
        <w:spacing w:line="480" w:lineRule="auto"/>
        <w:ind w:firstLine="360"/>
        <w:jc w:val="both"/>
        <w:rPr>
          <w:rFonts w:ascii="Book Antiqua" w:hAnsi="Book Antiqua"/>
          <w:lang w:val="es-ES"/>
        </w:rPr>
        <w:sectPr w:rsidR="006B2490" w:rsidRPr="00617CA5" w:rsidSect="006B2490">
          <w:headerReference w:type="even" r:id="rId8"/>
          <w:headerReference w:type="default" r:id="rId9"/>
          <w:pgSz w:w="12240" w:h="15840" w:code="1"/>
          <w:pgMar w:top="1440" w:right="1440" w:bottom="1440" w:left="1440" w:header="720" w:footer="720" w:gutter="0"/>
          <w:cols w:space="720"/>
          <w:titlePg/>
          <w:docGrid w:linePitch="360"/>
        </w:sectPr>
      </w:pPr>
    </w:p>
    <w:p w14:paraId="195E732C" w14:textId="4D670202" w:rsidR="00675A6C" w:rsidRPr="00880F8C" w:rsidRDefault="00482EDC" w:rsidP="00880F8C">
      <w:pPr>
        <w:spacing w:line="480" w:lineRule="auto"/>
        <w:ind w:firstLine="720"/>
        <w:jc w:val="both"/>
        <w:rPr>
          <w:rFonts w:ascii="Book Antiqua" w:hAnsi="Book Antiqua"/>
          <w:color w:val="000000"/>
          <w:lang w:val="es-ES"/>
        </w:rPr>
      </w:pPr>
      <w:r w:rsidRPr="00880F8C">
        <w:rPr>
          <w:rFonts w:ascii="Book Antiqua" w:hAnsi="Book Antiqua"/>
          <w:lang w:val="es-ES"/>
        </w:rPr>
        <w:t>Artículo 1.- Inclusión de Evaluación de Procesamiento Auditivo y Terapias del Procesamiento Auditivo en la Cubierta de Seguros Médicos.</w:t>
      </w:r>
    </w:p>
    <w:p w14:paraId="57752950" w14:textId="649EA60C" w:rsidR="00253830" w:rsidRPr="00880F8C" w:rsidRDefault="009E7376" w:rsidP="00880F8C">
      <w:pPr>
        <w:spacing w:line="480" w:lineRule="auto"/>
        <w:ind w:firstLine="720"/>
        <w:jc w:val="both"/>
        <w:rPr>
          <w:rFonts w:ascii="Book Antiqua" w:hAnsi="Book Antiqua"/>
          <w:color w:val="000000"/>
          <w:lang w:val="es-ES"/>
        </w:rPr>
      </w:pPr>
      <w:r w:rsidRPr="00880F8C">
        <w:rPr>
          <w:rFonts w:ascii="Book Antiqua" w:hAnsi="Book Antiqua"/>
          <w:lang w:val="es-ES"/>
        </w:rPr>
        <w:t xml:space="preserve">Todo plan, cubierta, póliza o contrato de seguros de salud público o privado otorgado en Puerto Rico por cualquier compañía de seguros autorizada por el Comisionado de Seguros para prestar servicios de salud en Puerto Rico, deberá incluir, como parte de su cubierta, la evaluación de procesamiento auditivo central y las terapias del procesamiento auditivo u otras intervenciones terapéuticas relacionadas para personas con necesidades de educación especial </w:t>
      </w:r>
      <w:r w:rsidR="00F428BB">
        <w:rPr>
          <w:rFonts w:ascii="Book Antiqua" w:hAnsi="Book Antiqua"/>
          <w:lang w:val="es-ES"/>
        </w:rPr>
        <w:t>mayores</w:t>
      </w:r>
      <w:r w:rsidRPr="00880F8C">
        <w:rPr>
          <w:rFonts w:ascii="Book Antiqua" w:hAnsi="Book Antiqua"/>
          <w:lang w:val="es-ES"/>
        </w:rPr>
        <w:t xml:space="preserve"> </w:t>
      </w:r>
      <w:r w:rsidR="002C057A">
        <w:rPr>
          <w:rFonts w:ascii="Book Antiqua" w:hAnsi="Book Antiqua"/>
          <w:lang w:val="es-ES"/>
        </w:rPr>
        <w:t xml:space="preserve">de </w:t>
      </w:r>
      <w:r w:rsidRPr="00880F8C">
        <w:rPr>
          <w:rFonts w:ascii="Book Antiqua" w:hAnsi="Book Antiqua"/>
          <w:lang w:val="es-ES"/>
        </w:rPr>
        <w:t xml:space="preserve">veintiún (21) años de edad y se encuentren cursando estudios postsecundarios, siempre que sean ordenadas o </w:t>
      </w:r>
      <w:r w:rsidRPr="00880F8C">
        <w:rPr>
          <w:rFonts w:ascii="Book Antiqua" w:hAnsi="Book Antiqua"/>
          <w:lang w:val="es-ES"/>
        </w:rPr>
        <w:lastRenderedPageBreak/>
        <w:t>prescritas por un médico, audiólogo licenciado o profesional de la salud autorizado y exista necesidad médica debidamente certificada para el diagnóstico o tratamiento de una condición auditiva o neurológica relacionada.</w:t>
      </w:r>
    </w:p>
    <w:p w14:paraId="44BEC318" w14:textId="77777777" w:rsidR="00B70140" w:rsidRPr="00880F8C" w:rsidRDefault="00B70140" w:rsidP="00880F8C">
      <w:pPr>
        <w:spacing w:line="480" w:lineRule="auto"/>
        <w:ind w:firstLine="720"/>
        <w:jc w:val="both"/>
        <w:rPr>
          <w:rFonts w:ascii="Book Antiqua" w:hAnsi="Book Antiqua"/>
          <w:color w:val="000000"/>
          <w:lang w:val="es-ES"/>
        </w:rPr>
      </w:pPr>
      <w:r w:rsidRPr="00880F8C">
        <w:rPr>
          <w:rFonts w:ascii="Book Antiqua" w:hAnsi="Book Antiqua"/>
          <w:color w:val="000000"/>
          <w:lang w:val="es-ES"/>
        </w:rPr>
        <w:t xml:space="preserve">Artículo </w:t>
      </w:r>
      <w:r w:rsidR="002D1214" w:rsidRPr="00880F8C">
        <w:rPr>
          <w:rFonts w:ascii="Book Antiqua" w:hAnsi="Book Antiqua"/>
          <w:color w:val="000000"/>
          <w:lang w:val="es-ES"/>
        </w:rPr>
        <w:t>2</w:t>
      </w:r>
      <w:r w:rsidRPr="00880F8C">
        <w:rPr>
          <w:rFonts w:ascii="Book Antiqua" w:hAnsi="Book Antiqua"/>
          <w:color w:val="000000"/>
          <w:lang w:val="es-ES"/>
        </w:rPr>
        <w:t>.- Definiciones.</w:t>
      </w:r>
    </w:p>
    <w:p w14:paraId="654F522C" w14:textId="77777777" w:rsidR="00482EDC" w:rsidRPr="00880F8C" w:rsidRDefault="00264628" w:rsidP="00880F8C">
      <w:pPr>
        <w:spacing w:line="480" w:lineRule="auto"/>
        <w:ind w:firstLine="360"/>
        <w:jc w:val="both"/>
        <w:rPr>
          <w:rFonts w:ascii="Book Antiqua" w:hAnsi="Book Antiqua"/>
          <w:color w:val="000000"/>
          <w:lang w:val="es-ES"/>
        </w:rPr>
      </w:pPr>
      <w:r w:rsidRPr="00880F8C">
        <w:rPr>
          <w:rFonts w:ascii="Book Antiqua" w:hAnsi="Book Antiqua"/>
          <w:color w:val="000000"/>
          <w:lang w:val="es-ES"/>
        </w:rPr>
        <w:tab/>
      </w:r>
      <w:r w:rsidR="002D1214" w:rsidRPr="00880F8C">
        <w:rPr>
          <w:rFonts w:ascii="Book Antiqua" w:hAnsi="Book Antiqua"/>
          <w:color w:val="000000"/>
          <w:lang w:val="es-ES"/>
        </w:rPr>
        <w:t>Para propósitos de esta Ley, las siguientes palabras o frases tendrán los significados que se indican a continuación</w:t>
      </w:r>
      <w:r w:rsidR="0062166C" w:rsidRPr="00880F8C">
        <w:rPr>
          <w:rFonts w:ascii="Book Antiqua" w:hAnsi="Book Antiqua"/>
          <w:color w:val="000000"/>
          <w:lang w:val="es-ES"/>
        </w:rPr>
        <w:t xml:space="preserve">: </w:t>
      </w:r>
    </w:p>
    <w:p w14:paraId="2F1055C0" w14:textId="77777777" w:rsidR="008B4AB8" w:rsidRPr="00880F8C" w:rsidRDefault="008F7453" w:rsidP="00880F8C">
      <w:pPr>
        <w:pStyle w:val="ListParagraph"/>
        <w:numPr>
          <w:ilvl w:val="0"/>
          <w:numId w:val="1"/>
        </w:numPr>
        <w:tabs>
          <w:tab w:val="left" w:pos="990"/>
          <w:tab w:val="left" w:pos="1260"/>
        </w:tabs>
        <w:spacing w:after="0" w:line="480" w:lineRule="auto"/>
        <w:ind w:left="0" w:firstLine="720"/>
        <w:jc w:val="both"/>
        <w:rPr>
          <w:rFonts w:ascii="Book Antiqua" w:hAnsi="Book Antiqua"/>
          <w:color w:val="000000"/>
          <w:sz w:val="24"/>
          <w:lang w:val="es-ES"/>
        </w:rPr>
      </w:pPr>
      <w:r w:rsidRPr="00880F8C">
        <w:rPr>
          <w:rFonts w:ascii="Book Antiqua" w:hAnsi="Book Antiqua"/>
          <w:sz w:val="24"/>
          <w:lang w:val="es-ES"/>
        </w:rPr>
        <w:t>“Evaluación de procesamiento auditivo central” – comprende pruebas médicas realizadas por especialistas para diagnosticar trastornos en la manera en que el cerebro procesa la información auditiva, las cuales son esenciales para determinar tratamientos adecuados en personas con dificultades de aprendizaje.</w:t>
      </w:r>
    </w:p>
    <w:p w14:paraId="12566AB7" w14:textId="3E709DB8" w:rsidR="00D9713D" w:rsidRPr="00880F8C" w:rsidRDefault="00617CA5" w:rsidP="00880F8C">
      <w:pPr>
        <w:pStyle w:val="ListParagraph"/>
        <w:numPr>
          <w:ilvl w:val="0"/>
          <w:numId w:val="1"/>
        </w:numPr>
        <w:tabs>
          <w:tab w:val="left" w:pos="990"/>
          <w:tab w:val="left" w:pos="1260"/>
        </w:tabs>
        <w:spacing w:after="0" w:line="480" w:lineRule="auto"/>
        <w:ind w:left="0" w:firstLine="720"/>
        <w:jc w:val="both"/>
        <w:rPr>
          <w:rFonts w:ascii="Book Antiqua" w:hAnsi="Book Antiqua"/>
          <w:color w:val="000000"/>
          <w:sz w:val="24"/>
          <w:szCs w:val="24"/>
          <w:lang w:val="es-ES"/>
        </w:rPr>
      </w:pPr>
      <w:r w:rsidRPr="00880F8C">
        <w:rPr>
          <w:rFonts w:ascii="Book Antiqua" w:hAnsi="Book Antiqua"/>
          <w:sz w:val="24"/>
          <w:szCs w:val="24"/>
          <w:lang w:val="es-ES"/>
        </w:rPr>
        <w:t>“Necesidad médica” – la determinación, debidamente certificada por un profesional de la salud licenciado, de que un servicio resulta razonable y necesario para el diagnóstico o tratamiento de una condición auditiva o neurológica relacionada.</w:t>
      </w:r>
    </w:p>
    <w:p w14:paraId="56130637" w14:textId="0E4CA5F5" w:rsidR="00617CA5" w:rsidRPr="00880F8C" w:rsidRDefault="00617CA5" w:rsidP="00880F8C">
      <w:pPr>
        <w:tabs>
          <w:tab w:val="left" w:pos="990"/>
          <w:tab w:val="left" w:pos="1260"/>
        </w:tabs>
        <w:spacing w:line="480" w:lineRule="auto"/>
        <w:jc w:val="both"/>
        <w:rPr>
          <w:rFonts w:ascii="Book Antiqua" w:hAnsi="Book Antiqua"/>
          <w:color w:val="000000"/>
          <w:lang w:val="es-ES"/>
        </w:rPr>
      </w:pPr>
      <w:r w:rsidRPr="00880F8C">
        <w:rPr>
          <w:rFonts w:ascii="Book Antiqua" w:hAnsi="Book Antiqua"/>
          <w:lang w:val="es-ES"/>
        </w:rPr>
        <w:tab/>
        <w:t>(c) “Terapias del procesamiento auditivo u otras intervenciones terapéuticas relacionadas” – son aquellas de naturaleza terapéutica o clínica dirigidas a tratar trastornos del procesamiento auditivo u otras condiciones relacionadas, cuando sean prescritas por un profesional de la salud licenciado.</w:t>
      </w:r>
    </w:p>
    <w:p w14:paraId="1848A4E2" w14:textId="51B355B8" w:rsidR="000B10CC" w:rsidRPr="00880F8C" w:rsidRDefault="00D52514" w:rsidP="00880F8C">
      <w:pPr>
        <w:pStyle w:val="ListParagraph"/>
        <w:tabs>
          <w:tab w:val="left" w:pos="1080"/>
        </w:tabs>
        <w:spacing w:after="0" w:line="480" w:lineRule="auto"/>
        <w:jc w:val="both"/>
        <w:rPr>
          <w:rFonts w:ascii="Book Antiqua" w:hAnsi="Book Antiqua"/>
          <w:color w:val="000000"/>
          <w:sz w:val="24"/>
          <w:szCs w:val="24"/>
          <w:lang w:val="es-ES"/>
        </w:rPr>
      </w:pPr>
      <w:r w:rsidRPr="00880F8C">
        <w:rPr>
          <w:rFonts w:ascii="Book Antiqua" w:hAnsi="Book Antiqua"/>
          <w:sz w:val="24"/>
          <w:lang w:val="es-ES"/>
        </w:rPr>
        <w:t>Artículo 3.- Obligación de las Compañías de Seguros.</w:t>
      </w:r>
    </w:p>
    <w:p w14:paraId="35EA20A2" w14:textId="77777777" w:rsidR="00AA4940" w:rsidRPr="00880F8C" w:rsidRDefault="00AA4940" w:rsidP="00880F8C">
      <w:pPr>
        <w:pStyle w:val="ListParagraph"/>
        <w:tabs>
          <w:tab w:val="left" w:pos="1080"/>
        </w:tabs>
        <w:spacing w:after="0" w:line="480" w:lineRule="auto"/>
        <w:ind w:left="0" w:firstLine="720"/>
        <w:jc w:val="both"/>
        <w:rPr>
          <w:rFonts w:ascii="Book Antiqua" w:hAnsi="Book Antiqua"/>
          <w:color w:val="000000"/>
          <w:sz w:val="24"/>
          <w:szCs w:val="24"/>
          <w:lang w:val="es-ES"/>
        </w:rPr>
      </w:pPr>
      <w:r w:rsidRPr="00880F8C">
        <w:rPr>
          <w:rFonts w:ascii="Book Antiqua" w:hAnsi="Book Antiqua"/>
          <w:color w:val="000000"/>
          <w:sz w:val="24"/>
          <w:szCs w:val="24"/>
          <w:lang w:val="es-ES"/>
        </w:rPr>
        <w:t>Las compañías de seguros referidas en el Artículo 1 de esta Ley deberán informar</w:t>
      </w:r>
      <w:r w:rsidR="00853B47" w:rsidRPr="00880F8C">
        <w:rPr>
          <w:rFonts w:ascii="Book Antiqua" w:hAnsi="Book Antiqua"/>
          <w:color w:val="000000"/>
          <w:sz w:val="24"/>
          <w:szCs w:val="24"/>
          <w:lang w:val="es-ES"/>
        </w:rPr>
        <w:t xml:space="preserve"> </w:t>
      </w:r>
      <w:r w:rsidRPr="00880F8C">
        <w:rPr>
          <w:rFonts w:ascii="Book Antiqua" w:hAnsi="Book Antiqua"/>
          <w:color w:val="000000"/>
          <w:sz w:val="24"/>
          <w:szCs w:val="24"/>
          <w:lang w:val="es-ES"/>
        </w:rPr>
        <w:t>a todo asegurado sobre la disponibilidad de esta cubierta durante el proceso de negociación del contrato de seguro médico o de su renovación.</w:t>
      </w:r>
    </w:p>
    <w:p w14:paraId="71F2B8F8" w14:textId="77777777" w:rsidR="00D9713D" w:rsidRPr="00880F8C" w:rsidRDefault="00617CA5" w:rsidP="00880F8C">
      <w:pPr>
        <w:spacing w:line="480" w:lineRule="auto"/>
        <w:ind w:firstLine="720"/>
        <w:jc w:val="both"/>
        <w:rPr>
          <w:lang w:val="es-ES"/>
        </w:rPr>
      </w:pPr>
      <w:r w:rsidRPr="00880F8C">
        <w:rPr>
          <w:rFonts w:ascii="Book Antiqua" w:hAnsi="Book Antiqua"/>
          <w:lang w:val="es-ES"/>
        </w:rPr>
        <w:lastRenderedPageBreak/>
        <w:t>Artículo 4.- Coordinación con la Administración de Rehabilitación Vocacional. Los servicios cubiertos bajo esta Ley se coordinarán, cuando corresponda, con los programas de la Administración de Rehabilitación Vocacional y otras agencias del Estado, con el fin de maximizar los recursos disponibles y evitar duplicidad de beneficios.</w:t>
      </w:r>
    </w:p>
    <w:p w14:paraId="07AF054C" w14:textId="77777777" w:rsidR="00AA4940" w:rsidRPr="00880F8C" w:rsidRDefault="00AA4940" w:rsidP="00880F8C">
      <w:pPr>
        <w:pStyle w:val="ListParagraph"/>
        <w:tabs>
          <w:tab w:val="left" w:pos="1080"/>
        </w:tabs>
        <w:spacing w:after="0" w:line="480" w:lineRule="auto"/>
        <w:ind w:left="0" w:firstLine="720"/>
        <w:jc w:val="both"/>
        <w:rPr>
          <w:rFonts w:ascii="Book Antiqua" w:hAnsi="Book Antiqua"/>
          <w:color w:val="000000"/>
          <w:sz w:val="24"/>
          <w:szCs w:val="24"/>
          <w:lang w:val="es-ES"/>
        </w:rPr>
      </w:pPr>
      <w:r w:rsidRPr="00880F8C">
        <w:rPr>
          <w:rFonts w:ascii="Book Antiqua" w:hAnsi="Book Antiqua"/>
          <w:color w:val="000000"/>
          <w:sz w:val="24"/>
          <w:szCs w:val="24"/>
          <w:lang w:val="es-ES"/>
        </w:rPr>
        <w:t>Artículo 5.- Aplicabilidad</w:t>
      </w:r>
      <w:r w:rsidR="00853B47" w:rsidRPr="00880F8C">
        <w:rPr>
          <w:rFonts w:ascii="Book Antiqua" w:hAnsi="Book Antiqua"/>
          <w:color w:val="000000"/>
          <w:sz w:val="24"/>
          <w:szCs w:val="24"/>
          <w:lang w:val="es-ES"/>
        </w:rPr>
        <w:t>.</w:t>
      </w:r>
    </w:p>
    <w:p w14:paraId="606AEA2E" w14:textId="77777777" w:rsidR="00D52514" w:rsidRPr="00880F8C" w:rsidRDefault="00AD69AC" w:rsidP="00880F8C">
      <w:pPr>
        <w:spacing w:line="480" w:lineRule="auto"/>
        <w:ind w:firstLine="360"/>
        <w:jc w:val="both"/>
        <w:rPr>
          <w:rFonts w:ascii="Book Antiqua" w:hAnsi="Book Antiqua"/>
          <w:color w:val="000000"/>
          <w:lang w:val="es-ES"/>
        </w:rPr>
      </w:pPr>
      <w:r w:rsidRPr="00880F8C">
        <w:rPr>
          <w:rFonts w:ascii="Book Antiqua" w:hAnsi="Book Antiqua"/>
          <w:color w:val="000000"/>
          <w:lang w:val="es-ES"/>
        </w:rPr>
        <w:tab/>
        <w:t xml:space="preserve">Esta Ley </w:t>
      </w:r>
      <w:r w:rsidR="00853B47" w:rsidRPr="00880F8C">
        <w:rPr>
          <w:rFonts w:ascii="Book Antiqua" w:hAnsi="Book Antiqua"/>
          <w:color w:val="000000"/>
          <w:lang w:val="es-ES"/>
        </w:rPr>
        <w:t>aplicará a todo plan de salud público o privado en Puerto Rico al comienzo o renovación de la póliza</w:t>
      </w:r>
      <w:r w:rsidR="002764F6" w:rsidRPr="00880F8C">
        <w:rPr>
          <w:rFonts w:ascii="Book Antiqua" w:hAnsi="Book Antiqua"/>
          <w:color w:val="000000"/>
          <w:lang w:val="es-ES"/>
        </w:rPr>
        <w:t>,</w:t>
      </w:r>
      <w:r w:rsidR="00853B47" w:rsidRPr="00880F8C">
        <w:rPr>
          <w:rFonts w:ascii="Book Antiqua" w:hAnsi="Book Antiqua"/>
          <w:color w:val="000000"/>
          <w:lang w:val="es-ES"/>
        </w:rPr>
        <w:t xml:space="preserve"> a partir de la fecha en que esta Ley entre en vigor.</w:t>
      </w:r>
    </w:p>
    <w:p w14:paraId="00A6E20C" w14:textId="77777777" w:rsidR="002764F6" w:rsidRPr="00880F8C" w:rsidRDefault="007A1F21" w:rsidP="00880F8C">
      <w:pPr>
        <w:spacing w:line="480" w:lineRule="auto"/>
        <w:ind w:firstLine="360"/>
        <w:jc w:val="both"/>
        <w:rPr>
          <w:rFonts w:ascii="Book Antiqua" w:hAnsi="Book Antiqua"/>
          <w:color w:val="000000"/>
          <w:lang w:val="es-ES"/>
        </w:rPr>
      </w:pPr>
      <w:r w:rsidRPr="00880F8C">
        <w:rPr>
          <w:rFonts w:ascii="Book Antiqua" w:hAnsi="Book Antiqua"/>
          <w:color w:val="000000"/>
          <w:lang w:val="es-ES"/>
        </w:rPr>
        <w:tab/>
        <w:t xml:space="preserve">Artículo </w:t>
      </w:r>
      <w:r w:rsidR="00853B47" w:rsidRPr="00880F8C">
        <w:rPr>
          <w:rFonts w:ascii="Book Antiqua" w:hAnsi="Book Antiqua"/>
          <w:color w:val="000000"/>
          <w:lang w:val="es-ES"/>
        </w:rPr>
        <w:t>6</w:t>
      </w:r>
      <w:r w:rsidRPr="00880F8C">
        <w:rPr>
          <w:rFonts w:ascii="Book Antiqua" w:hAnsi="Book Antiqua"/>
          <w:color w:val="000000"/>
          <w:lang w:val="es-ES"/>
        </w:rPr>
        <w:t xml:space="preserve">.- </w:t>
      </w:r>
      <w:r w:rsidR="002764F6" w:rsidRPr="00880F8C">
        <w:rPr>
          <w:rFonts w:ascii="Book Antiqua" w:hAnsi="Book Antiqua"/>
          <w:color w:val="000000"/>
          <w:lang w:val="es-ES"/>
        </w:rPr>
        <w:t>Reglamentación.</w:t>
      </w:r>
    </w:p>
    <w:p w14:paraId="1D3A9917" w14:textId="77777777" w:rsidR="002764F6" w:rsidRPr="00880F8C" w:rsidRDefault="002764F6" w:rsidP="00880F8C">
      <w:pPr>
        <w:spacing w:line="480" w:lineRule="auto"/>
        <w:ind w:firstLine="360"/>
        <w:jc w:val="both"/>
        <w:rPr>
          <w:rFonts w:ascii="Book Antiqua" w:hAnsi="Book Antiqua"/>
          <w:color w:val="000000"/>
          <w:lang w:val="es-ES"/>
        </w:rPr>
      </w:pPr>
      <w:r w:rsidRPr="00880F8C">
        <w:rPr>
          <w:rFonts w:ascii="Book Antiqua" w:hAnsi="Book Antiqua"/>
          <w:color w:val="000000"/>
          <w:lang w:val="es-ES"/>
        </w:rPr>
        <w:tab/>
        <w:t xml:space="preserve">El </w:t>
      </w:r>
      <w:r w:rsidR="009B084A" w:rsidRPr="00880F8C">
        <w:rPr>
          <w:rFonts w:ascii="Book Antiqua" w:hAnsi="Book Antiqua"/>
          <w:color w:val="000000"/>
          <w:lang w:val="es-ES"/>
        </w:rPr>
        <w:t>Comisionado de Seguros de Puerto Rico</w:t>
      </w:r>
      <w:r w:rsidR="00EA2A53" w:rsidRPr="00880F8C">
        <w:rPr>
          <w:rFonts w:ascii="Book Antiqua" w:hAnsi="Book Antiqua"/>
          <w:color w:val="000000"/>
          <w:lang w:val="es-ES"/>
        </w:rPr>
        <w:t xml:space="preserve">, previa consulta con </w:t>
      </w:r>
      <w:r w:rsidR="000616A3" w:rsidRPr="00880F8C">
        <w:rPr>
          <w:rFonts w:ascii="Book Antiqua" w:hAnsi="Book Antiqua"/>
          <w:color w:val="000000"/>
          <w:lang w:val="es-ES"/>
        </w:rPr>
        <w:t>la Administración de Rehabilitación Vocacional</w:t>
      </w:r>
      <w:r w:rsidR="00EA2A53" w:rsidRPr="00880F8C">
        <w:rPr>
          <w:rFonts w:ascii="Book Antiqua" w:hAnsi="Book Antiqua"/>
          <w:color w:val="000000"/>
          <w:lang w:val="es-ES"/>
        </w:rPr>
        <w:t>,</w:t>
      </w:r>
      <w:r w:rsidR="009B084A" w:rsidRPr="00880F8C">
        <w:rPr>
          <w:rFonts w:ascii="Book Antiqua" w:hAnsi="Book Antiqua"/>
          <w:color w:val="000000"/>
          <w:lang w:val="es-ES"/>
        </w:rPr>
        <w:t xml:space="preserve"> promulgará</w:t>
      </w:r>
      <w:r w:rsidR="00BB56F6" w:rsidRPr="00880F8C">
        <w:rPr>
          <w:rFonts w:ascii="Book Antiqua" w:hAnsi="Book Antiqua"/>
          <w:color w:val="000000"/>
          <w:lang w:val="es-ES"/>
        </w:rPr>
        <w:t>, enmendará o derogará</w:t>
      </w:r>
      <w:r w:rsidR="009B084A" w:rsidRPr="00880F8C">
        <w:rPr>
          <w:rFonts w:ascii="Book Antiqua" w:hAnsi="Book Antiqua"/>
          <w:color w:val="000000"/>
          <w:lang w:val="es-ES"/>
        </w:rPr>
        <w:t xml:space="preserve"> </w:t>
      </w:r>
      <w:r w:rsidRPr="00880F8C">
        <w:rPr>
          <w:rFonts w:ascii="Book Antiqua" w:hAnsi="Book Antiqua"/>
          <w:color w:val="000000"/>
          <w:lang w:val="es-ES"/>
        </w:rPr>
        <w:t xml:space="preserve">cualquier reglamentación </w:t>
      </w:r>
      <w:r w:rsidR="009B084A" w:rsidRPr="00880F8C">
        <w:rPr>
          <w:rFonts w:ascii="Book Antiqua" w:hAnsi="Book Antiqua"/>
          <w:color w:val="000000"/>
          <w:lang w:val="es-ES"/>
        </w:rPr>
        <w:t>que estime necesaria o conveniente para el cumplimiento de lo dispuesto en esta Ley.</w:t>
      </w:r>
    </w:p>
    <w:p w14:paraId="6C0FB9B5" w14:textId="77777777" w:rsidR="007A1F21" w:rsidRPr="00880F8C" w:rsidRDefault="002764F6" w:rsidP="00880F8C">
      <w:pPr>
        <w:spacing w:line="480" w:lineRule="auto"/>
        <w:ind w:firstLine="720"/>
        <w:jc w:val="both"/>
        <w:rPr>
          <w:rFonts w:ascii="Book Antiqua" w:hAnsi="Book Antiqua"/>
          <w:color w:val="000000"/>
          <w:lang w:val="es-ES"/>
        </w:rPr>
      </w:pPr>
      <w:r w:rsidRPr="00880F8C">
        <w:rPr>
          <w:rFonts w:ascii="Book Antiqua" w:hAnsi="Book Antiqua"/>
          <w:color w:val="000000"/>
          <w:lang w:val="es-ES"/>
        </w:rPr>
        <w:t xml:space="preserve">Artículo 7.- </w:t>
      </w:r>
      <w:r w:rsidR="00853B47" w:rsidRPr="00880F8C">
        <w:rPr>
          <w:rFonts w:ascii="Book Antiqua" w:hAnsi="Book Antiqua"/>
          <w:color w:val="000000"/>
          <w:lang w:val="es-ES"/>
        </w:rPr>
        <w:t>Separabilidad</w:t>
      </w:r>
      <w:r w:rsidR="007A1F21" w:rsidRPr="00880F8C">
        <w:rPr>
          <w:rFonts w:ascii="Book Antiqua" w:hAnsi="Book Antiqua"/>
          <w:color w:val="000000"/>
          <w:lang w:val="es-ES"/>
        </w:rPr>
        <w:t>.</w:t>
      </w:r>
    </w:p>
    <w:p w14:paraId="32543C7E" w14:textId="77777777" w:rsidR="007C4B9A" w:rsidRPr="00880F8C" w:rsidRDefault="00853B47" w:rsidP="00880F8C">
      <w:pPr>
        <w:spacing w:line="480" w:lineRule="auto"/>
        <w:ind w:firstLine="720"/>
        <w:jc w:val="both"/>
        <w:rPr>
          <w:rFonts w:ascii="Book Antiqua" w:hAnsi="Book Antiqua"/>
          <w:color w:val="000000"/>
          <w:lang w:val="es-ES"/>
        </w:rPr>
      </w:pPr>
      <w:r w:rsidRPr="00880F8C">
        <w:rPr>
          <w:rFonts w:ascii="Book Antiqua" w:hAnsi="Book Antiqua"/>
          <w:color w:val="000000"/>
          <w:lang w:val="es-ES"/>
        </w:rPr>
        <w:t>Si cualquier disposición de esta Ley fuera declarada inconstitucional o nula por un tribunal con jurisdicción, la sentencia a tal efecto no afectará, perjudicará ni invalidará el resto de esta Ley.</w:t>
      </w:r>
    </w:p>
    <w:p w14:paraId="64A186DC" w14:textId="334EB2E6" w:rsidR="006B2490" w:rsidRPr="00880F8C" w:rsidRDefault="00CC50D5" w:rsidP="00880F8C">
      <w:pPr>
        <w:spacing w:line="480" w:lineRule="auto"/>
        <w:ind w:firstLine="360"/>
        <w:jc w:val="both"/>
        <w:rPr>
          <w:rFonts w:ascii="Book Antiqua" w:hAnsi="Book Antiqua"/>
          <w:color w:val="000000"/>
          <w:lang w:val="es-ES"/>
        </w:rPr>
      </w:pPr>
      <w:r w:rsidRPr="00880F8C">
        <w:rPr>
          <w:rFonts w:ascii="Book Antiqua" w:hAnsi="Book Antiqua"/>
          <w:lang w:val="es-ES"/>
        </w:rPr>
        <w:tab/>
        <w:t xml:space="preserve">Artículo 8.- Vigencia. </w:t>
      </w:r>
    </w:p>
    <w:p w14:paraId="23BFA501" w14:textId="3582E0D0" w:rsidR="00D60444" w:rsidRPr="00880F8C" w:rsidRDefault="006B2490" w:rsidP="00880F8C">
      <w:pPr>
        <w:spacing w:line="480" w:lineRule="auto"/>
        <w:ind w:firstLine="720"/>
        <w:jc w:val="both"/>
        <w:rPr>
          <w:rFonts w:ascii="Book Antiqua" w:hAnsi="Book Antiqua"/>
          <w:color w:val="000000"/>
          <w:lang w:val="es-ES"/>
        </w:rPr>
      </w:pPr>
      <w:r w:rsidRPr="00880F8C">
        <w:rPr>
          <w:rFonts w:ascii="Book Antiqua" w:hAnsi="Book Antiqua"/>
          <w:lang w:val="es-ES"/>
        </w:rPr>
        <w:t>Esta Ley entrará en vigor inmediatamente después de su aprobación.</w:t>
      </w:r>
    </w:p>
    <w:sectPr w:rsidR="00D60444" w:rsidRPr="00880F8C" w:rsidSect="006B2490">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C50DE5" w14:textId="77777777" w:rsidR="006B03ED" w:rsidRDefault="006B03ED">
      <w:r>
        <w:separator/>
      </w:r>
    </w:p>
  </w:endnote>
  <w:endnote w:type="continuationSeparator" w:id="0">
    <w:p w14:paraId="16D6D691" w14:textId="77777777" w:rsidR="006B03ED" w:rsidRDefault="006B03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8C519D" w14:textId="77777777" w:rsidR="006B03ED" w:rsidRDefault="006B03ED">
      <w:r>
        <w:separator/>
      </w:r>
    </w:p>
  </w:footnote>
  <w:footnote w:type="continuationSeparator" w:id="0">
    <w:p w14:paraId="22AC926C" w14:textId="77777777" w:rsidR="006B03ED" w:rsidRDefault="006B03ED">
      <w:r>
        <w:continuationSeparator/>
      </w:r>
    </w:p>
  </w:footnote>
  <w:footnote w:id="1">
    <w:p w14:paraId="62A2D331" w14:textId="77777777" w:rsidR="00961D19" w:rsidRPr="00F428BB" w:rsidRDefault="00961D19" w:rsidP="00860182">
      <w:pPr>
        <w:pStyle w:val="FootnoteText"/>
        <w:tabs>
          <w:tab w:val="left" w:pos="360"/>
        </w:tabs>
        <w:rPr>
          <w:rFonts w:ascii="Book Antiqua" w:hAnsi="Book Antiqua"/>
          <w:lang w:val="es-PR"/>
        </w:rPr>
      </w:pPr>
      <w:r w:rsidRPr="00456F3B">
        <w:rPr>
          <w:rStyle w:val="FootnoteReference"/>
          <w:rFonts w:ascii="Book Antiqua" w:hAnsi="Book Antiqua"/>
        </w:rPr>
        <w:footnoteRef/>
      </w:r>
      <w:r w:rsidRPr="00F428BB">
        <w:rPr>
          <w:rFonts w:ascii="Book Antiqua" w:hAnsi="Book Antiqua"/>
          <w:lang w:val="es-PR"/>
        </w:rPr>
        <w:t xml:space="preserve"> </w:t>
      </w:r>
      <w:r w:rsidR="00860182" w:rsidRPr="00F428BB">
        <w:rPr>
          <w:rFonts w:ascii="Book Antiqua" w:hAnsi="Book Antiqua"/>
          <w:lang w:val="es-PR"/>
        </w:rPr>
        <w:tab/>
        <w:t>Art</w:t>
      </w:r>
      <w:r w:rsidR="00544245" w:rsidRPr="00F428BB">
        <w:rPr>
          <w:rFonts w:ascii="Book Antiqua" w:hAnsi="Book Antiqua"/>
          <w:lang w:val="es-PR"/>
        </w:rPr>
        <w:t>.</w:t>
      </w:r>
      <w:r w:rsidR="00860182" w:rsidRPr="00F428BB">
        <w:rPr>
          <w:rFonts w:ascii="Book Antiqua" w:hAnsi="Book Antiqua"/>
          <w:lang w:val="es-PR"/>
        </w:rPr>
        <w:t xml:space="preserve"> II, Sec</w:t>
      </w:r>
      <w:r w:rsidR="00544245" w:rsidRPr="00F428BB">
        <w:rPr>
          <w:rFonts w:ascii="Book Antiqua" w:hAnsi="Book Antiqua"/>
          <w:lang w:val="es-PR"/>
        </w:rPr>
        <w:t>.</w:t>
      </w:r>
      <w:r w:rsidR="00860182" w:rsidRPr="00F428BB">
        <w:rPr>
          <w:rFonts w:ascii="Book Antiqua" w:hAnsi="Book Antiqua"/>
          <w:lang w:val="es-PR"/>
        </w:rPr>
        <w:t xml:space="preserve"> 5, </w:t>
      </w:r>
      <w:r w:rsidR="00544245" w:rsidRPr="00F428BB">
        <w:rPr>
          <w:rFonts w:ascii="Book Antiqua" w:hAnsi="Book Antiqua"/>
          <w:lang w:val="es-PR"/>
        </w:rPr>
        <w:t xml:space="preserve">Const. ELA, LPRA, Tomo </w:t>
      </w:r>
      <w:r w:rsidR="00860182" w:rsidRPr="00F428BB">
        <w:rPr>
          <w:rFonts w:ascii="Book Antiqua" w:hAnsi="Book Antiqua"/>
          <w:lang w:val="es-PR"/>
        </w:rPr>
        <w:t>1</w:t>
      </w:r>
      <w:r w:rsidR="00544245" w:rsidRPr="00F428BB">
        <w:rPr>
          <w:rFonts w:ascii="Book Antiqua" w:hAnsi="Book Antiqua"/>
          <w:lang w:val="es-PR"/>
        </w:rPr>
        <w:t xml:space="preserve">, ed. 2023, pág. </w:t>
      </w:r>
      <w:r w:rsidR="00860182" w:rsidRPr="00F428BB">
        <w:rPr>
          <w:rFonts w:ascii="Book Antiqua" w:hAnsi="Book Antiqua"/>
          <w:lang w:val="es-PR"/>
        </w:rPr>
        <w:t>300</w:t>
      </w:r>
      <w:r w:rsidR="006C12FD" w:rsidRPr="00F428BB">
        <w:rPr>
          <w:rFonts w:ascii="Book Antiqua" w:hAnsi="Book Antiqua"/>
          <w:lang w:val="es-PR"/>
        </w:rPr>
        <w:t>.</w:t>
      </w:r>
    </w:p>
  </w:footnote>
  <w:footnote w:id="2">
    <w:p w14:paraId="1B8CE6E1" w14:textId="77777777" w:rsidR="00415B4B" w:rsidRPr="00415B4B" w:rsidRDefault="00415B4B" w:rsidP="00415B4B">
      <w:pPr>
        <w:pStyle w:val="FootnoteText"/>
        <w:tabs>
          <w:tab w:val="left" w:pos="360"/>
        </w:tabs>
        <w:ind w:left="360" w:hanging="360"/>
        <w:jc w:val="both"/>
        <w:rPr>
          <w:rFonts w:ascii="Book Antiqua" w:hAnsi="Book Antiqua"/>
          <w:lang w:val="es-PR"/>
        </w:rPr>
      </w:pPr>
      <w:r w:rsidRPr="00415B4B">
        <w:rPr>
          <w:rStyle w:val="FootnoteReference"/>
          <w:rFonts w:ascii="Book Antiqua" w:hAnsi="Book Antiqua"/>
        </w:rPr>
        <w:footnoteRef/>
      </w:r>
      <w:r w:rsidRPr="00415B4B">
        <w:rPr>
          <w:rFonts w:ascii="Book Antiqua" w:hAnsi="Book Antiqua"/>
          <w:lang w:val="es-PR"/>
        </w:rPr>
        <w:t xml:space="preserve"> </w:t>
      </w:r>
      <w:r w:rsidRPr="00415B4B">
        <w:rPr>
          <w:rFonts w:ascii="Book Antiqua" w:hAnsi="Book Antiqua"/>
          <w:lang w:val="es-PR"/>
        </w:rPr>
        <w:tab/>
        <w:t>Los “servicios relacionados con la educación” son los “[s]</w:t>
      </w:r>
      <w:proofErr w:type="spellStart"/>
      <w:r w:rsidRPr="00415B4B">
        <w:rPr>
          <w:rFonts w:ascii="Book Antiqua" w:hAnsi="Book Antiqua"/>
          <w:lang w:val="es-PR"/>
        </w:rPr>
        <w:t>ervicios</w:t>
      </w:r>
      <w:proofErr w:type="spellEnd"/>
      <w:r w:rsidRPr="00415B4B">
        <w:rPr>
          <w:rFonts w:ascii="Book Antiqua" w:hAnsi="Book Antiqua"/>
          <w:lang w:val="es-PR"/>
        </w:rPr>
        <w:t xml:space="preserve"> de salud y de apoyo indispensables, que se requieren para que la persona con impedimentos se beneficie de la educación especial para desarrollar al máximo sus potencialidades.”</w:t>
      </w:r>
      <w:r w:rsidR="006A2CB9">
        <w:rPr>
          <w:rFonts w:ascii="Book Antiqua" w:hAnsi="Book Antiqua"/>
          <w:lang w:val="es-PR"/>
        </w:rPr>
        <w:t xml:space="preserve"> 18 LPRA</w:t>
      </w:r>
      <w:r>
        <w:rPr>
          <w:rFonts w:ascii="Book Antiqua" w:hAnsi="Book Antiqua"/>
          <w:lang w:val="es-PR"/>
        </w:rPr>
        <w:t xml:space="preserve"> sec. 1351(22).</w:t>
      </w:r>
    </w:p>
  </w:footnote>
  <w:footnote w:id="3">
    <w:p w14:paraId="078204AF" w14:textId="77777777" w:rsidR="006A2CB9" w:rsidRPr="006A2CB9" w:rsidRDefault="006A2CB9" w:rsidP="006A2CB9">
      <w:pPr>
        <w:pStyle w:val="FootnoteText"/>
        <w:tabs>
          <w:tab w:val="left" w:pos="360"/>
        </w:tabs>
        <w:ind w:left="360" w:hanging="360"/>
        <w:jc w:val="both"/>
        <w:rPr>
          <w:rFonts w:ascii="Book Antiqua" w:hAnsi="Book Antiqua"/>
          <w:lang w:val="es-PR"/>
        </w:rPr>
      </w:pPr>
      <w:r w:rsidRPr="006A2CB9">
        <w:rPr>
          <w:rStyle w:val="FootnoteReference"/>
          <w:rFonts w:ascii="Book Antiqua" w:hAnsi="Book Antiqua"/>
        </w:rPr>
        <w:footnoteRef/>
      </w:r>
      <w:r w:rsidRPr="006A2CB9">
        <w:rPr>
          <w:rFonts w:ascii="Book Antiqua" w:hAnsi="Book Antiqua"/>
          <w:lang w:val="es-PR"/>
        </w:rPr>
        <w:t xml:space="preserve"> </w:t>
      </w:r>
      <w:r w:rsidRPr="006A2CB9">
        <w:rPr>
          <w:rFonts w:ascii="Book Antiqua" w:hAnsi="Book Antiqua"/>
          <w:lang w:val="es-PR"/>
        </w:rPr>
        <w:tab/>
      </w:r>
      <w:r>
        <w:rPr>
          <w:rFonts w:ascii="Book Antiqua" w:hAnsi="Book Antiqua"/>
          <w:lang w:val="es-PR"/>
        </w:rPr>
        <w:t>Refiérase a la Sección 1 de la Ley Núm. 63-2024 para la última enmienda al inciso (14) del Artículo 2 de la referida Ley Núm. 51, contentivo de la definición parcialmente transcrita.</w:t>
      </w:r>
    </w:p>
  </w:footnote>
  <w:footnote w:id="4">
    <w:p w14:paraId="21FA50DE" w14:textId="77777777" w:rsidR="009325A3" w:rsidRPr="009325A3" w:rsidRDefault="009325A3" w:rsidP="009325A3">
      <w:pPr>
        <w:pStyle w:val="FootnoteText"/>
        <w:tabs>
          <w:tab w:val="left" w:pos="360"/>
        </w:tabs>
        <w:ind w:left="360" w:hanging="360"/>
        <w:jc w:val="both"/>
        <w:rPr>
          <w:rFonts w:ascii="Book Antiqua" w:hAnsi="Book Antiqua"/>
          <w:lang w:val="es-PR"/>
        </w:rPr>
      </w:pPr>
      <w:r w:rsidRPr="009325A3">
        <w:rPr>
          <w:rStyle w:val="FootnoteReference"/>
          <w:rFonts w:ascii="Book Antiqua" w:hAnsi="Book Antiqua"/>
        </w:rPr>
        <w:footnoteRef/>
      </w:r>
      <w:r w:rsidRPr="009325A3">
        <w:rPr>
          <w:rFonts w:ascii="Book Antiqua" w:hAnsi="Book Antiqua"/>
          <w:lang w:val="es-PR"/>
        </w:rPr>
        <w:t xml:space="preserve"> </w:t>
      </w:r>
      <w:r w:rsidRPr="009325A3">
        <w:rPr>
          <w:rFonts w:ascii="Book Antiqua" w:hAnsi="Book Antiqua"/>
          <w:lang w:val="es-PR"/>
        </w:rPr>
        <w:tab/>
      </w:r>
      <w:r>
        <w:rPr>
          <w:rFonts w:ascii="Book Antiqua" w:hAnsi="Book Antiqua"/>
          <w:lang w:val="es-PR"/>
        </w:rPr>
        <w:t>A su vez, “persona con impedimentos” significa: “[i]</w:t>
      </w:r>
      <w:proofErr w:type="spellStart"/>
      <w:r>
        <w:rPr>
          <w:rFonts w:ascii="Book Antiqua" w:hAnsi="Book Antiqua"/>
          <w:lang w:val="es-PR"/>
        </w:rPr>
        <w:t>nfantes</w:t>
      </w:r>
      <w:proofErr w:type="spellEnd"/>
      <w:r>
        <w:rPr>
          <w:rFonts w:ascii="Book Antiqua" w:hAnsi="Book Antiqua"/>
          <w:lang w:val="es-PR"/>
        </w:rPr>
        <w:t xml:space="preserve">, niños, jóvenes y adultos </w:t>
      </w:r>
      <w:r w:rsidRPr="009325A3">
        <w:rPr>
          <w:rFonts w:ascii="Book Antiqua" w:hAnsi="Book Antiqua"/>
          <w:b/>
          <w:bCs/>
          <w:lang w:val="es-PR"/>
        </w:rPr>
        <w:t>hasta los 21 años de edad inclusive</w:t>
      </w:r>
      <w:r w:rsidRPr="000F4C55">
        <w:rPr>
          <w:rFonts w:ascii="Book Antiqua" w:hAnsi="Book Antiqua"/>
          <w:lang w:val="es-PR"/>
        </w:rPr>
        <w:t>,</w:t>
      </w:r>
      <w:r>
        <w:rPr>
          <w:rFonts w:ascii="Book Antiqua" w:hAnsi="Book Antiqua"/>
          <w:lang w:val="es-PR"/>
        </w:rPr>
        <w:t xml:space="preserve"> a quienes se les ha diagnosticado una o varias de las siguientes condiciones: trastorno del desarrollo intelectual, problemas de audición, incluyendo sordera, problemas del habla o lenguaje, problemas de visión, incluyendo ceguera, disturbios emocionales severos, problemas ortopédicos, autismo, sordo-ciego, daño cerebral por trauma, otras condiciones de salud, problemas específicos de aprendizaje, déficit de atención o impedimentos múltiples; quienes por razón de su impedimento, requieran educación especial y servicios relacionados</w:t>
      </w:r>
      <w:r w:rsidR="006A7B58">
        <w:rPr>
          <w:rFonts w:ascii="Book Antiqua" w:hAnsi="Book Antiqua"/>
          <w:lang w:val="es-PR"/>
        </w:rPr>
        <w:t>.</w:t>
      </w:r>
      <w:r>
        <w:rPr>
          <w:rFonts w:ascii="Book Antiqua" w:hAnsi="Book Antiqua"/>
          <w:lang w:val="es-PR"/>
        </w:rPr>
        <w:t>” 18 LPRA sec. 1351(12). (Énfasis suplido.)</w:t>
      </w:r>
    </w:p>
  </w:footnote>
  <w:footnote w:id="5">
    <w:p w14:paraId="1AFD1D55" w14:textId="77777777" w:rsidR="00264E45" w:rsidRPr="00264E45" w:rsidRDefault="00264E45" w:rsidP="00264E45">
      <w:pPr>
        <w:pStyle w:val="FootnoteText"/>
        <w:tabs>
          <w:tab w:val="left" w:pos="360"/>
        </w:tabs>
        <w:rPr>
          <w:rFonts w:ascii="Book Antiqua" w:hAnsi="Book Antiqua"/>
        </w:rPr>
      </w:pPr>
      <w:r w:rsidRPr="00264E45">
        <w:rPr>
          <w:rStyle w:val="FootnoteReference"/>
          <w:rFonts w:ascii="Book Antiqua" w:hAnsi="Book Antiqua"/>
        </w:rPr>
        <w:footnoteRef/>
      </w:r>
      <w:r w:rsidRPr="00264E45">
        <w:rPr>
          <w:rFonts w:ascii="Book Antiqua" w:hAnsi="Book Antiqua"/>
        </w:rPr>
        <w:t xml:space="preserve"> </w:t>
      </w:r>
      <w:r>
        <w:rPr>
          <w:rFonts w:ascii="Book Antiqua" w:hAnsi="Book Antiqua"/>
        </w:rPr>
        <w:tab/>
      </w:r>
      <w:r w:rsidRPr="00264E45">
        <w:rPr>
          <w:rFonts w:ascii="Book Antiqua" w:hAnsi="Book Antiqua"/>
          <w:i/>
          <w:iCs/>
        </w:rPr>
        <w:t>Id.</w:t>
      </w:r>
      <w:r>
        <w:rPr>
          <w:rFonts w:ascii="Book Antiqua" w:hAnsi="Book Antiqua"/>
        </w:rPr>
        <w:t>, sec. 1351(23).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7405B" w14:textId="77777777" w:rsidR="009C3B65" w:rsidRDefault="007B3141" w:rsidP="00CF0F75">
    <w:pPr>
      <w:pStyle w:val="Header"/>
      <w:framePr w:wrap="around" w:vAnchor="text" w:hAnchor="margin" w:xAlign="center"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end"/>
    </w:r>
  </w:p>
  <w:p w14:paraId="482C9A35" w14:textId="77777777" w:rsidR="009C3B65" w:rsidRDefault="009C3B6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AB2816" w14:textId="77777777" w:rsidR="009C3B65" w:rsidRDefault="007B3141" w:rsidP="00CF0F75">
    <w:pPr>
      <w:pStyle w:val="Header"/>
      <w:framePr w:wrap="around" w:vAnchor="text" w:hAnchor="margin" w:xAlign="center"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separate"/>
    </w:r>
    <w:r>
      <w:rPr>
        <w:rStyle w:val="PageNumber"/>
        <w:rFonts w:eastAsiaTheme="majorEastAsia"/>
        <w:noProof/>
      </w:rPr>
      <w:t>4</w:t>
    </w:r>
    <w:r>
      <w:rPr>
        <w:rStyle w:val="PageNumber"/>
        <w:rFonts w:eastAsiaTheme="majorEastAsia"/>
      </w:rPr>
      <w:fldChar w:fldCharType="end"/>
    </w:r>
  </w:p>
  <w:p w14:paraId="352D8E36" w14:textId="77777777" w:rsidR="009C3B65" w:rsidRDefault="009C3B6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E23704"/>
    <w:multiLevelType w:val="hybridMultilevel"/>
    <w:tmpl w:val="33EAE778"/>
    <w:lvl w:ilvl="0" w:tplc="5B38F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E2A1375"/>
    <w:multiLevelType w:val="hybridMultilevel"/>
    <w:tmpl w:val="01D8F43C"/>
    <w:lvl w:ilvl="0" w:tplc="5B38F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5807D3C"/>
    <w:multiLevelType w:val="hybridMultilevel"/>
    <w:tmpl w:val="D5BC42FC"/>
    <w:lvl w:ilvl="0" w:tplc="F700688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B1C45CB"/>
    <w:multiLevelType w:val="hybridMultilevel"/>
    <w:tmpl w:val="09F206AE"/>
    <w:lvl w:ilvl="0" w:tplc="9946A232">
      <w:start w:val="1"/>
      <w:numFmt w:val="lowerLetter"/>
      <w:lvlText w:val="(%1)"/>
      <w:lvlJc w:val="left"/>
      <w:pPr>
        <w:ind w:left="1080" w:hanging="360"/>
      </w:pPr>
      <w:rPr>
        <w:rFonts w:ascii="Book Antiqua" w:eastAsia="Times New Roman" w:hAnsi="Book Antiqua"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15B5094"/>
    <w:multiLevelType w:val="hybridMultilevel"/>
    <w:tmpl w:val="7870C496"/>
    <w:lvl w:ilvl="0" w:tplc="E1CA9AF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25E16F41"/>
    <w:multiLevelType w:val="hybridMultilevel"/>
    <w:tmpl w:val="6268AA16"/>
    <w:lvl w:ilvl="0" w:tplc="50D8C32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805759E"/>
    <w:multiLevelType w:val="hybridMultilevel"/>
    <w:tmpl w:val="AC2CB576"/>
    <w:lvl w:ilvl="0" w:tplc="365CC0E6">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4651652F"/>
    <w:multiLevelType w:val="hybridMultilevel"/>
    <w:tmpl w:val="10FCD206"/>
    <w:lvl w:ilvl="0" w:tplc="E966AAEE">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4C8D73F3"/>
    <w:multiLevelType w:val="hybridMultilevel"/>
    <w:tmpl w:val="62C0FAF8"/>
    <w:lvl w:ilvl="0" w:tplc="5B38F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CB75DF9"/>
    <w:multiLevelType w:val="hybridMultilevel"/>
    <w:tmpl w:val="A5564094"/>
    <w:lvl w:ilvl="0" w:tplc="E920F05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560263BF"/>
    <w:multiLevelType w:val="hybridMultilevel"/>
    <w:tmpl w:val="3AC28BBE"/>
    <w:lvl w:ilvl="0" w:tplc="F0383A1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68A55F79"/>
    <w:multiLevelType w:val="hybridMultilevel"/>
    <w:tmpl w:val="71EA7FA4"/>
    <w:lvl w:ilvl="0" w:tplc="5B38F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6B9C7D49"/>
    <w:multiLevelType w:val="hybridMultilevel"/>
    <w:tmpl w:val="F51CBFF4"/>
    <w:lvl w:ilvl="0" w:tplc="4718E752">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6CC227E1"/>
    <w:multiLevelType w:val="multilevel"/>
    <w:tmpl w:val="552CFC98"/>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4" w15:restartNumberingAfterBreak="0">
    <w:nsid w:val="6DF11520"/>
    <w:multiLevelType w:val="hybridMultilevel"/>
    <w:tmpl w:val="C6F89FC2"/>
    <w:lvl w:ilvl="0" w:tplc="5B38F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77901715"/>
    <w:multiLevelType w:val="hybridMultilevel"/>
    <w:tmpl w:val="82E40122"/>
    <w:lvl w:ilvl="0" w:tplc="DB96C7B2">
      <w:start w:val="1"/>
      <w:numFmt w:val="lowerLetter"/>
      <w:lvlText w:val="%1)"/>
      <w:lvlJc w:val="left"/>
      <w:pPr>
        <w:ind w:left="1080" w:hanging="360"/>
      </w:pPr>
      <w:rPr>
        <w:rFonts w:ascii="Book Antiqua" w:eastAsia="Times New Roman" w:hAnsi="Book Antiqua" w:cs="Times New Roman"/>
        <w:i w:val="0"/>
        <w:i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7A58653E"/>
    <w:multiLevelType w:val="hybridMultilevel"/>
    <w:tmpl w:val="16DC7D02"/>
    <w:lvl w:ilvl="0" w:tplc="5B38F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7A8042C9"/>
    <w:multiLevelType w:val="hybridMultilevel"/>
    <w:tmpl w:val="42121F2E"/>
    <w:lvl w:ilvl="0" w:tplc="F700688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7BC74AA7"/>
    <w:multiLevelType w:val="hybridMultilevel"/>
    <w:tmpl w:val="A61AD344"/>
    <w:lvl w:ilvl="0" w:tplc="5B38F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890802938">
    <w:abstractNumId w:val="3"/>
  </w:num>
  <w:num w:numId="2" w16cid:durableId="1149977030">
    <w:abstractNumId w:val="10"/>
  </w:num>
  <w:num w:numId="3" w16cid:durableId="1686638705">
    <w:abstractNumId w:val="2"/>
  </w:num>
  <w:num w:numId="4" w16cid:durableId="629213271">
    <w:abstractNumId w:val="15"/>
  </w:num>
  <w:num w:numId="5" w16cid:durableId="1201750360">
    <w:abstractNumId w:val="17"/>
  </w:num>
  <w:num w:numId="6" w16cid:durableId="1476751936">
    <w:abstractNumId w:val="18"/>
  </w:num>
  <w:num w:numId="7" w16cid:durableId="234123091">
    <w:abstractNumId w:val="13"/>
  </w:num>
  <w:num w:numId="8" w16cid:durableId="2006862380">
    <w:abstractNumId w:val="8"/>
  </w:num>
  <w:num w:numId="9" w16cid:durableId="1154762003">
    <w:abstractNumId w:val="0"/>
  </w:num>
  <w:num w:numId="10" w16cid:durableId="635912185">
    <w:abstractNumId w:val="4"/>
  </w:num>
  <w:num w:numId="11" w16cid:durableId="1904488260">
    <w:abstractNumId w:val="7"/>
  </w:num>
  <w:num w:numId="12" w16cid:durableId="716779687">
    <w:abstractNumId w:val="12"/>
  </w:num>
  <w:num w:numId="13" w16cid:durableId="1293052732">
    <w:abstractNumId w:val="6"/>
  </w:num>
  <w:num w:numId="14" w16cid:durableId="1513840213">
    <w:abstractNumId w:val="11"/>
  </w:num>
  <w:num w:numId="15" w16cid:durableId="1680037483">
    <w:abstractNumId w:val="1"/>
  </w:num>
  <w:num w:numId="16" w16cid:durableId="734086561">
    <w:abstractNumId w:val="14"/>
  </w:num>
  <w:num w:numId="17" w16cid:durableId="1748920850">
    <w:abstractNumId w:val="9"/>
  </w:num>
  <w:num w:numId="18" w16cid:durableId="2137215341">
    <w:abstractNumId w:val="16"/>
  </w:num>
  <w:num w:numId="19" w16cid:durableId="35044909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2490"/>
    <w:rsid w:val="00003ADD"/>
    <w:rsid w:val="00012BF4"/>
    <w:rsid w:val="00012F05"/>
    <w:rsid w:val="000219FA"/>
    <w:rsid w:val="00027507"/>
    <w:rsid w:val="00031DF2"/>
    <w:rsid w:val="00032A10"/>
    <w:rsid w:val="000338F1"/>
    <w:rsid w:val="00047171"/>
    <w:rsid w:val="0005782A"/>
    <w:rsid w:val="000616A3"/>
    <w:rsid w:val="000806B4"/>
    <w:rsid w:val="00081174"/>
    <w:rsid w:val="00082E99"/>
    <w:rsid w:val="00084A93"/>
    <w:rsid w:val="0008510B"/>
    <w:rsid w:val="000A1549"/>
    <w:rsid w:val="000A1EF2"/>
    <w:rsid w:val="000A2946"/>
    <w:rsid w:val="000B10CC"/>
    <w:rsid w:val="000C14AC"/>
    <w:rsid w:val="000C2A42"/>
    <w:rsid w:val="000D4F6A"/>
    <w:rsid w:val="000D6533"/>
    <w:rsid w:val="000D6F02"/>
    <w:rsid w:val="000D7750"/>
    <w:rsid w:val="000E000F"/>
    <w:rsid w:val="000E04AE"/>
    <w:rsid w:val="000E448A"/>
    <w:rsid w:val="000F1692"/>
    <w:rsid w:val="000F4C55"/>
    <w:rsid w:val="00107CCC"/>
    <w:rsid w:val="00112A40"/>
    <w:rsid w:val="00127953"/>
    <w:rsid w:val="0013026D"/>
    <w:rsid w:val="0013220B"/>
    <w:rsid w:val="00132F02"/>
    <w:rsid w:val="0013364E"/>
    <w:rsid w:val="0013539E"/>
    <w:rsid w:val="0014764D"/>
    <w:rsid w:val="0015108F"/>
    <w:rsid w:val="0016281F"/>
    <w:rsid w:val="00165349"/>
    <w:rsid w:val="00166962"/>
    <w:rsid w:val="001750BE"/>
    <w:rsid w:val="001817EE"/>
    <w:rsid w:val="00184F92"/>
    <w:rsid w:val="00187A7E"/>
    <w:rsid w:val="001921A2"/>
    <w:rsid w:val="001A1C0F"/>
    <w:rsid w:val="001A20B0"/>
    <w:rsid w:val="001A2422"/>
    <w:rsid w:val="001B763F"/>
    <w:rsid w:val="001B7D44"/>
    <w:rsid w:val="001C639B"/>
    <w:rsid w:val="001C6668"/>
    <w:rsid w:val="001C6D85"/>
    <w:rsid w:val="001D267D"/>
    <w:rsid w:val="001D56A3"/>
    <w:rsid w:val="001D5AE2"/>
    <w:rsid w:val="001E17FB"/>
    <w:rsid w:val="001F455C"/>
    <w:rsid w:val="001F6637"/>
    <w:rsid w:val="001F6C84"/>
    <w:rsid w:val="00201EED"/>
    <w:rsid w:val="00206909"/>
    <w:rsid w:val="00214F6E"/>
    <w:rsid w:val="00234E17"/>
    <w:rsid w:val="00241553"/>
    <w:rsid w:val="0024250D"/>
    <w:rsid w:val="00243BC6"/>
    <w:rsid w:val="0024431D"/>
    <w:rsid w:val="002449A2"/>
    <w:rsid w:val="00245249"/>
    <w:rsid w:val="00247772"/>
    <w:rsid w:val="00247F2A"/>
    <w:rsid w:val="002531B7"/>
    <w:rsid w:val="00253830"/>
    <w:rsid w:val="00254E4F"/>
    <w:rsid w:val="002552C8"/>
    <w:rsid w:val="002552D2"/>
    <w:rsid w:val="002607CF"/>
    <w:rsid w:val="00264628"/>
    <w:rsid w:val="00264E45"/>
    <w:rsid w:val="002764F6"/>
    <w:rsid w:val="00277BEA"/>
    <w:rsid w:val="002818A4"/>
    <w:rsid w:val="00286FC3"/>
    <w:rsid w:val="002944DE"/>
    <w:rsid w:val="00297D23"/>
    <w:rsid w:val="002A0983"/>
    <w:rsid w:val="002A0B0F"/>
    <w:rsid w:val="002A26D1"/>
    <w:rsid w:val="002A2B4D"/>
    <w:rsid w:val="002A566A"/>
    <w:rsid w:val="002A6B4A"/>
    <w:rsid w:val="002B2798"/>
    <w:rsid w:val="002B2937"/>
    <w:rsid w:val="002B47AA"/>
    <w:rsid w:val="002B69BC"/>
    <w:rsid w:val="002C057A"/>
    <w:rsid w:val="002C4A07"/>
    <w:rsid w:val="002D1214"/>
    <w:rsid w:val="002D3AF6"/>
    <w:rsid w:val="002E29EE"/>
    <w:rsid w:val="002E2FCA"/>
    <w:rsid w:val="002E5305"/>
    <w:rsid w:val="002E559D"/>
    <w:rsid w:val="002E5664"/>
    <w:rsid w:val="002F5944"/>
    <w:rsid w:val="00313F60"/>
    <w:rsid w:val="00314BED"/>
    <w:rsid w:val="00315E6C"/>
    <w:rsid w:val="00343218"/>
    <w:rsid w:val="00345A96"/>
    <w:rsid w:val="00347200"/>
    <w:rsid w:val="00347A9F"/>
    <w:rsid w:val="00350353"/>
    <w:rsid w:val="00354F18"/>
    <w:rsid w:val="003631D2"/>
    <w:rsid w:val="00364DB3"/>
    <w:rsid w:val="003676F3"/>
    <w:rsid w:val="00374D85"/>
    <w:rsid w:val="003758BE"/>
    <w:rsid w:val="00380D41"/>
    <w:rsid w:val="00381066"/>
    <w:rsid w:val="00381B18"/>
    <w:rsid w:val="00381D7F"/>
    <w:rsid w:val="003830F4"/>
    <w:rsid w:val="003917F3"/>
    <w:rsid w:val="003B13B3"/>
    <w:rsid w:val="003C48C7"/>
    <w:rsid w:val="003C6074"/>
    <w:rsid w:val="003C7B30"/>
    <w:rsid w:val="003D0CE1"/>
    <w:rsid w:val="003D234B"/>
    <w:rsid w:val="003D2646"/>
    <w:rsid w:val="003E68B4"/>
    <w:rsid w:val="003F123D"/>
    <w:rsid w:val="00402160"/>
    <w:rsid w:val="00407200"/>
    <w:rsid w:val="004120AF"/>
    <w:rsid w:val="00415B4B"/>
    <w:rsid w:val="00417444"/>
    <w:rsid w:val="00422D41"/>
    <w:rsid w:val="004248C9"/>
    <w:rsid w:val="00442251"/>
    <w:rsid w:val="004430A3"/>
    <w:rsid w:val="00452D1C"/>
    <w:rsid w:val="0045513A"/>
    <w:rsid w:val="0045612D"/>
    <w:rsid w:val="00456F3B"/>
    <w:rsid w:val="004634B3"/>
    <w:rsid w:val="00471018"/>
    <w:rsid w:val="00482BC9"/>
    <w:rsid w:val="00482EDC"/>
    <w:rsid w:val="0048570C"/>
    <w:rsid w:val="004977FF"/>
    <w:rsid w:val="004A0B96"/>
    <w:rsid w:val="004A5BD4"/>
    <w:rsid w:val="004A71F1"/>
    <w:rsid w:val="004A7553"/>
    <w:rsid w:val="004B13BC"/>
    <w:rsid w:val="004B2AA0"/>
    <w:rsid w:val="004C00CB"/>
    <w:rsid w:val="004C071B"/>
    <w:rsid w:val="004C40C2"/>
    <w:rsid w:val="004D4050"/>
    <w:rsid w:val="004D66C1"/>
    <w:rsid w:val="004E0E24"/>
    <w:rsid w:val="004E2AB8"/>
    <w:rsid w:val="004E44DD"/>
    <w:rsid w:val="004E4B65"/>
    <w:rsid w:val="004E4DBC"/>
    <w:rsid w:val="004F6713"/>
    <w:rsid w:val="004F7F60"/>
    <w:rsid w:val="005056E8"/>
    <w:rsid w:val="00505FC6"/>
    <w:rsid w:val="00506787"/>
    <w:rsid w:val="005160A3"/>
    <w:rsid w:val="00516CC6"/>
    <w:rsid w:val="00516DEC"/>
    <w:rsid w:val="00525B8C"/>
    <w:rsid w:val="0053338C"/>
    <w:rsid w:val="00544245"/>
    <w:rsid w:val="00544A05"/>
    <w:rsid w:val="0054574C"/>
    <w:rsid w:val="00554C0A"/>
    <w:rsid w:val="005554AE"/>
    <w:rsid w:val="0056157C"/>
    <w:rsid w:val="00567826"/>
    <w:rsid w:val="00572CF2"/>
    <w:rsid w:val="00575697"/>
    <w:rsid w:val="005817DF"/>
    <w:rsid w:val="00593620"/>
    <w:rsid w:val="005940FA"/>
    <w:rsid w:val="005A341C"/>
    <w:rsid w:val="005B7FCB"/>
    <w:rsid w:val="005C0C4D"/>
    <w:rsid w:val="005C2ECF"/>
    <w:rsid w:val="005C4873"/>
    <w:rsid w:val="005D0662"/>
    <w:rsid w:val="005D3191"/>
    <w:rsid w:val="005D631E"/>
    <w:rsid w:val="005E11F5"/>
    <w:rsid w:val="005E1849"/>
    <w:rsid w:val="005F15A2"/>
    <w:rsid w:val="00602044"/>
    <w:rsid w:val="00602A5F"/>
    <w:rsid w:val="00606313"/>
    <w:rsid w:val="00606563"/>
    <w:rsid w:val="006070A6"/>
    <w:rsid w:val="00611BA9"/>
    <w:rsid w:val="00617CA5"/>
    <w:rsid w:val="0062166C"/>
    <w:rsid w:val="0062241E"/>
    <w:rsid w:val="00625D95"/>
    <w:rsid w:val="0063253A"/>
    <w:rsid w:val="00637F62"/>
    <w:rsid w:val="0065248C"/>
    <w:rsid w:val="006577A9"/>
    <w:rsid w:val="0066475B"/>
    <w:rsid w:val="00665541"/>
    <w:rsid w:val="006669DB"/>
    <w:rsid w:val="00672EDA"/>
    <w:rsid w:val="00675A6C"/>
    <w:rsid w:val="00676D1E"/>
    <w:rsid w:val="00685BF9"/>
    <w:rsid w:val="006865F1"/>
    <w:rsid w:val="00695972"/>
    <w:rsid w:val="00697ED5"/>
    <w:rsid w:val="00697F27"/>
    <w:rsid w:val="006A2CB9"/>
    <w:rsid w:val="006A5B17"/>
    <w:rsid w:val="006A6116"/>
    <w:rsid w:val="006A7B58"/>
    <w:rsid w:val="006B03ED"/>
    <w:rsid w:val="006B2490"/>
    <w:rsid w:val="006B6A5B"/>
    <w:rsid w:val="006C12FD"/>
    <w:rsid w:val="006D09A4"/>
    <w:rsid w:val="006E5F13"/>
    <w:rsid w:val="006F53C9"/>
    <w:rsid w:val="0070094E"/>
    <w:rsid w:val="00711E4A"/>
    <w:rsid w:val="00720669"/>
    <w:rsid w:val="00732E48"/>
    <w:rsid w:val="007334BF"/>
    <w:rsid w:val="00741EE3"/>
    <w:rsid w:val="0075135A"/>
    <w:rsid w:val="00756743"/>
    <w:rsid w:val="007708AF"/>
    <w:rsid w:val="00782716"/>
    <w:rsid w:val="00782875"/>
    <w:rsid w:val="00787A8E"/>
    <w:rsid w:val="007947C5"/>
    <w:rsid w:val="007A1F21"/>
    <w:rsid w:val="007A29D4"/>
    <w:rsid w:val="007B0806"/>
    <w:rsid w:val="007B16D7"/>
    <w:rsid w:val="007B3141"/>
    <w:rsid w:val="007B65CC"/>
    <w:rsid w:val="007B7912"/>
    <w:rsid w:val="007C2E76"/>
    <w:rsid w:val="007C4B9A"/>
    <w:rsid w:val="007C5881"/>
    <w:rsid w:val="007E0B71"/>
    <w:rsid w:val="007F2169"/>
    <w:rsid w:val="007F34E5"/>
    <w:rsid w:val="007F7B38"/>
    <w:rsid w:val="008059C1"/>
    <w:rsid w:val="00805E7C"/>
    <w:rsid w:val="00823289"/>
    <w:rsid w:val="008260E6"/>
    <w:rsid w:val="00826413"/>
    <w:rsid w:val="00830E8E"/>
    <w:rsid w:val="00831252"/>
    <w:rsid w:val="00834B89"/>
    <w:rsid w:val="00841AA4"/>
    <w:rsid w:val="00844C42"/>
    <w:rsid w:val="008459CA"/>
    <w:rsid w:val="008474F5"/>
    <w:rsid w:val="0085354E"/>
    <w:rsid w:val="00853B47"/>
    <w:rsid w:val="00854008"/>
    <w:rsid w:val="00860182"/>
    <w:rsid w:val="008622FD"/>
    <w:rsid w:val="00865B52"/>
    <w:rsid w:val="00872D3B"/>
    <w:rsid w:val="00877CE7"/>
    <w:rsid w:val="00880F8C"/>
    <w:rsid w:val="00881152"/>
    <w:rsid w:val="00883EC6"/>
    <w:rsid w:val="00884ECD"/>
    <w:rsid w:val="0089403C"/>
    <w:rsid w:val="008A0433"/>
    <w:rsid w:val="008A0A6B"/>
    <w:rsid w:val="008B4AB8"/>
    <w:rsid w:val="008C172F"/>
    <w:rsid w:val="008C1B8F"/>
    <w:rsid w:val="008C630E"/>
    <w:rsid w:val="008D4CC4"/>
    <w:rsid w:val="008E0975"/>
    <w:rsid w:val="008E666B"/>
    <w:rsid w:val="008F29FF"/>
    <w:rsid w:val="008F62F1"/>
    <w:rsid w:val="008F7453"/>
    <w:rsid w:val="00900CD9"/>
    <w:rsid w:val="009102AC"/>
    <w:rsid w:val="0092437A"/>
    <w:rsid w:val="00926ED3"/>
    <w:rsid w:val="00930E02"/>
    <w:rsid w:val="009325A3"/>
    <w:rsid w:val="0093396D"/>
    <w:rsid w:val="00933D45"/>
    <w:rsid w:val="00946CCA"/>
    <w:rsid w:val="009503FA"/>
    <w:rsid w:val="00952DAF"/>
    <w:rsid w:val="00955402"/>
    <w:rsid w:val="00961D19"/>
    <w:rsid w:val="009741E1"/>
    <w:rsid w:val="00974B49"/>
    <w:rsid w:val="00980636"/>
    <w:rsid w:val="00981145"/>
    <w:rsid w:val="00991005"/>
    <w:rsid w:val="009B084A"/>
    <w:rsid w:val="009B2905"/>
    <w:rsid w:val="009B4CF7"/>
    <w:rsid w:val="009B6251"/>
    <w:rsid w:val="009C3B65"/>
    <w:rsid w:val="009C48A4"/>
    <w:rsid w:val="009D2C27"/>
    <w:rsid w:val="009D3827"/>
    <w:rsid w:val="009D4074"/>
    <w:rsid w:val="009E2752"/>
    <w:rsid w:val="009E7376"/>
    <w:rsid w:val="009F0FF2"/>
    <w:rsid w:val="009F77F5"/>
    <w:rsid w:val="00A13462"/>
    <w:rsid w:val="00A17F40"/>
    <w:rsid w:val="00A24770"/>
    <w:rsid w:val="00A275D5"/>
    <w:rsid w:val="00A414B6"/>
    <w:rsid w:val="00A50F0E"/>
    <w:rsid w:val="00A541CA"/>
    <w:rsid w:val="00A54624"/>
    <w:rsid w:val="00A61893"/>
    <w:rsid w:val="00A6414B"/>
    <w:rsid w:val="00A6509D"/>
    <w:rsid w:val="00A7196C"/>
    <w:rsid w:val="00A7251E"/>
    <w:rsid w:val="00A73D82"/>
    <w:rsid w:val="00A80B46"/>
    <w:rsid w:val="00A82645"/>
    <w:rsid w:val="00A94F21"/>
    <w:rsid w:val="00AA0E37"/>
    <w:rsid w:val="00AA4940"/>
    <w:rsid w:val="00AA65D2"/>
    <w:rsid w:val="00AC1D70"/>
    <w:rsid w:val="00AC43D2"/>
    <w:rsid w:val="00AC66D0"/>
    <w:rsid w:val="00AD6168"/>
    <w:rsid w:val="00AD69AC"/>
    <w:rsid w:val="00AD6EF3"/>
    <w:rsid w:val="00AE73E3"/>
    <w:rsid w:val="00AE7601"/>
    <w:rsid w:val="00AF5286"/>
    <w:rsid w:val="00AF7F0A"/>
    <w:rsid w:val="00B10713"/>
    <w:rsid w:val="00B11AE9"/>
    <w:rsid w:val="00B129FF"/>
    <w:rsid w:val="00B17C0B"/>
    <w:rsid w:val="00B244B7"/>
    <w:rsid w:val="00B26922"/>
    <w:rsid w:val="00B33842"/>
    <w:rsid w:val="00B338D7"/>
    <w:rsid w:val="00B34959"/>
    <w:rsid w:val="00B4216E"/>
    <w:rsid w:val="00B43917"/>
    <w:rsid w:val="00B502F2"/>
    <w:rsid w:val="00B53580"/>
    <w:rsid w:val="00B53B73"/>
    <w:rsid w:val="00B53F01"/>
    <w:rsid w:val="00B63BB2"/>
    <w:rsid w:val="00B666C8"/>
    <w:rsid w:val="00B70140"/>
    <w:rsid w:val="00B70D29"/>
    <w:rsid w:val="00B72596"/>
    <w:rsid w:val="00B7359F"/>
    <w:rsid w:val="00B87C26"/>
    <w:rsid w:val="00BB56F6"/>
    <w:rsid w:val="00BB5F3F"/>
    <w:rsid w:val="00BC144A"/>
    <w:rsid w:val="00BC43A7"/>
    <w:rsid w:val="00BC6EE8"/>
    <w:rsid w:val="00BE17F8"/>
    <w:rsid w:val="00BE2DA6"/>
    <w:rsid w:val="00BE36B0"/>
    <w:rsid w:val="00BE5F2F"/>
    <w:rsid w:val="00BF1489"/>
    <w:rsid w:val="00BF70FF"/>
    <w:rsid w:val="00C0098E"/>
    <w:rsid w:val="00C01937"/>
    <w:rsid w:val="00C06897"/>
    <w:rsid w:val="00C06E09"/>
    <w:rsid w:val="00C07192"/>
    <w:rsid w:val="00C13C5B"/>
    <w:rsid w:val="00C14304"/>
    <w:rsid w:val="00C20387"/>
    <w:rsid w:val="00C320F5"/>
    <w:rsid w:val="00C34B4B"/>
    <w:rsid w:val="00C37A3D"/>
    <w:rsid w:val="00C40055"/>
    <w:rsid w:val="00C4172E"/>
    <w:rsid w:val="00C47A2A"/>
    <w:rsid w:val="00C51DFE"/>
    <w:rsid w:val="00C5536D"/>
    <w:rsid w:val="00C66D6D"/>
    <w:rsid w:val="00C70F83"/>
    <w:rsid w:val="00C71A00"/>
    <w:rsid w:val="00C77BF9"/>
    <w:rsid w:val="00C83BE7"/>
    <w:rsid w:val="00C8659C"/>
    <w:rsid w:val="00C9253F"/>
    <w:rsid w:val="00CB4148"/>
    <w:rsid w:val="00CC50D5"/>
    <w:rsid w:val="00CD117F"/>
    <w:rsid w:val="00CD6676"/>
    <w:rsid w:val="00CE2207"/>
    <w:rsid w:val="00CE3FDA"/>
    <w:rsid w:val="00D009CF"/>
    <w:rsid w:val="00D01DD3"/>
    <w:rsid w:val="00D0253A"/>
    <w:rsid w:val="00D03B44"/>
    <w:rsid w:val="00D078A4"/>
    <w:rsid w:val="00D07C35"/>
    <w:rsid w:val="00D13A1A"/>
    <w:rsid w:val="00D13A87"/>
    <w:rsid w:val="00D26114"/>
    <w:rsid w:val="00D2681F"/>
    <w:rsid w:val="00D2704C"/>
    <w:rsid w:val="00D30A73"/>
    <w:rsid w:val="00D369BF"/>
    <w:rsid w:val="00D46CCF"/>
    <w:rsid w:val="00D47D0B"/>
    <w:rsid w:val="00D50A1D"/>
    <w:rsid w:val="00D52514"/>
    <w:rsid w:val="00D60444"/>
    <w:rsid w:val="00D62704"/>
    <w:rsid w:val="00D64326"/>
    <w:rsid w:val="00D66568"/>
    <w:rsid w:val="00D67605"/>
    <w:rsid w:val="00D700E7"/>
    <w:rsid w:val="00D701D9"/>
    <w:rsid w:val="00D707EF"/>
    <w:rsid w:val="00D7247E"/>
    <w:rsid w:val="00D73D95"/>
    <w:rsid w:val="00D7430D"/>
    <w:rsid w:val="00D75ECA"/>
    <w:rsid w:val="00D77C63"/>
    <w:rsid w:val="00D85490"/>
    <w:rsid w:val="00D92F9F"/>
    <w:rsid w:val="00D96F48"/>
    <w:rsid w:val="00D9713D"/>
    <w:rsid w:val="00DA5AD9"/>
    <w:rsid w:val="00DB02C4"/>
    <w:rsid w:val="00DB4961"/>
    <w:rsid w:val="00DB5DCE"/>
    <w:rsid w:val="00DB7772"/>
    <w:rsid w:val="00DC3A0A"/>
    <w:rsid w:val="00DC4CC0"/>
    <w:rsid w:val="00DC5CEC"/>
    <w:rsid w:val="00DC768C"/>
    <w:rsid w:val="00DD2507"/>
    <w:rsid w:val="00DD491D"/>
    <w:rsid w:val="00DD4E9A"/>
    <w:rsid w:val="00DE272F"/>
    <w:rsid w:val="00DE3E61"/>
    <w:rsid w:val="00DF5615"/>
    <w:rsid w:val="00E0084C"/>
    <w:rsid w:val="00E0367F"/>
    <w:rsid w:val="00E11564"/>
    <w:rsid w:val="00E22F1E"/>
    <w:rsid w:val="00E2336C"/>
    <w:rsid w:val="00E2431A"/>
    <w:rsid w:val="00E25397"/>
    <w:rsid w:val="00E31747"/>
    <w:rsid w:val="00E33D89"/>
    <w:rsid w:val="00E359BE"/>
    <w:rsid w:val="00E3647B"/>
    <w:rsid w:val="00E44879"/>
    <w:rsid w:val="00E50BAA"/>
    <w:rsid w:val="00E5256E"/>
    <w:rsid w:val="00E52C1D"/>
    <w:rsid w:val="00E54D23"/>
    <w:rsid w:val="00E66B99"/>
    <w:rsid w:val="00E67D2D"/>
    <w:rsid w:val="00E732D7"/>
    <w:rsid w:val="00E80113"/>
    <w:rsid w:val="00E815D0"/>
    <w:rsid w:val="00E81C58"/>
    <w:rsid w:val="00E877F0"/>
    <w:rsid w:val="00E972AB"/>
    <w:rsid w:val="00EA1679"/>
    <w:rsid w:val="00EA2A53"/>
    <w:rsid w:val="00EA37C0"/>
    <w:rsid w:val="00EA7919"/>
    <w:rsid w:val="00EB0786"/>
    <w:rsid w:val="00EC02AC"/>
    <w:rsid w:val="00EC11BB"/>
    <w:rsid w:val="00EC21A9"/>
    <w:rsid w:val="00ED04D1"/>
    <w:rsid w:val="00EE19F0"/>
    <w:rsid w:val="00EE3D4F"/>
    <w:rsid w:val="00EF66EB"/>
    <w:rsid w:val="00F05BB1"/>
    <w:rsid w:val="00F07E54"/>
    <w:rsid w:val="00F174E5"/>
    <w:rsid w:val="00F20552"/>
    <w:rsid w:val="00F21866"/>
    <w:rsid w:val="00F218D1"/>
    <w:rsid w:val="00F33810"/>
    <w:rsid w:val="00F426C1"/>
    <w:rsid w:val="00F428BB"/>
    <w:rsid w:val="00F433DF"/>
    <w:rsid w:val="00F47BD9"/>
    <w:rsid w:val="00F50E66"/>
    <w:rsid w:val="00F52F84"/>
    <w:rsid w:val="00F57270"/>
    <w:rsid w:val="00F61FDB"/>
    <w:rsid w:val="00F62542"/>
    <w:rsid w:val="00F71A92"/>
    <w:rsid w:val="00F71E7A"/>
    <w:rsid w:val="00F722B9"/>
    <w:rsid w:val="00F74641"/>
    <w:rsid w:val="00F91BB5"/>
    <w:rsid w:val="00F97C02"/>
    <w:rsid w:val="00FA4419"/>
    <w:rsid w:val="00FB00D5"/>
    <w:rsid w:val="00FB1053"/>
    <w:rsid w:val="00FB11F3"/>
    <w:rsid w:val="00FB38E4"/>
    <w:rsid w:val="00FC0BB0"/>
    <w:rsid w:val="00FC4B69"/>
    <w:rsid w:val="00FC5A94"/>
    <w:rsid w:val="00FC72F7"/>
    <w:rsid w:val="00FD51B2"/>
    <w:rsid w:val="00FE0758"/>
    <w:rsid w:val="00FE5958"/>
    <w:rsid w:val="00FF52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340D9B"/>
  <w15:chartTrackingRefBased/>
  <w15:docId w15:val="{2BB1FDFF-2DC0-4B5F-8182-06BE0770CE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7D2D"/>
    <w:pPr>
      <w:spacing w:after="0" w:line="240" w:lineRule="auto"/>
    </w:pPr>
    <w:rPr>
      <w:rFonts w:ascii="Times New Roman" w:eastAsia="Times New Roman" w:hAnsi="Times New Roman" w:cs="Times New Roman"/>
      <w:kern w:val="0"/>
      <w:sz w:val="24"/>
      <w:szCs w:val="24"/>
      <w14:ligatures w14:val="none"/>
    </w:rPr>
  </w:style>
  <w:style w:type="paragraph" w:styleId="Heading1">
    <w:name w:val="heading 1"/>
    <w:basedOn w:val="Normal"/>
    <w:next w:val="Normal"/>
    <w:link w:val="Heading1Char"/>
    <w:uiPriority w:val="9"/>
    <w:qFormat/>
    <w:rsid w:val="006B2490"/>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6B2490"/>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6B2490"/>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6B2490"/>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14:ligatures w14:val="standardContextual"/>
    </w:rPr>
  </w:style>
  <w:style w:type="paragraph" w:styleId="Heading5">
    <w:name w:val="heading 5"/>
    <w:basedOn w:val="Normal"/>
    <w:next w:val="Normal"/>
    <w:link w:val="Heading5Char"/>
    <w:uiPriority w:val="9"/>
    <w:semiHidden/>
    <w:unhideWhenUsed/>
    <w:qFormat/>
    <w:rsid w:val="006B2490"/>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14:ligatures w14:val="standardContextual"/>
    </w:rPr>
  </w:style>
  <w:style w:type="paragraph" w:styleId="Heading6">
    <w:name w:val="heading 6"/>
    <w:basedOn w:val="Normal"/>
    <w:next w:val="Normal"/>
    <w:link w:val="Heading6Char"/>
    <w:uiPriority w:val="9"/>
    <w:semiHidden/>
    <w:unhideWhenUsed/>
    <w:qFormat/>
    <w:rsid w:val="006B2490"/>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14:ligatures w14:val="standardContextual"/>
    </w:rPr>
  </w:style>
  <w:style w:type="paragraph" w:styleId="Heading7">
    <w:name w:val="heading 7"/>
    <w:basedOn w:val="Normal"/>
    <w:next w:val="Normal"/>
    <w:link w:val="Heading7Char"/>
    <w:uiPriority w:val="9"/>
    <w:semiHidden/>
    <w:unhideWhenUsed/>
    <w:qFormat/>
    <w:rsid w:val="006B2490"/>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14:ligatures w14:val="standardContextual"/>
    </w:rPr>
  </w:style>
  <w:style w:type="paragraph" w:styleId="Heading8">
    <w:name w:val="heading 8"/>
    <w:basedOn w:val="Normal"/>
    <w:next w:val="Normal"/>
    <w:link w:val="Heading8Char"/>
    <w:uiPriority w:val="9"/>
    <w:semiHidden/>
    <w:unhideWhenUsed/>
    <w:qFormat/>
    <w:rsid w:val="006B2490"/>
    <w:pPr>
      <w:keepNext/>
      <w:keepLines/>
      <w:spacing w:line="259" w:lineRule="auto"/>
      <w:outlineLvl w:val="7"/>
    </w:pPr>
    <w:rPr>
      <w:rFonts w:asciiTheme="minorHAnsi" w:eastAsiaTheme="majorEastAsia" w:hAnsiTheme="minorHAnsi" w:cstheme="majorBidi"/>
      <w:i/>
      <w:iCs/>
      <w:color w:val="272727" w:themeColor="text1" w:themeTint="D8"/>
      <w:kern w:val="2"/>
      <w:sz w:val="22"/>
      <w:szCs w:val="22"/>
      <w14:ligatures w14:val="standardContextual"/>
    </w:rPr>
  </w:style>
  <w:style w:type="paragraph" w:styleId="Heading9">
    <w:name w:val="heading 9"/>
    <w:basedOn w:val="Normal"/>
    <w:next w:val="Normal"/>
    <w:link w:val="Heading9Char"/>
    <w:uiPriority w:val="9"/>
    <w:semiHidden/>
    <w:unhideWhenUsed/>
    <w:qFormat/>
    <w:rsid w:val="006B2490"/>
    <w:pPr>
      <w:keepNext/>
      <w:keepLines/>
      <w:spacing w:line="259" w:lineRule="auto"/>
      <w:outlineLvl w:val="8"/>
    </w:pPr>
    <w:rPr>
      <w:rFonts w:asciiTheme="minorHAnsi" w:eastAsiaTheme="majorEastAsia" w:hAnsiTheme="minorHAnsi" w:cstheme="majorBidi"/>
      <w:color w:val="272727" w:themeColor="text1" w:themeTint="D8"/>
      <w:kern w:val="2"/>
      <w:sz w:val="22"/>
      <w:szCs w:val="2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249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B249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B249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B249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B249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B249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B249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B249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B2490"/>
    <w:rPr>
      <w:rFonts w:eastAsiaTheme="majorEastAsia" w:cstheme="majorBidi"/>
      <w:color w:val="272727" w:themeColor="text1" w:themeTint="D8"/>
    </w:rPr>
  </w:style>
  <w:style w:type="paragraph" w:styleId="Title">
    <w:name w:val="Title"/>
    <w:basedOn w:val="Normal"/>
    <w:next w:val="Normal"/>
    <w:link w:val="TitleChar"/>
    <w:uiPriority w:val="10"/>
    <w:qFormat/>
    <w:rsid w:val="006B2490"/>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6B249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B2490"/>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6B249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B2490"/>
    <w:pPr>
      <w:spacing w:before="160" w:after="160" w:line="259" w:lineRule="auto"/>
      <w:jc w:val="center"/>
    </w:pPr>
    <w:rPr>
      <w:rFonts w:asciiTheme="minorHAnsi" w:eastAsiaTheme="minorHAnsi" w:hAnsiTheme="minorHAnsi" w:cstheme="minorBidi"/>
      <w:i/>
      <w:iCs/>
      <w:color w:val="404040" w:themeColor="text1" w:themeTint="BF"/>
      <w:kern w:val="2"/>
      <w:sz w:val="22"/>
      <w:szCs w:val="22"/>
      <w14:ligatures w14:val="standardContextual"/>
    </w:rPr>
  </w:style>
  <w:style w:type="character" w:customStyle="1" w:styleId="QuoteChar">
    <w:name w:val="Quote Char"/>
    <w:basedOn w:val="DefaultParagraphFont"/>
    <w:link w:val="Quote"/>
    <w:uiPriority w:val="29"/>
    <w:rsid w:val="006B2490"/>
    <w:rPr>
      <w:i/>
      <w:iCs/>
      <w:color w:val="404040" w:themeColor="text1" w:themeTint="BF"/>
    </w:rPr>
  </w:style>
  <w:style w:type="paragraph" w:styleId="ListParagraph">
    <w:name w:val="List Paragraph"/>
    <w:basedOn w:val="Normal"/>
    <w:uiPriority w:val="34"/>
    <w:qFormat/>
    <w:rsid w:val="006B2490"/>
    <w:pPr>
      <w:spacing w:after="160" w:line="259" w:lineRule="auto"/>
      <w:ind w:left="720"/>
      <w:contextualSpacing/>
    </w:pPr>
    <w:rPr>
      <w:rFonts w:asciiTheme="minorHAnsi" w:eastAsiaTheme="minorHAnsi" w:hAnsiTheme="minorHAnsi" w:cstheme="minorBidi"/>
      <w:kern w:val="2"/>
      <w:sz w:val="22"/>
      <w:szCs w:val="22"/>
      <w14:ligatures w14:val="standardContextual"/>
    </w:rPr>
  </w:style>
  <w:style w:type="character" w:styleId="IntenseEmphasis">
    <w:name w:val="Intense Emphasis"/>
    <w:basedOn w:val="DefaultParagraphFont"/>
    <w:uiPriority w:val="21"/>
    <w:qFormat/>
    <w:rsid w:val="006B2490"/>
    <w:rPr>
      <w:i/>
      <w:iCs/>
      <w:color w:val="0F4761" w:themeColor="accent1" w:themeShade="BF"/>
    </w:rPr>
  </w:style>
  <w:style w:type="paragraph" w:styleId="IntenseQuote">
    <w:name w:val="Intense Quote"/>
    <w:basedOn w:val="Normal"/>
    <w:next w:val="Normal"/>
    <w:link w:val="IntenseQuoteChar"/>
    <w:uiPriority w:val="30"/>
    <w:qFormat/>
    <w:rsid w:val="006B2490"/>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14:ligatures w14:val="standardContextual"/>
    </w:rPr>
  </w:style>
  <w:style w:type="character" w:customStyle="1" w:styleId="IntenseQuoteChar">
    <w:name w:val="Intense Quote Char"/>
    <w:basedOn w:val="DefaultParagraphFont"/>
    <w:link w:val="IntenseQuote"/>
    <w:uiPriority w:val="30"/>
    <w:rsid w:val="006B2490"/>
    <w:rPr>
      <w:i/>
      <w:iCs/>
      <w:color w:val="0F4761" w:themeColor="accent1" w:themeShade="BF"/>
    </w:rPr>
  </w:style>
  <w:style w:type="character" w:styleId="IntenseReference">
    <w:name w:val="Intense Reference"/>
    <w:basedOn w:val="DefaultParagraphFont"/>
    <w:uiPriority w:val="32"/>
    <w:qFormat/>
    <w:rsid w:val="006B2490"/>
    <w:rPr>
      <w:b/>
      <w:bCs/>
      <w:smallCaps/>
      <w:color w:val="0F4761" w:themeColor="accent1" w:themeShade="BF"/>
      <w:spacing w:val="5"/>
    </w:rPr>
  </w:style>
  <w:style w:type="paragraph" w:styleId="Header">
    <w:name w:val="header"/>
    <w:basedOn w:val="Normal"/>
    <w:link w:val="HeaderChar"/>
    <w:rsid w:val="006B2490"/>
    <w:pPr>
      <w:tabs>
        <w:tab w:val="center" w:pos="4320"/>
        <w:tab w:val="right" w:pos="8640"/>
      </w:tabs>
    </w:pPr>
  </w:style>
  <w:style w:type="character" w:customStyle="1" w:styleId="HeaderChar">
    <w:name w:val="Header Char"/>
    <w:basedOn w:val="DefaultParagraphFont"/>
    <w:link w:val="Header"/>
    <w:rsid w:val="006B2490"/>
    <w:rPr>
      <w:rFonts w:ascii="Times New Roman" w:eastAsia="Times New Roman" w:hAnsi="Times New Roman" w:cs="Times New Roman"/>
      <w:kern w:val="0"/>
      <w:sz w:val="24"/>
      <w:szCs w:val="24"/>
      <w14:ligatures w14:val="none"/>
    </w:rPr>
  </w:style>
  <w:style w:type="character" w:styleId="PageNumber">
    <w:name w:val="page number"/>
    <w:basedOn w:val="DefaultParagraphFont"/>
    <w:rsid w:val="006B2490"/>
  </w:style>
  <w:style w:type="paragraph" w:customStyle="1" w:styleId="Title2">
    <w:name w:val="Title2"/>
    <w:basedOn w:val="Normal"/>
    <w:next w:val="Normal"/>
    <w:rsid w:val="006B2490"/>
    <w:pPr>
      <w:tabs>
        <w:tab w:val="left" w:pos="648"/>
        <w:tab w:val="right" w:pos="7776"/>
        <w:tab w:val="left" w:pos="7848"/>
      </w:tabs>
    </w:pPr>
    <w:rPr>
      <w:szCs w:val="20"/>
    </w:rPr>
  </w:style>
  <w:style w:type="character" w:styleId="LineNumber">
    <w:name w:val="line number"/>
    <w:basedOn w:val="DefaultParagraphFont"/>
    <w:uiPriority w:val="99"/>
    <w:semiHidden/>
    <w:unhideWhenUsed/>
    <w:rsid w:val="006B2490"/>
  </w:style>
  <w:style w:type="paragraph" w:styleId="FootnoteText">
    <w:name w:val="footnote text"/>
    <w:basedOn w:val="Normal"/>
    <w:link w:val="FootnoteTextChar"/>
    <w:uiPriority w:val="99"/>
    <w:semiHidden/>
    <w:unhideWhenUsed/>
    <w:rsid w:val="00961D19"/>
    <w:rPr>
      <w:sz w:val="20"/>
      <w:szCs w:val="20"/>
    </w:rPr>
  </w:style>
  <w:style w:type="character" w:customStyle="1" w:styleId="FootnoteTextChar">
    <w:name w:val="Footnote Text Char"/>
    <w:basedOn w:val="DefaultParagraphFont"/>
    <w:link w:val="FootnoteText"/>
    <w:uiPriority w:val="99"/>
    <w:semiHidden/>
    <w:rsid w:val="00961D19"/>
    <w:rPr>
      <w:rFonts w:ascii="Times New Roman" w:eastAsia="Times New Roman" w:hAnsi="Times New Roman" w:cs="Times New Roman"/>
      <w:kern w:val="0"/>
      <w:sz w:val="20"/>
      <w:szCs w:val="20"/>
      <w14:ligatures w14:val="none"/>
    </w:rPr>
  </w:style>
  <w:style w:type="character" w:styleId="FootnoteReference">
    <w:name w:val="footnote reference"/>
    <w:basedOn w:val="DefaultParagraphFont"/>
    <w:uiPriority w:val="99"/>
    <w:semiHidden/>
    <w:unhideWhenUsed/>
    <w:rsid w:val="00961D1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62920F-E9B3-461C-8D43-00C9729DAB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1839</Words>
  <Characters>10119</Characters>
  <Application>Microsoft Office Word</Application>
  <DocSecurity>4</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M. Rodriguez Berrios</dc:creator>
  <cp:keywords/>
  <dc:description/>
  <cp:lastModifiedBy>Gloria de Jesús Maldonado</cp:lastModifiedBy>
  <cp:revision>2</cp:revision>
  <cp:lastPrinted>2026-06-11T18:45:00Z</cp:lastPrinted>
  <dcterms:created xsi:type="dcterms:W3CDTF">2026-06-11T21:44:00Z</dcterms:created>
  <dcterms:modified xsi:type="dcterms:W3CDTF">2026-06-11T21:44:00Z</dcterms:modified>
</cp:coreProperties>
</file>