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678E8F8"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F615C8">
        <w:rPr>
          <w:rFonts w:ascii="Book Antiqua" w:eastAsia="Book Antiqua" w:hAnsi="Book Antiqua" w:cs="Book Antiqua"/>
        </w:rPr>
        <w:t>2</w:t>
      </w:r>
      <w:r w:rsidR="00F615C8">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27A5DD9D" w:rsidR="00EE1E93" w:rsidRPr="00700566" w:rsidRDefault="002F0C30"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EE1E93" w:rsidRPr="00700566">
        <w:rPr>
          <w:rFonts w:ascii="Book Antiqua" w:eastAsia="Book Antiqua" w:hAnsi="Book Antiqua" w:cs="Book Antiqua"/>
          <w:b/>
          <w:sz w:val="52"/>
          <w:szCs w:val="52"/>
        </w:rPr>
        <w:t xml:space="preserve">. de la </w:t>
      </w:r>
      <w:r w:rsidR="009B6911">
        <w:rPr>
          <w:rFonts w:ascii="Book Antiqua" w:eastAsia="Book Antiqua" w:hAnsi="Book Antiqua" w:cs="Book Antiqua"/>
          <w:b/>
          <w:sz w:val="52"/>
          <w:szCs w:val="52"/>
        </w:rPr>
        <w:t>C</w:t>
      </w:r>
      <w:r w:rsidR="00EE1E93" w:rsidRPr="00700566">
        <w:rPr>
          <w:rFonts w:ascii="Book Antiqua" w:eastAsia="Book Antiqua" w:hAnsi="Book Antiqua" w:cs="Book Antiqua"/>
          <w:b/>
          <w:sz w:val="52"/>
          <w:szCs w:val="52"/>
        </w:rPr>
        <w:t xml:space="preserve">. </w:t>
      </w:r>
      <w:r w:rsidR="009B6911">
        <w:rPr>
          <w:rFonts w:ascii="Book Antiqua" w:eastAsia="Book Antiqua" w:hAnsi="Book Antiqua" w:cs="Book Antiqua"/>
          <w:b/>
          <w:sz w:val="52"/>
          <w:szCs w:val="52"/>
        </w:rPr>
        <w:t>575</w:t>
      </w:r>
    </w:p>
    <w:p w14:paraId="55024D28" w14:textId="7E4FE223"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F615C8">
        <w:rPr>
          <w:rFonts w:ascii="Book Antiqua" w:eastAsia="Book Antiqua" w:hAnsi="Book Antiqua" w:cs="Book Antiqua"/>
          <w:b/>
          <w:sz w:val="28"/>
          <w:szCs w:val="28"/>
        </w:rPr>
        <w:t>P</w:t>
      </w:r>
      <w:r w:rsidR="002F0C30">
        <w:rPr>
          <w:rFonts w:ascii="Book Antiqua" w:eastAsia="Book Antiqua" w:hAnsi="Book Antiqua" w:cs="Book Antiqua"/>
          <w:b/>
          <w:sz w:val="28"/>
          <w:szCs w:val="28"/>
        </w:rPr>
        <w:t>OSITIVO</w:t>
      </w:r>
    </w:p>
    <w:p w14:paraId="5456D44B" w14:textId="6A25605B" w:rsidR="00EE1E93" w:rsidRPr="00700566" w:rsidRDefault="0089131A" w:rsidP="00EE1E93">
      <w:pPr>
        <w:spacing w:line="360" w:lineRule="auto"/>
        <w:jc w:val="center"/>
        <w:rPr>
          <w:rFonts w:ascii="Book Antiqua" w:eastAsia="Book Antiqua" w:hAnsi="Book Antiqua" w:cs="Book Antiqua"/>
          <w:b/>
        </w:rPr>
      </w:pPr>
      <w:r>
        <w:rPr>
          <w:rFonts w:ascii="Book Antiqua" w:eastAsia="Book Antiqua" w:hAnsi="Book Antiqua" w:cs="Book Antiqua"/>
        </w:rPr>
        <w:t>27</w:t>
      </w:r>
      <w:r w:rsidR="00EE1E93" w:rsidRPr="00700566">
        <w:rPr>
          <w:rFonts w:ascii="Book Antiqua" w:eastAsia="Book Antiqua" w:hAnsi="Book Antiqua" w:cs="Book Antiqua"/>
        </w:rPr>
        <w:t xml:space="preserve"> de </w:t>
      </w:r>
      <w:r w:rsidR="00F615C8">
        <w:rPr>
          <w:rFonts w:ascii="Book Antiqua" w:eastAsia="Book Antiqua" w:hAnsi="Book Antiqua" w:cs="Book Antiqua"/>
        </w:rPr>
        <w:t>agosto</w:t>
      </w:r>
      <w:r w:rsidR="00EE1E93" w:rsidRPr="00700566">
        <w:rPr>
          <w:rFonts w:ascii="Book Antiqua" w:eastAsia="Book Antiqua" w:hAnsi="Book Antiqua" w:cs="Book Antiqua"/>
        </w:rPr>
        <w:t xml:space="preserve"> de 2025</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7CD13410" w:rsidR="00500BFE" w:rsidRPr="00634A11" w:rsidRDefault="00634A11" w:rsidP="00634A11">
      <w:pPr>
        <w:ind w:firstLine="720"/>
        <w:jc w:val="both"/>
        <w:rPr>
          <w:rFonts w:ascii="Book Antiqua" w:eastAsia="Book Antiqua" w:hAnsi="Book Antiqua" w:cs="Book Antiqua"/>
        </w:rPr>
      </w:pPr>
      <w:r w:rsidRPr="00634A11">
        <w:rPr>
          <w:rFonts w:ascii="Book Antiqua" w:eastAsia="Book Antiqua" w:hAnsi="Book Antiqua" w:cs="Book Antiqua"/>
        </w:rPr>
        <w:t xml:space="preserve">La Comisión de Transportación e Infraestructura de la Cámara de Representantes del Gobierno de Puerto Rico, previo estudio y consideración del P. de la </w:t>
      </w:r>
      <w:r w:rsidR="009B6911">
        <w:rPr>
          <w:rFonts w:ascii="Book Antiqua" w:eastAsia="Book Antiqua" w:hAnsi="Book Antiqua" w:cs="Book Antiqua"/>
        </w:rPr>
        <w:t>C</w:t>
      </w:r>
      <w:r w:rsidRPr="00634A11">
        <w:rPr>
          <w:rFonts w:ascii="Book Antiqua" w:eastAsia="Book Antiqua" w:hAnsi="Book Antiqua" w:cs="Book Antiqua"/>
        </w:rPr>
        <w:t xml:space="preserve">. Núm. </w:t>
      </w:r>
      <w:r w:rsidR="009B6911">
        <w:rPr>
          <w:rFonts w:ascii="Book Antiqua" w:eastAsia="Book Antiqua" w:hAnsi="Book Antiqua" w:cs="Book Antiqua"/>
        </w:rPr>
        <w:t>575</w:t>
      </w:r>
      <w:r w:rsidRPr="00634A11">
        <w:rPr>
          <w:rFonts w:ascii="Book Antiqua" w:eastAsia="Book Antiqua" w:hAnsi="Book Antiqua" w:cs="Book Antiqua"/>
        </w:rPr>
        <w:t>, tiene a bien recomendar a este Alto Cuerpo la aprobación</w:t>
      </w:r>
      <w:r w:rsidR="009B6911">
        <w:rPr>
          <w:rFonts w:ascii="Book Antiqua" w:eastAsia="Book Antiqua" w:hAnsi="Book Antiqua" w:cs="Book Antiqua"/>
        </w:rPr>
        <w:t xml:space="preserve"> de esta medida,</w:t>
      </w:r>
      <w:r w:rsidRPr="00634A11">
        <w:rPr>
          <w:rFonts w:ascii="Book Antiqua" w:eastAsia="Book Antiqua" w:hAnsi="Book Antiqua" w:cs="Book Antiqua"/>
        </w:rPr>
        <w:t xml:space="preserve"> </w:t>
      </w:r>
      <w:r w:rsidR="009B6911">
        <w:rPr>
          <w:rFonts w:ascii="Book Antiqua" w:eastAsia="Book Antiqua" w:hAnsi="Book Antiqua" w:cs="Book Antiqua"/>
        </w:rPr>
        <w:t xml:space="preserve">con las enmiendas contenidas en el </w:t>
      </w:r>
      <w:proofErr w:type="spellStart"/>
      <w:r w:rsidR="009B6911">
        <w:rPr>
          <w:rFonts w:ascii="Book Antiqua" w:eastAsia="Book Antiqua" w:hAnsi="Book Antiqua" w:cs="Book Antiqua"/>
        </w:rPr>
        <w:t>entirillado</w:t>
      </w:r>
      <w:proofErr w:type="spellEnd"/>
      <w:r w:rsidR="009B6911">
        <w:rPr>
          <w:rFonts w:ascii="Book Antiqua" w:eastAsia="Book Antiqua" w:hAnsi="Book Antiqua" w:cs="Book Antiqua"/>
        </w:rPr>
        <w:t xml:space="preserve"> electrónico que se acompaña</w:t>
      </w:r>
      <w:r w:rsidRPr="00634A11">
        <w:rPr>
          <w:rFonts w:ascii="Book Antiqua" w:eastAsia="Book Antiqua" w:hAnsi="Book Antiqua" w:cs="Book Antiqua"/>
        </w:rPr>
        <w:t>.</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2699737D" w14:textId="77777777" w:rsidR="009B6911" w:rsidRDefault="009B6911" w:rsidP="009B6911">
      <w:pPr>
        <w:ind w:firstLine="720"/>
        <w:jc w:val="both"/>
        <w:rPr>
          <w:rFonts w:ascii="Book Antiqua" w:eastAsia="Book Antiqua" w:hAnsi="Book Antiqua" w:cs="Book Antiqua"/>
          <w:lang w:val="es-PR"/>
        </w:rPr>
      </w:pPr>
      <w:r w:rsidRPr="009B6911">
        <w:rPr>
          <w:rFonts w:ascii="Book Antiqua" w:eastAsia="Book Antiqua" w:hAnsi="Book Antiqua" w:cs="Book Antiqua"/>
          <w:lang w:val="es-PR"/>
        </w:rPr>
        <w:t>El Proyecto de la Cámara 575 propone enmendar el Artículo 3.14 de la Ley Núm. 22-2000, según enmendada, conocida como “Ley de Vehículos y Tránsito de Puerto Rico”. El propósito principal de esta medida es extender la vigencia de las licencias de conducir que expiren mientras el titular, domiciliado en Puerto Rico, se encuentre activado y movilizado como miembro de las Fuerzas Armadas de los Estados Unidos, sus componentes de Reserva o la Guardia Nacional de Puerto Rico.</w:t>
      </w:r>
    </w:p>
    <w:p w14:paraId="216F69CF" w14:textId="77777777" w:rsidR="009B6911" w:rsidRPr="009B6911" w:rsidRDefault="009B6911" w:rsidP="009B6911">
      <w:pPr>
        <w:ind w:firstLine="720"/>
        <w:jc w:val="both"/>
        <w:rPr>
          <w:rFonts w:ascii="Book Antiqua" w:eastAsia="Book Antiqua" w:hAnsi="Book Antiqua" w:cs="Book Antiqua"/>
          <w:lang w:val="es-PR"/>
        </w:rPr>
      </w:pPr>
    </w:p>
    <w:p w14:paraId="67F056EE" w14:textId="77777777" w:rsidR="009B6911" w:rsidRPr="009B6911" w:rsidRDefault="009B6911" w:rsidP="009B6911">
      <w:pPr>
        <w:ind w:firstLine="720"/>
        <w:jc w:val="both"/>
        <w:rPr>
          <w:rFonts w:ascii="Book Antiqua" w:eastAsia="Book Antiqua" w:hAnsi="Book Antiqua" w:cs="Book Antiqua"/>
          <w:lang w:val="es-PR"/>
        </w:rPr>
      </w:pPr>
      <w:r w:rsidRPr="009B6911">
        <w:rPr>
          <w:rFonts w:ascii="Book Antiqua" w:eastAsia="Book Antiqua" w:hAnsi="Book Antiqua" w:cs="Book Antiqua"/>
          <w:lang w:val="es-PR"/>
        </w:rPr>
        <w:t xml:space="preserve">Además, la medida concede un plazo de ciento veinte (120) días a partir del regreso del militar a Puerto Rico, luego de culminado su periodo de servicio activo, para realizar el proceso de renovación de su licencia de conducir. Igualmente, se ordena al </w:t>
      </w:r>
      <w:proofErr w:type="gramStart"/>
      <w:r w:rsidRPr="009B6911">
        <w:rPr>
          <w:rFonts w:ascii="Book Antiqua" w:eastAsia="Book Antiqua" w:hAnsi="Book Antiqua" w:cs="Book Antiqua"/>
          <w:lang w:val="es-PR"/>
        </w:rPr>
        <w:t>Secretario</w:t>
      </w:r>
      <w:proofErr w:type="gramEnd"/>
      <w:r w:rsidRPr="009B6911">
        <w:rPr>
          <w:rFonts w:ascii="Book Antiqua" w:eastAsia="Book Antiqua" w:hAnsi="Book Antiqua" w:cs="Book Antiqua"/>
          <w:lang w:val="es-PR"/>
        </w:rPr>
        <w:t xml:space="preserve"> del Departamento de Transportación y Obras Públicas (DTOP) a establecer los mecanismos necesarios para que estas licencias puedan ser renovadas en línea, aun si ya se encuentran vencidas, lo que actualmente no es posible bajo el sistema vigente.</w:t>
      </w:r>
    </w:p>
    <w:p w14:paraId="4FA783E6" w14:textId="77777777" w:rsidR="009B6911" w:rsidRDefault="009B6911" w:rsidP="009B6911">
      <w:pPr>
        <w:ind w:firstLine="720"/>
        <w:jc w:val="both"/>
        <w:rPr>
          <w:rFonts w:ascii="Book Antiqua" w:eastAsia="Book Antiqua" w:hAnsi="Book Antiqua" w:cs="Book Antiqua"/>
          <w:lang w:val="es-PR"/>
        </w:rPr>
      </w:pPr>
    </w:p>
    <w:p w14:paraId="0A43D51C" w14:textId="4A3ADFC6" w:rsidR="009B6911" w:rsidRPr="009B6911" w:rsidRDefault="009B6911" w:rsidP="009B6911">
      <w:pPr>
        <w:ind w:firstLine="720"/>
        <w:jc w:val="both"/>
        <w:rPr>
          <w:rFonts w:ascii="Book Antiqua" w:eastAsia="Book Antiqua" w:hAnsi="Book Antiqua" w:cs="Book Antiqua"/>
          <w:lang w:val="es-PR"/>
        </w:rPr>
      </w:pPr>
      <w:r w:rsidRPr="009B6911">
        <w:rPr>
          <w:rFonts w:ascii="Book Antiqua" w:eastAsia="Book Antiqua" w:hAnsi="Book Antiqua" w:cs="Book Antiqua"/>
          <w:lang w:val="es-PR"/>
        </w:rPr>
        <w:t xml:space="preserve">Esta legislación responde al reconocimiento del servicio y sacrificio de miles de puertorriqueños que, al ser activados, deben posponer o suspender obligaciones </w:t>
      </w:r>
      <w:r w:rsidRPr="009B6911">
        <w:rPr>
          <w:rFonts w:ascii="Book Antiqua" w:eastAsia="Book Antiqua" w:hAnsi="Book Antiqua" w:cs="Book Antiqua"/>
          <w:lang w:val="es-PR"/>
        </w:rPr>
        <w:lastRenderedPageBreak/>
        <w:t>personales y administrativas como la renovación de su licencia. El Gobierno de Puerto Rico busca con esta medida evitar que dichos ciudadanos enfrenten penalidades injustas por causas ajenas a su voluntad y facilitar su reintegración a la vida civil una vez concluyen su misión.</w:t>
      </w:r>
    </w:p>
    <w:p w14:paraId="74727DA7" w14:textId="77777777" w:rsidR="009B6911" w:rsidRDefault="009B6911" w:rsidP="009B6911">
      <w:pPr>
        <w:ind w:firstLine="720"/>
        <w:jc w:val="both"/>
        <w:rPr>
          <w:rFonts w:ascii="Book Antiqua" w:eastAsia="Book Antiqua" w:hAnsi="Book Antiqua" w:cs="Book Antiqua"/>
          <w:lang w:val="es-PR"/>
        </w:rPr>
      </w:pPr>
    </w:p>
    <w:p w14:paraId="6753552E" w14:textId="687BE7A4" w:rsidR="009B6911" w:rsidRPr="009B6911" w:rsidRDefault="009B6911" w:rsidP="009B6911">
      <w:pPr>
        <w:ind w:firstLine="720"/>
        <w:jc w:val="both"/>
        <w:rPr>
          <w:rFonts w:ascii="Book Antiqua" w:eastAsia="Book Antiqua" w:hAnsi="Book Antiqua" w:cs="Book Antiqua"/>
          <w:lang w:val="es-PR"/>
        </w:rPr>
      </w:pPr>
      <w:r w:rsidRPr="009B6911">
        <w:rPr>
          <w:rFonts w:ascii="Book Antiqua" w:eastAsia="Book Antiqua" w:hAnsi="Book Antiqua" w:cs="Book Antiqua"/>
          <w:lang w:val="es-PR"/>
        </w:rPr>
        <w:t>En resumen, esta ley constituye un acto de justicia social, solidaridad y agradecimiento hacia nuestros militares, quienes merecen el respaldo del Estado por su dedicación al servicio público y a la defensa de la democracia.</w:t>
      </w:r>
    </w:p>
    <w:p w14:paraId="3BC9B27E" w14:textId="77777777" w:rsidR="00500BFE" w:rsidRPr="00E43AB8" w:rsidRDefault="00500BFE" w:rsidP="00500BFE">
      <w:pPr>
        <w:jc w:val="both"/>
        <w:rPr>
          <w:rFonts w:ascii="Book Antiqua" w:eastAsia="Book Antiqua" w:hAnsi="Book Antiqua" w:cs="Book Antiqua"/>
          <w:lang w:val="es-PR"/>
        </w:rPr>
      </w:pPr>
    </w:p>
    <w:p w14:paraId="43D15222" w14:textId="77777777" w:rsidR="00500BFE" w:rsidRPr="00500BFE" w:rsidRDefault="00500BFE" w:rsidP="00500BFE">
      <w:pPr>
        <w:jc w:val="both"/>
        <w:rPr>
          <w:rFonts w:ascii="Book Antiqua" w:eastAsia="Book Antiqua" w:hAnsi="Book Antiqua" w:cs="Book Antiqua"/>
          <w:b/>
        </w:rPr>
      </w:pPr>
    </w:p>
    <w:p w14:paraId="5048AB55"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0EE1B293" w14:textId="77777777" w:rsidR="00500BFE" w:rsidRPr="00500BFE" w:rsidRDefault="00500BFE" w:rsidP="00500BFE">
      <w:pPr>
        <w:jc w:val="both"/>
        <w:rPr>
          <w:rFonts w:ascii="Book Antiqua" w:eastAsia="Book Antiqua" w:hAnsi="Book Antiqua" w:cs="Book Antiqua"/>
        </w:rPr>
      </w:pPr>
    </w:p>
    <w:p w14:paraId="3CEFB2EF" w14:textId="417EEE6B" w:rsidR="00500BFE" w:rsidRDefault="00523B9F" w:rsidP="00DF212A">
      <w:pPr>
        <w:ind w:firstLine="720"/>
        <w:jc w:val="both"/>
        <w:rPr>
          <w:rFonts w:ascii="Book Antiqua" w:eastAsia="Book Antiqua" w:hAnsi="Book Antiqua" w:cs="Book Antiqua"/>
        </w:rPr>
      </w:pPr>
      <w:r w:rsidRPr="00523B9F">
        <w:rPr>
          <w:rFonts w:ascii="Book Antiqua" w:eastAsia="Book Antiqua" w:hAnsi="Book Antiqua" w:cs="Book Antiqua"/>
        </w:rPr>
        <w:t>La Comisión de Transportación e Infraestructura, para la debida consideración y estudio del Proyecto de</w:t>
      </w:r>
      <w:r w:rsidR="009B6911">
        <w:rPr>
          <w:rFonts w:ascii="Book Antiqua" w:eastAsia="Book Antiqua" w:hAnsi="Book Antiqua" w:cs="Book Antiqua"/>
        </w:rPr>
        <w:t xml:space="preserve"> </w:t>
      </w:r>
      <w:r w:rsidRPr="00523B9F">
        <w:rPr>
          <w:rFonts w:ascii="Book Antiqua" w:eastAsia="Book Antiqua" w:hAnsi="Book Antiqua" w:cs="Book Antiqua"/>
        </w:rPr>
        <w:t>l</w:t>
      </w:r>
      <w:r w:rsidR="009B6911">
        <w:rPr>
          <w:rFonts w:ascii="Book Antiqua" w:eastAsia="Book Antiqua" w:hAnsi="Book Antiqua" w:cs="Book Antiqua"/>
        </w:rPr>
        <w:t>a</w:t>
      </w:r>
      <w:r w:rsidRPr="00523B9F">
        <w:rPr>
          <w:rFonts w:ascii="Book Antiqua" w:eastAsia="Book Antiqua" w:hAnsi="Book Antiqua" w:cs="Book Antiqua"/>
        </w:rPr>
        <w:t xml:space="preserve"> </w:t>
      </w:r>
      <w:r w:rsidR="009B6911">
        <w:rPr>
          <w:rFonts w:ascii="Book Antiqua" w:eastAsia="Book Antiqua" w:hAnsi="Book Antiqua" w:cs="Book Antiqua"/>
        </w:rPr>
        <w:t>Cámara</w:t>
      </w:r>
      <w:r w:rsidRPr="00523B9F">
        <w:rPr>
          <w:rFonts w:ascii="Book Antiqua" w:eastAsia="Book Antiqua" w:hAnsi="Book Antiqua" w:cs="Book Antiqua"/>
        </w:rPr>
        <w:t xml:space="preserve"> Núm. </w:t>
      </w:r>
      <w:r w:rsidR="009B6911">
        <w:rPr>
          <w:rFonts w:ascii="Book Antiqua" w:eastAsia="Book Antiqua" w:hAnsi="Book Antiqua" w:cs="Book Antiqua"/>
        </w:rPr>
        <w:t xml:space="preserve">575 solicitó memoriales explicativos al Departamento de Transportación y Obras Públicas (DTOP) y al Procurador del Veterano. Al momento de la redacción de este informe solo el Departamento de </w:t>
      </w:r>
      <w:r w:rsidR="009B6911" w:rsidRPr="009B6911">
        <w:rPr>
          <w:rFonts w:ascii="Book Antiqua" w:eastAsia="Book Antiqua" w:hAnsi="Book Antiqua" w:cs="Book Antiqua"/>
        </w:rPr>
        <w:t>Transportación y Obras Públicas (DTOP)</w:t>
      </w:r>
      <w:r w:rsidR="009B6911">
        <w:rPr>
          <w:rFonts w:ascii="Book Antiqua" w:eastAsia="Book Antiqua" w:hAnsi="Book Antiqua" w:cs="Book Antiqua"/>
        </w:rPr>
        <w:t xml:space="preserve"> envió sus comentarios.</w:t>
      </w:r>
    </w:p>
    <w:p w14:paraId="11FB48BA" w14:textId="77777777" w:rsidR="00DF212A" w:rsidRPr="00500BFE" w:rsidRDefault="00DF212A" w:rsidP="00DF212A">
      <w:pPr>
        <w:ind w:firstLine="720"/>
        <w:jc w:val="both"/>
        <w:rPr>
          <w:rFonts w:ascii="Book Antiqua" w:eastAsia="Book Antiqua" w:hAnsi="Book Antiqua" w:cs="Book Antiqua"/>
        </w:rPr>
      </w:pPr>
    </w:p>
    <w:p w14:paraId="52B05FAD" w14:textId="77777777" w:rsidR="00500BFE" w:rsidRPr="00500BFE" w:rsidRDefault="00500BFE" w:rsidP="00500BFE">
      <w:pPr>
        <w:jc w:val="both"/>
        <w:rPr>
          <w:rFonts w:ascii="Book Antiqua" w:eastAsia="Book Antiqua" w:hAnsi="Book Antiqua" w:cs="Book Antiqua"/>
        </w:rPr>
      </w:pPr>
    </w:p>
    <w:p w14:paraId="53535C6B" w14:textId="2D298D91"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b/>
          <w:bCs/>
        </w:rPr>
        <w:t xml:space="preserve">              </w:t>
      </w:r>
      <w:r w:rsidR="00B97590">
        <w:rPr>
          <w:rFonts w:ascii="Book Antiqua" w:eastAsia="Book Antiqua" w:hAnsi="Book Antiqua" w:cs="Book Antiqua"/>
          <w:b/>
          <w:bCs/>
        </w:rPr>
        <w:t xml:space="preserve">            </w:t>
      </w:r>
      <w:r w:rsidRPr="00500BFE">
        <w:rPr>
          <w:rFonts w:ascii="Book Antiqua" w:eastAsia="Book Antiqua" w:hAnsi="Book Antiqua" w:cs="Book Antiqua"/>
          <w:b/>
          <w:bCs/>
          <w:u w:val="single"/>
        </w:rPr>
        <w:t xml:space="preserve">Departamento de Transportación y Obras Públicas (DTOP) </w:t>
      </w:r>
    </w:p>
    <w:p w14:paraId="400D5647" w14:textId="77777777" w:rsidR="00500BFE" w:rsidRPr="00500BFE" w:rsidRDefault="00500BFE" w:rsidP="00500BFE">
      <w:pPr>
        <w:jc w:val="both"/>
        <w:rPr>
          <w:rFonts w:ascii="Book Antiqua" w:eastAsia="Book Antiqua" w:hAnsi="Book Antiqua" w:cs="Book Antiqua"/>
        </w:rPr>
      </w:pPr>
    </w:p>
    <w:p w14:paraId="671FC9DA" w14:textId="4D11079F" w:rsidR="00717E64" w:rsidRPr="00717E64" w:rsidRDefault="00717E64" w:rsidP="00717E64">
      <w:pPr>
        <w:ind w:firstLine="720"/>
        <w:jc w:val="both"/>
        <w:rPr>
          <w:rFonts w:ascii="Book Antiqua" w:eastAsia="Book Antiqua" w:hAnsi="Book Antiqua" w:cs="Book Antiqua"/>
          <w:lang w:val="es-PR"/>
        </w:rPr>
      </w:pPr>
      <w:r w:rsidRPr="00717E64">
        <w:rPr>
          <w:rFonts w:ascii="Book Antiqua" w:eastAsia="Book Antiqua" w:hAnsi="Book Antiqua" w:cs="Book Antiqua"/>
          <w:lang w:val="es-PR"/>
        </w:rPr>
        <w:t>Departamento de Transportación y Obras Públicas (DTOP) se expresó a favor del Proyecto de la Cámara 575, cuyo propósito es enmendar el Artículo 3.14 de la Ley 22-2000, conocida como Ley de Vehículos y Tránsito de Puerto Rico, con el fin de extender la vigencia de las licencias de conducir de los miembros de las Fuerzas Armadas de los Estados Unidos, la Reserva y la Guardia Nacional de Puerto Rico domiciliados en la Isla, mientras se encuentren activados o movilizados en servicio militar.</w:t>
      </w:r>
    </w:p>
    <w:p w14:paraId="498FA682" w14:textId="77777777" w:rsidR="00717E64" w:rsidRPr="00717E64" w:rsidRDefault="00717E64" w:rsidP="00717E64">
      <w:pPr>
        <w:jc w:val="both"/>
        <w:rPr>
          <w:rFonts w:ascii="Book Antiqua" w:eastAsia="Book Antiqua" w:hAnsi="Book Antiqua" w:cs="Book Antiqua"/>
          <w:lang w:val="es-PR"/>
        </w:rPr>
      </w:pPr>
    </w:p>
    <w:p w14:paraId="008402D5" w14:textId="7F43EC56" w:rsidR="00717E64" w:rsidRPr="00717E64" w:rsidRDefault="00717E64" w:rsidP="00717E64">
      <w:pPr>
        <w:ind w:firstLine="720"/>
        <w:jc w:val="both"/>
        <w:rPr>
          <w:rFonts w:ascii="Book Antiqua" w:eastAsia="Book Antiqua" w:hAnsi="Book Antiqua" w:cs="Book Antiqua"/>
          <w:lang w:val="es-PR"/>
        </w:rPr>
      </w:pPr>
      <w:r w:rsidRPr="00717E64">
        <w:rPr>
          <w:rFonts w:ascii="Book Antiqua" w:eastAsia="Book Antiqua" w:hAnsi="Book Antiqua" w:cs="Book Antiqua"/>
          <w:lang w:val="es-PR"/>
        </w:rPr>
        <w:t xml:space="preserve">La medida dispone que dichas licencias se mantendrán vigentes durante el tiempo de activación o movilización y, al culminar este periodo, los militares tendrán hasta ciento veinte (120) días para renovar su licencia. El DTOP autorizará la extensión automática de la vigencia una vez reciba copia de la orden de activación, incluyendo la cobertura de seguros y beneficios relacionados. Además, ordena al </w:t>
      </w:r>
      <w:proofErr w:type="gramStart"/>
      <w:r w:rsidRPr="00717E64">
        <w:rPr>
          <w:rFonts w:ascii="Book Antiqua" w:eastAsia="Book Antiqua" w:hAnsi="Book Antiqua" w:cs="Book Antiqua"/>
          <w:lang w:val="es-PR"/>
        </w:rPr>
        <w:t>Secretario</w:t>
      </w:r>
      <w:proofErr w:type="gramEnd"/>
      <w:r w:rsidRPr="00717E64">
        <w:rPr>
          <w:rFonts w:ascii="Book Antiqua" w:eastAsia="Book Antiqua" w:hAnsi="Book Antiqua" w:cs="Book Antiqua"/>
          <w:lang w:val="es-PR"/>
        </w:rPr>
        <w:t xml:space="preserve"> del DTOP establecer los mecanismos pertinentes para facilitar la renovación, ya sea mediante los Centros de Servicios al Conductor (CESCO) o a través de CESCO Digital.</w:t>
      </w:r>
    </w:p>
    <w:p w14:paraId="636D4F43" w14:textId="77777777" w:rsidR="00717E64" w:rsidRPr="00717E64" w:rsidRDefault="00717E64" w:rsidP="00717E64">
      <w:pPr>
        <w:jc w:val="both"/>
        <w:rPr>
          <w:rFonts w:ascii="Book Antiqua" w:eastAsia="Book Antiqua" w:hAnsi="Book Antiqua" w:cs="Book Antiqua"/>
          <w:lang w:val="es-PR"/>
        </w:rPr>
      </w:pPr>
    </w:p>
    <w:p w14:paraId="7386ABC8" w14:textId="77777777" w:rsidR="00717E64" w:rsidRPr="00717E64" w:rsidRDefault="00717E64" w:rsidP="00717E64">
      <w:pPr>
        <w:ind w:firstLine="720"/>
        <w:jc w:val="both"/>
        <w:rPr>
          <w:rFonts w:ascii="Book Antiqua" w:eastAsia="Book Antiqua" w:hAnsi="Book Antiqua" w:cs="Book Antiqua"/>
          <w:lang w:val="es-PR"/>
        </w:rPr>
      </w:pPr>
      <w:r w:rsidRPr="00717E64">
        <w:rPr>
          <w:rFonts w:ascii="Book Antiqua" w:eastAsia="Book Antiqua" w:hAnsi="Book Antiqua" w:cs="Book Antiqua"/>
          <w:lang w:val="es-PR"/>
        </w:rPr>
        <w:t>El DTOP manifestó su respaldo a la medida, resaltando la importancia de garantizar el reconocimiento y bienestar de los conciudadanos que pertenecen a las Fuerzas Armadas. Asimismo, se mostró dispuesto a realizar los ajustes técnicos y de programación necesarios para viabilizar la implementación, incluyendo la ampliación del acceso a renovaciones virtuales. Recomendó, además, que se considere permitir a los militares renovar su licencia antes de partir a cumplir servicio, presentando la evidencia correspondiente.</w:t>
      </w:r>
    </w:p>
    <w:p w14:paraId="10791949" w14:textId="77777777" w:rsidR="00717E64" w:rsidRPr="00717E64" w:rsidRDefault="00717E64" w:rsidP="00717E64">
      <w:pPr>
        <w:jc w:val="both"/>
        <w:rPr>
          <w:rFonts w:ascii="Book Antiqua" w:eastAsia="Book Antiqua" w:hAnsi="Book Antiqua" w:cs="Book Antiqua"/>
          <w:lang w:val="es-PR"/>
        </w:rPr>
      </w:pPr>
    </w:p>
    <w:p w14:paraId="10CBC24A" w14:textId="77777777" w:rsidR="00717E64" w:rsidRPr="00717E64" w:rsidRDefault="00717E64" w:rsidP="00717E64">
      <w:pPr>
        <w:ind w:firstLine="720"/>
        <w:jc w:val="both"/>
        <w:rPr>
          <w:rFonts w:ascii="Book Antiqua" w:eastAsia="Book Antiqua" w:hAnsi="Book Antiqua" w:cs="Book Antiqua"/>
          <w:lang w:val="es-PR"/>
        </w:rPr>
      </w:pPr>
      <w:r w:rsidRPr="00717E64">
        <w:rPr>
          <w:rFonts w:ascii="Book Antiqua" w:eastAsia="Book Antiqua" w:hAnsi="Book Antiqua" w:cs="Book Antiqua"/>
          <w:lang w:val="es-PR"/>
        </w:rPr>
        <w:t xml:space="preserve">En conclusión, </w:t>
      </w:r>
      <w:r w:rsidRPr="00717E64">
        <w:rPr>
          <w:rFonts w:ascii="Book Antiqua" w:eastAsia="Book Antiqua" w:hAnsi="Book Antiqua" w:cs="Book Antiqua"/>
          <w:b/>
          <w:bCs/>
          <w:lang w:val="es-PR"/>
        </w:rPr>
        <w:t>el DTOP favorece la aprobación del P. de la C. 575</w:t>
      </w:r>
      <w:r w:rsidRPr="00717E64">
        <w:rPr>
          <w:rFonts w:ascii="Book Antiqua" w:eastAsia="Book Antiqua" w:hAnsi="Book Antiqua" w:cs="Book Antiqua"/>
          <w:lang w:val="es-PR"/>
        </w:rPr>
        <w:t>, ya que entiende que se trata de una medida justa y necesaria para atender las necesidades de los militares y sus familias, asegurando que puedan mantener vigente su licencia de conducir sin menoscabo de sus obligaciones de servicio.</w:t>
      </w:r>
    </w:p>
    <w:p w14:paraId="2511C38E" w14:textId="77777777" w:rsidR="00500BFE" w:rsidRPr="00500BFE" w:rsidRDefault="00500BFE" w:rsidP="00500BFE">
      <w:pPr>
        <w:jc w:val="both"/>
        <w:rPr>
          <w:rFonts w:ascii="Book Antiqua" w:eastAsia="Book Antiqua" w:hAnsi="Book Antiqua" w:cs="Book Antiqua"/>
          <w:lang w:val="es-PR"/>
        </w:rPr>
      </w:pPr>
    </w:p>
    <w:p w14:paraId="37BFA859" w14:textId="77777777" w:rsidR="00BE2F13" w:rsidRDefault="00BE2F13" w:rsidP="00BE2F13">
      <w:pPr>
        <w:jc w:val="center"/>
        <w:rPr>
          <w:rFonts w:ascii="Book Antiqua" w:eastAsia="Book Antiqua" w:hAnsi="Book Antiqua" w:cs="Book Antiqua"/>
          <w:b/>
          <w:bCs/>
          <w:lang w:val="es-ES"/>
        </w:rPr>
      </w:pPr>
    </w:p>
    <w:p w14:paraId="3587E10C" w14:textId="713FCD9B" w:rsidR="00500BFE" w:rsidRPr="00500BFE" w:rsidRDefault="00BE2F13" w:rsidP="00BE2F1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23DB6801" w14:textId="1F9220DE" w:rsidR="00E135D5" w:rsidRPr="00E135D5" w:rsidRDefault="00500BFE" w:rsidP="00E135D5">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3331B71F" w14:textId="77777777" w:rsidR="00E135D5" w:rsidRPr="00E135D5" w:rsidRDefault="00E135D5" w:rsidP="00E135D5">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85C985B" w14:textId="77777777" w:rsidR="00BE2F13" w:rsidRDefault="00BE2F13" w:rsidP="00E135D5">
      <w:pPr>
        <w:rPr>
          <w:rFonts w:ascii="Book Antiqua" w:eastAsia="Book Antiqua" w:hAnsi="Book Antiqua" w:cs="Book Antiqua"/>
          <w:lang w:val="es-PR"/>
        </w:rPr>
      </w:pPr>
    </w:p>
    <w:p w14:paraId="6CF0F51C" w14:textId="77777777" w:rsidR="00E135D5" w:rsidRDefault="00E135D5" w:rsidP="00E135D5">
      <w:pPr>
        <w:rPr>
          <w:rFonts w:ascii="Book Antiqua" w:eastAsia="Book Antiqua" w:hAnsi="Book Antiqua" w:cs="Book Antiqua"/>
          <w:b/>
        </w:rPr>
      </w:pPr>
    </w:p>
    <w:p w14:paraId="1F0C175C" w14:textId="5FB9DCE8" w:rsidR="00500BFE" w:rsidRPr="00500BFE" w:rsidRDefault="00500BFE" w:rsidP="00634A11">
      <w:pPr>
        <w:jc w:val="center"/>
        <w:rPr>
          <w:rFonts w:ascii="Book Antiqua" w:eastAsia="Book Antiqua" w:hAnsi="Book Antiqua" w:cs="Book Antiqua"/>
          <w:b/>
        </w:rPr>
      </w:pPr>
      <w:r w:rsidRPr="00500BFE">
        <w:rPr>
          <w:rFonts w:ascii="Book Antiqua" w:eastAsia="Book Antiqua" w:hAnsi="Book Antiqua" w:cs="Book Antiqua"/>
          <w:b/>
        </w:rPr>
        <w:t>CONCLUSIÓN</w:t>
      </w:r>
    </w:p>
    <w:p w14:paraId="2DE8F0ED" w14:textId="77777777" w:rsidR="00500BFE" w:rsidRPr="00500BFE" w:rsidRDefault="00500BFE" w:rsidP="00500BFE">
      <w:pPr>
        <w:jc w:val="both"/>
        <w:rPr>
          <w:rFonts w:ascii="Book Antiqua" w:eastAsia="Book Antiqua" w:hAnsi="Book Antiqua" w:cs="Book Antiqua"/>
        </w:rPr>
      </w:pPr>
    </w:p>
    <w:p w14:paraId="7F351412" w14:textId="77777777" w:rsidR="005240C0" w:rsidRDefault="005240C0" w:rsidP="005240C0">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La Comisión de Transportación e Infraestructura, luego de analizar el contenido del Proyecto de la Cámara Núm. 575 y considerar los comentarios del Departamento de Transportación y Obras Públicas (DTOP), concluye que esta medida representa un acto de justicia y sensibilidad hacia los puertorriqueños que sirven activamente en las Fuerzas Armadas de los Estados Unidos, en sus componentes de Reserva y en la Guardia Nacional de Puerto Rico.</w:t>
      </w:r>
    </w:p>
    <w:p w14:paraId="22B4F74E" w14:textId="77777777" w:rsidR="005240C0" w:rsidRPr="005240C0" w:rsidRDefault="005240C0" w:rsidP="005240C0">
      <w:pPr>
        <w:ind w:firstLine="720"/>
        <w:jc w:val="both"/>
        <w:rPr>
          <w:rFonts w:ascii="Book Antiqua" w:eastAsia="Book Antiqua" w:hAnsi="Book Antiqua" w:cs="Book Antiqua"/>
          <w:lang w:val="es-PR"/>
        </w:rPr>
      </w:pPr>
    </w:p>
    <w:p w14:paraId="324FF9D1" w14:textId="77777777" w:rsidR="005240C0" w:rsidRDefault="005240C0" w:rsidP="005240C0">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La extensión automática de la vigencia de las licencias de conducir durante periodos de activación y movilización militar, así como el otorgamiento de un término adicional de ciento veinte (120) días para renovarlas al culminar su servicio, aseguran que estos ciudadanos no enfrenten consecuencias negativas por el cumplimiento de su deber patriótico.</w:t>
      </w:r>
    </w:p>
    <w:p w14:paraId="3102F88F" w14:textId="77777777" w:rsidR="005240C0" w:rsidRPr="005240C0" w:rsidRDefault="005240C0" w:rsidP="009479FD">
      <w:pPr>
        <w:jc w:val="both"/>
        <w:rPr>
          <w:rFonts w:ascii="Book Antiqua" w:eastAsia="Book Antiqua" w:hAnsi="Book Antiqua" w:cs="Book Antiqua"/>
          <w:lang w:val="es-PR"/>
        </w:rPr>
      </w:pPr>
    </w:p>
    <w:p w14:paraId="56D08392" w14:textId="77777777" w:rsidR="005240C0" w:rsidRPr="005240C0" w:rsidRDefault="005240C0" w:rsidP="005240C0">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 xml:space="preserve">Por lo antes expuesto, esta Comisión recomienda al Honorable Pleno de la Cámara de Representantes la aprobación del Proyecto de la Cámara Núm. 575, con las enmiendas incluidas en el </w:t>
      </w:r>
      <w:proofErr w:type="spellStart"/>
      <w:r w:rsidRPr="005240C0">
        <w:rPr>
          <w:rFonts w:ascii="Book Antiqua" w:eastAsia="Book Antiqua" w:hAnsi="Book Antiqua" w:cs="Book Antiqua"/>
          <w:lang w:val="es-PR"/>
        </w:rPr>
        <w:t>entirillado</w:t>
      </w:r>
      <w:proofErr w:type="spellEnd"/>
      <w:r w:rsidRPr="005240C0">
        <w:rPr>
          <w:rFonts w:ascii="Book Antiqua" w:eastAsia="Book Antiqua" w:hAnsi="Book Antiqua" w:cs="Book Antiqua"/>
          <w:lang w:val="es-PR"/>
        </w:rPr>
        <w:t xml:space="preserve"> electrónico que se acompaña.</w:t>
      </w:r>
    </w:p>
    <w:p w14:paraId="763807AF" w14:textId="77777777" w:rsidR="00500BFE" w:rsidRDefault="00500BFE" w:rsidP="00500BFE">
      <w:pPr>
        <w:jc w:val="both"/>
        <w:rPr>
          <w:rFonts w:ascii="Book Antiqua" w:eastAsia="Book Antiqua" w:hAnsi="Book Antiqua" w:cs="Book Antiqua"/>
        </w:rPr>
      </w:pPr>
    </w:p>
    <w:p w14:paraId="3F3CD516" w14:textId="77777777" w:rsidR="005240C0" w:rsidRPr="00500BFE" w:rsidRDefault="005240C0" w:rsidP="00500BFE">
      <w:pPr>
        <w:jc w:val="both"/>
        <w:rPr>
          <w:rFonts w:ascii="Book Antiqua" w:eastAsia="Book Antiqua" w:hAnsi="Book Antiqua" w:cs="Book Antiqua"/>
        </w:rPr>
      </w:pPr>
    </w:p>
    <w:p w14:paraId="5E8BB14B" w14:textId="7777777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Respetuosamente sometido,</w:t>
      </w:r>
    </w:p>
    <w:p w14:paraId="50242EB5" w14:textId="77777777" w:rsidR="00A52329" w:rsidRDefault="00A52329" w:rsidP="00A52329">
      <w:pPr>
        <w:jc w:val="both"/>
        <w:rPr>
          <w:rFonts w:ascii="Book Antiqua" w:eastAsia="Book Antiqua" w:hAnsi="Book Antiqua" w:cs="Book Antiqua"/>
        </w:rPr>
      </w:pPr>
    </w:p>
    <w:p w14:paraId="5CAC8400" w14:textId="77777777" w:rsidR="00A52329" w:rsidRDefault="00A52329" w:rsidP="00A52329">
      <w:pPr>
        <w:jc w:val="both"/>
        <w:rPr>
          <w:rFonts w:ascii="Book Antiqua" w:eastAsia="Book Antiqua" w:hAnsi="Book Antiqua" w:cs="Book Antiqua"/>
        </w:rPr>
      </w:pPr>
    </w:p>
    <w:p w14:paraId="767685EF" w14:textId="77777777" w:rsidR="00A52329" w:rsidRDefault="00A52329" w:rsidP="00A52329">
      <w:pPr>
        <w:jc w:val="both"/>
        <w:rPr>
          <w:rFonts w:ascii="Book Antiqua" w:eastAsia="Book Antiqua" w:hAnsi="Book Antiqua" w:cs="Book Antiqua"/>
        </w:rPr>
      </w:pPr>
    </w:p>
    <w:p w14:paraId="79401603" w14:textId="77777777" w:rsidR="00A52329" w:rsidRDefault="00A52329" w:rsidP="00A52329">
      <w:pPr>
        <w:jc w:val="both"/>
        <w:rPr>
          <w:rFonts w:ascii="Book Antiqua" w:eastAsia="Book Antiqua" w:hAnsi="Book Antiqua" w:cs="Book Antiqua"/>
        </w:rPr>
      </w:pPr>
    </w:p>
    <w:p w14:paraId="42B4BAFE" w14:textId="3BFD234D"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 xml:space="preserve">Hon.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2A7670BA" w14:textId="77777777"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3FF89B18" w14:textId="1CCF5555" w:rsidR="00500BFE" w:rsidRPr="00700566" w:rsidRDefault="00A52329" w:rsidP="00A52329">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E0EFA" w14:textId="77777777" w:rsidR="00FF14E6" w:rsidRDefault="00FF14E6">
      <w:r>
        <w:separator/>
      </w:r>
    </w:p>
  </w:endnote>
  <w:endnote w:type="continuationSeparator" w:id="0">
    <w:p w14:paraId="7EBDA833" w14:textId="77777777" w:rsidR="00FF14E6" w:rsidRDefault="00FF1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0912AEE-A1DA-4F4F-AC16-DA7F9EAA81E0}"/>
  </w:font>
  <w:font w:name="Helvetica">
    <w:panose1 w:val="020B0604020202020204"/>
    <w:charset w:val="00"/>
    <w:family w:val="swiss"/>
    <w:pitch w:val="variable"/>
    <w:sig w:usb0="E0002EFF" w:usb1="C000785B" w:usb2="00000009" w:usb3="00000000" w:csb0="000001FF" w:csb1="00000000"/>
    <w:embedRegular r:id="rId2" w:fontKey="{BBFAA813-A345-465A-BC9A-2D89440A0F7A}"/>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FE82CEF0-0A5E-4284-9363-125C35DD5772}"/>
  </w:font>
  <w:font w:name="Georgia">
    <w:panose1 w:val="02040502050405020303"/>
    <w:charset w:val="00"/>
    <w:family w:val="roman"/>
    <w:pitch w:val="variable"/>
    <w:sig w:usb0="00000287" w:usb1="00000000" w:usb2="00000000" w:usb3="00000000" w:csb0="0000009F" w:csb1="00000000"/>
    <w:embedRegular r:id="rId4" w:fontKey="{EA485787-7A03-444B-8DBF-BD3684E15B1E}"/>
    <w:embedItalic r:id="rId5" w:fontKey="{9EB7D3C1-74F1-486A-BF3D-63399DFBB7BA}"/>
  </w:font>
  <w:font w:name="Book Antiqua">
    <w:panose1 w:val="02040602050305030304"/>
    <w:charset w:val="00"/>
    <w:family w:val="roman"/>
    <w:pitch w:val="variable"/>
    <w:sig w:usb0="00000287" w:usb1="00000000" w:usb2="00000000" w:usb3="00000000" w:csb0="0000009F" w:csb1="00000000"/>
    <w:embedRegular r:id="rId6" w:fontKey="{E8A8A52B-3577-4BAA-B65E-02DADF1FD3C9}"/>
    <w:embedBold r:id="rId7" w:fontKey="{C3AD8566-7C28-49F0-A5F2-0FABA8712D32}"/>
  </w:font>
  <w:font w:name="Lustria">
    <w:altName w:val="Calibri"/>
    <w:charset w:val="00"/>
    <w:family w:val="auto"/>
    <w:pitch w:val="default"/>
    <w:embedRegular r:id="rId8" w:fontKey="{BBCFC980-72E0-4017-875E-084DD3E0A4E2}"/>
    <w:embedBoldItalic r:id="rId9" w:fontKey="{5908BE73-1371-45A9-BA20-3B31C2ADE885}"/>
  </w:font>
  <w:font w:name="Cambria">
    <w:panose1 w:val="02040503050406030204"/>
    <w:charset w:val="00"/>
    <w:family w:val="roman"/>
    <w:pitch w:val="variable"/>
    <w:sig w:usb0="E00006FF" w:usb1="420024FF" w:usb2="02000000" w:usb3="00000000" w:csb0="0000019F" w:csb1="00000000"/>
    <w:embedRegular r:id="rId10" w:fontKey="{CB5C3936-923D-4F96-9CBF-6626049019D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40459" w14:textId="77777777" w:rsidR="00FF14E6" w:rsidRDefault="00FF14E6">
      <w:r>
        <w:separator/>
      </w:r>
    </w:p>
  </w:footnote>
  <w:footnote w:type="continuationSeparator" w:id="0">
    <w:p w14:paraId="3CD387AC" w14:textId="77777777" w:rsidR="00FF14E6" w:rsidRDefault="00FF1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341B48E"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4E176A">
      <w:rPr>
        <w:rFonts w:ascii="Lustria" w:eastAsia="Lustria" w:hAnsi="Lustria" w:cs="Lustria"/>
        <w:b/>
        <w:i/>
        <w:sz w:val="22"/>
        <w:szCs w:val="22"/>
      </w:rPr>
      <w:t>P</w:t>
    </w:r>
    <w:r>
      <w:rPr>
        <w:rFonts w:ascii="Lustria" w:eastAsia="Lustria" w:hAnsi="Lustria" w:cs="Lustria"/>
        <w:b/>
        <w:i/>
        <w:sz w:val="22"/>
        <w:szCs w:val="22"/>
      </w:rPr>
      <w:t>. de</w:t>
    </w:r>
    <w:r w:rsidR="009B6911">
      <w:rPr>
        <w:rFonts w:ascii="Lustria" w:eastAsia="Lustria" w:hAnsi="Lustria" w:cs="Lustria"/>
        <w:b/>
        <w:i/>
        <w:sz w:val="22"/>
        <w:szCs w:val="22"/>
      </w:rPr>
      <w:t xml:space="preserve"> </w:t>
    </w:r>
    <w:r w:rsidR="004E176A">
      <w:rPr>
        <w:rFonts w:ascii="Lustria" w:eastAsia="Lustria" w:hAnsi="Lustria" w:cs="Lustria"/>
        <w:b/>
        <w:i/>
        <w:sz w:val="22"/>
        <w:szCs w:val="22"/>
      </w:rPr>
      <w:t>l</w:t>
    </w:r>
    <w:r w:rsidR="009B6911">
      <w:rPr>
        <w:rFonts w:ascii="Lustria" w:eastAsia="Lustria" w:hAnsi="Lustria" w:cs="Lustria"/>
        <w:b/>
        <w:i/>
        <w:sz w:val="22"/>
        <w:szCs w:val="22"/>
      </w:rPr>
      <w:t>a C</w:t>
    </w:r>
    <w:r>
      <w:rPr>
        <w:rFonts w:ascii="Lustria" w:eastAsia="Lustria" w:hAnsi="Lustria" w:cs="Lustria"/>
        <w:b/>
        <w:i/>
        <w:sz w:val="22"/>
        <w:szCs w:val="22"/>
      </w:rPr>
      <w:t xml:space="preserve">. </w:t>
    </w:r>
    <w:r w:rsidR="009B6911">
      <w:rPr>
        <w:rFonts w:ascii="Lustria" w:eastAsia="Lustria" w:hAnsi="Lustria" w:cs="Lustria"/>
        <w:b/>
        <w:i/>
        <w:sz w:val="22"/>
        <w:szCs w:val="22"/>
      </w:rPr>
      <w:t>575</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065E"/>
    <w:rsid w:val="00012F1A"/>
    <w:rsid w:val="0001379B"/>
    <w:rsid w:val="00020305"/>
    <w:rsid w:val="000241DA"/>
    <w:rsid w:val="0002740C"/>
    <w:rsid w:val="00051D05"/>
    <w:rsid w:val="000562AB"/>
    <w:rsid w:val="00074013"/>
    <w:rsid w:val="00080F3B"/>
    <w:rsid w:val="000A752D"/>
    <w:rsid w:val="000C098A"/>
    <w:rsid w:val="000F7A24"/>
    <w:rsid w:val="00101FB4"/>
    <w:rsid w:val="0012417C"/>
    <w:rsid w:val="001460E6"/>
    <w:rsid w:val="00147B7C"/>
    <w:rsid w:val="00160C1F"/>
    <w:rsid w:val="001619B2"/>
    <w:rsid w:val="001714C4"/>
    <w:rsid w:val="0019085D"/>
    <w:rsid w:val="00191185"/>
    <w:rsid w:val="001A3E93"/>
    <w:rsid w:val="001D424E"/>
    <w:rsid w:val="001E16CE"/>
    <w:rsid w:val="001E2EB4"/>
    <w:rsid w:val="001E6E24"/>
    <w:rsid w:val="00202B9F"/>
    <w:rsid w:val="00204C67"/>
    <w:rsid w:val="00220975"/>
    <w:rsid w:val="00222393"/>
    <w:rsid w:val="00235829"/>
    <w:rsid w:val="00243460"/>
    <w:rsid w:val="00266B2F"/>
    <w:rsid w:val="00274850"/>
    <w:rsid w:val="002D4DC3"/>
    <w:rsid w:val="002E1DF7"/>
    <w:rsid w:val="002E1FA6"/>
    <w:rsid w:val="002E62AC"/>
    <w:rsid w:val="002E69C5"/>
    <w:rsid w:val="002E6DD3"/>
    <w:rsid w:val="002F0C30"/>
    <w:rsid w:val="003277C8"/>
    <w:rsid w:val="00333FB4"/>
    <w:rsid w:val="003448B4"/>
    <w:rsid w:val="0035050C"/>
    <w:rsid w:val="0035616B"/>
    <w:rsid w:val="0037197C"/>
    <w:rsid w:val="00373E49"/>
    <w:rsid w:val="00382780"/>
    <w:rsid w:val="00383D79"/>
    <w:rsid w:val="003867AC"/>
    <w:rsid w:val="0039352E"/>
    <w:rsid w:val="0039437F"/>
    <w:rsid w:val="003A0F94"/>
    <w:rsid w:val="003E479C"/>
    <w:rsid w:val="00400B99"/>
    <w:rsid w:val="004277D8"/>
    <w:rsid w:val="00431557"/>
    <w:rsid w:val="004673DA"/>
    <w:rsid w:val="0047119B"/>
    <w:rsid w:val="004730E0"/>
    <w:rsid w:val="00473D39"/>
    <w:rsid w:val="00475814"/>
    <w:rsid w:val="0049326F"/>
    <w:rsid w:val="004A6565"/>
    <w:rsid w:val="004D3D36"/>
    <w:rsid w:val="004E176A"/>
    <w:rsid w:val="004E28E4"/>
    <w:rsid w:val="00500BFE"/>
    <w:rsid w:val="00501798"/>
    <w:rsid w:val="005059B4"/>
    <w:rsid w:val="00506A3D"/>
    <w:rsid w:val="005227C0"/>
    <w:rsid w:val="00523B9F"/>
    <w:rsid w:val="005240C0"/>
    <w:rsid w:val="005456F5"/>
    <w:rsid w:val="00550313"/>
    <w:rsid w:val="00557604"/>
    <w:rsid w:val="005858EA"/>
    <w:rsid w:val="00596F5B"/>
    <w:rsid w:val="005A1843"/>
    <w:rsid w:val="005C5B99"/>
    <w:rsid w:val="005E4A2F"/>
    <w:rsid w:val="00605CE1"/>
    <w:rsid w:val="0060692B"/>
    <w:rsid w:val="00634A11"/>
    <w:rsid w:val="006354F3"/>
    <w:rsid w:val="00642646"/>
    <w:rsid w:val="0068352C"/>
    <w:rsid w:val="006908FA"/>
    <w:rsid w:val="006A552A"/>
    <w:rsid w:val="006A7E5E"/>
    <w:rsid w:val="006D11F6"/>
    <w:rsid w:val="006D297F"/>
    <w:rsid w:val="006E029C"/>
    <w:rsid w:val="00700566"/>
    <w:rsid w:val="0071797E"/>
    <w:rsid w:val="00717E64"/>
    <w:rsid w:val="00735C8F"/>
    <w:rsid w:val="00766B8B"/>
    <w:rsid w:val="00771802"/>
    <w:rsid w:val="0077204A"/>
    <w:rsid w:val="00772095"/>
    <w:rsid w:val="00785FCE"/>
    <w:rsid w:val="0079045F"/>
    <w:rsid w:val="007923B1"/>
    <w:rsid w:val="00797E58"/>
    <w:rsid w:val="00797FCC"/>
    <w:rsid w:val="007C31AB"/>
    <w:rsid w:val="007C3C34"/>
    <w:rsid w:val="007C6404"/>
    <w:rsid w:val="007F09EB"/>
    <w:rsid w:val="007F0CDC"/>
    <w:rsid w:val="007F5687"/>
    <w:rsid w:val="00817784"/>
    <w:rsid w:val="0083404D"/>
    <w:rsid w:val="008355F8"/>
    <w:rsid w:val="00835F7B"/>
    <w:rsid w:val="00842EBD"/>
    <w:rsid w:val="0085373F"/>
    <w:rsid w:val="0085568D"/>
    <w:rsid w:val="00875CE7"/>
    <w:rsid w:val="0089131A"/>
    <w:rsid w:val="008A65F0"/>
    <w:rsid w:val="008A7B90"/>
    <w:rsid w:val="008B5454"/>
    <w:rsid w:val="008D3F5B"/>
    <w:rsid w:val="008E7719"/>
    <w:rsid w:val="008F30F0"/>
    <w:rsid w:val="00902B02"/>
    <w:rsid w:val="009048A3"/>
    <w:rsid w:val="0091544D"/>
    <w:rsid w:val="00922397"/>
    <w:rsid w:val="00940A79"/>
    <w:rsid w:val="009479FD"/>
    <w:rsid w:val="009742B0"/>
    <w:rsid w:val="009821D1"/>
    <w:rsid w:val="009A30EC"/>
    <w:rsid w:val="009B6911"/>
    <w:rsid w:val="009E0BE7"/>
    <w:rsid w:val="009E7555"/>
    <w:rsid w:val="00A11D0B"/>
    <w:rsid w:val="00A2169D"/>
    <w:rsid w:val="00A24012"/>
    <w:rsid w:val="00A27CCB"/>
    <w:rsid w:val="00A43849"/>
    <w:rsid w:val="00A52329"/>
    <w:rsid w:val="00A54084"/>
    <w:rsid w:val="00A57E02"/>
    <w:rsid w:val="00A62FD8"/>
    <w:rsid w:val="00A95142"/>
    <w:rsid w:val="00AB45BB"/>
    <w:rsid w:val="00AC7FD7"/>
    <w:rsid w:val="00AD05EA"/>
    <w:rsid w:val="00AE1FD3"/>
    <w:rsid w:val="00AE44CF"/>
    <w:rsid w:val="00B023E0"/>
    <w:rsid w:val="00B43BBC"/>
    <w:rsid w:val="00B45C76"/>
    <w:rsid w:val="00B46ABC"/>
    <w:rsid w:val="00B52476"/>
    <w:rsid w:val="00B57A56"/>
    <w:rsid w:val="00B803A7"/>
    <w:rsid w:val="00B93150"/>
    <w:rsid w:val="00B97590"/>
    <w:rsid w:val="00BA4DF7"/>
    <w:rsid w:val="00BE2F13"/>
    <w:rsid w:val="00C023B0"/>
    <w:rsid w:val="00C13D9D"/>
    <w:rsid w:val="00C1423C"/>
    <w:rsid w:val="00C41F71"/>
    <w:rsid w:val="00C667AF"/>
    <w:rsid w:val="00C705FE"/>
    <w:rsid w:val="00C7132A"/>
    <w:rsid w:val="00C73728"/>
    <w:rsid w:val="00C82CE2"/>
    <w:rsid w:val="00C87206"/>
    <w:rsid w:val="00C944CF"/>
    <w:rsid w:val="00CA549E"/>
    <w:rsid w:val="00CA6335"/>
    <w:rsid w:val="00CB5781"/>
    <w:rsid w:val="00CC0947"/>
    <w:rsid w:val="00CD59A0"/>
    <w:rsid w:val="00CD62E0"/>
    <w:rsid w:val="00CE3657"/>
    <w:rsid w:val="00D13155"/>
    <w:rsid w:val="00D16C60"/>
    <w:rsid w:val="00D5029F"/>
    <w:rsid w:val="00D60BBD"/>
    <w:rsid w:val="00D82337"/>
    <w:rsid w:val="00D83118"/>
    <w:rsid w:val="00D94DD2"/>
    <w:rsid w:val="00DB02F9"/>
    <w:rsid w:val="00DB46A4"/>
    <w:rsid w:val="00DD6D1E"/>
    <w:rsid w:val="00DE6658"/>
    <w:rsid w:val="00DF212A"/>
    <w:rsid w:val="00E135D5"/>
    <w:rsid w:val="00E16D68"/>
    <w:rsid w:val="00E24AC1"/>
    <w:rsid w:val="00E3056E"/>
    <w:rsid w:val="00E374AE"/>
    <w:rsid w:val="00E43AB8"/>
    <w:rsid w:val="00E62D96"/>
    <w:rsid w:val="00E7155F"/>
    <w:rsid w:val="00E776D5"/>
    <w:rsid w:val="00E8576C"/>
    <w:rsid w:val="00E94557"/>
    <w:rsid w:val="00EA26A1"/>
    <w:rsid w:val="00EB340F"/>
    <w:rsid w:val="00EE1E93"/>
    <w:rsid w:val="00EE5B6A"/>
    <w:rsid w:val="00F01A45"/>
    <w:rsid w:val="00F01B4D"/>
    <w:rsid w:val="00F032FA"/>
    <w:rsid w:val="00F05EFF"/>
    <w:rsid w:val="00F104E1"/>
    <w:rsid w:val="00F26D5A"/>
    <w:rsid w:val="00F366B9"/>
    <w:rsid w:val="00F615C8"/>
    <w:rsid w:val="00F64D5F"/>
    <w:rsid w:val="00FA71C8"/>
    <w:rsid w:val="00FA747A"/>
    <w:rsid w:val="00FB1972"/>
    <w:rsid w:val="00FB2FCA"/>
    <w:rsid w:val="00FD2347"/>
    <w:rsid w:val="00FE798D"/>
    <w:rsid w:val="00FF14E6"/>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Victor E. Vélez Cucuta</cp:lastModifiedBy>
  <cp:revision>2</cp:revision>
  <cp:lastPrinted>2025-08-25T14:28:00Z</cp:lastPrinted>
  <dcterms:created xsi:type="dcterms:W3CDTF">2025-08-27T14:58:00Z</dcterms:created>
  <dcterms:modified xsi:type="dcterms:W3CDTF">2025-08-27T14:58:00Z</dcterms:modified>
</cp:coreProperties>
</file>