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7BA3" w14:textId="77777777" w:rsidR="002670C1" w:rsidRPr="0056188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6188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6188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09B4008C" w14:textId="77777777" w:rsidR="002670C1" w:rsidRPr="0056188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985B6A7" w14:textId="77777777" w:rsidR="002670C1" w:rsidRPr="0056188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61889">
        <w:rPr>
          <w:rFonts w:ascii="Book Antiqua" w:hAnsi="Book Antiqua"/>
          <w:szCs w:val="24"/>
          <w:lang w:val="es-ES_tradnl"/>
        </w:rPr>
        <w:t>20m</w:t>
      </w:r>
      <w:r w:rsidR="002670C1" w:rsidRPr="00561889">
        <w:rPr>
          <w:rFonts w:ascii="Book Antiqua" w:hAnsi="Book Antiqua"/>
          <w:szCs w:val="24"/>
          <w:lang w:val="es-ES_tradnl"/>
        </w:rPr>
        <w:t>a. Asamblea</w:t>
      </w:r>
      <w:r w:rsidR="002670C1" w:rsidRPr="0056188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6188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61889">
        <w:rPr>
          <w:rFonts w:ascii="Book Antiqua" w:hAnsi="Book Antiqua"/>
          <w:szCs w:val="24"/>
          <w:lang w:val="es-ES_tradnl"/>
        </w:rPr>
        <w:t xml:space="preserve">  </w:t>
      </w:r>
      <w:r w:rsidR="00445CFE" w:rsidRPr="00561889">
        <w:rPr>
          <w:rFonts w:ascii="Book Antiqua" w:hAnsi="Book Antiqua"/>
          <w:szCs w:val="24"/>
          <w:lang w:val="es-ES_tradnl"/>
        </w:rPr>
        <w:t>1r</w:t>
      </w:r>
      <w:r w:rsidR="002670C1" w:rsidRPr="00561889">
        <w:rPr>
          <w:rFonts w:ascii="Book Antiqua" w:hAnsi="Book Antiqua"/>
          <w:szCs w:val="24"/>
          <w:lang w:val="es-ES_tradnl"/>
        </w:rPr>
        <w:t>a. Sesión</w:t>
      </w:r>
    </w:p>
    <w:p w14:paraId="79BCFC8E" w14:textId="77777777" w:rsidR="002670C1" w:rsidRPr="0056188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61889">
        <w:rPr>
          <w:rFonts w:ascii="Book Antiqua" w:hAnsi="Book Antiqua"/>
          <w:szCs w:val="24"/>
          <w:lang w:val="es-ES_tradnl"/>
        </w:rPr>
        <w:tab/>
        <w:t>Legislativa</w:t>
      </w:r>
      <w:r w:rsidRPr="0056188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61889">
        <w:rPr>
          <w:rFonts w:ascii="Book Antiqua" w:hAnsi="Book Antiqua"/>
          <w:szCs w:val="24"/>
          <w:lang w:val="es-ES_tradnl"/>
        </w:rPr>
        <w:t xml:space="preserve">       </w:t>
      </w:r>
      <w:r w:rsidRPr="00561889">
        <w:rPr>
          <w:rFonts w:ascii="Book Antiqua" w:hAnsi="Book Antiqua"/>
          <w:szCs w:val="24"/>
          <w:lang w:val="es-ES_tradnl"/>
        </w:rPr>
        <w:t xml:space="preserve"> </w:t>
      </w:r>
      <w:r w:rsidR="00632DBA" w:rsidRPr="00561889">
        <w:rPr>
          <w:rFonts w:ascii="Book Antiqua" w:hAnsi="Book Antiqua"/>
          <w:szCs w:val="24"/>
          <w:lang w:val="es-ES_tradnl"/>
        </w:rPr>
        <w:t xml:space="preserve"> </w:t>
      </w:r>
      <w:r w:rsidRPr="00561889">
        <w:rPr>
          <w:rFonts w:ascii="Book Antiqua" w:hAnsi="Book Antiqua"/>
          <w:szCs w:val="24"/>
          <w:lang w:val="es-ES_tradnl"/>
        </w:rPr>
        <w:t>Ordinaria</w:t>
      </w:r>
    </w:p>
    <w:p w14:paraId="6231D642" w14:textId="77777777" w:rsidR="002670C1" w:rsidRPr="00561889" w:rsidRDefault="002670C1" w:rsidP="002670C1">
      <w:pPr>
        <w:rPr>
          <w:rFonts w:ascii="Book Antiqua" w:hAnsi="Book Antiqua"/>
          <w:lang w:val="es-ES_tradnl"/>
        </w:rPr>
      </w:pPr>
    </w:p>
    <w:p w14:paraId="2CF599CA" w14:textId="77777777" w:rsidR="002670C1" w:rsidRPr="0056188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6188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65199EDE" w14:textId="77777777" w:rsidR="002670C1" w:rsidRPr="0056188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2F0853D" w14:textId="77777777" w:rsidR="002670C1" w:rsidRPr="0056188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0343FCB" w14:textId="77777777" w:rsidR="002670C1" w:rsidRPr="0056188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6188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61889" w:rsidRPr="00561889">
        <w:rPr>
          <w:rFonts w:ascii="Book Antiqua" w:hAnsi="Book Antiqua" w:cs="Tahoma"/>
          <w:b/>
          <w:sz w:val="52"/>
          <w:szCs w:val="52"/>
          <w:lang w:val="es-ES_tradnl"/>
        </w:rPr>
        <w:t>293</w:t>
      </w:r>
    </w:p>
    <w:p w14:paraId="6F7FFEEC" w14:textId="77777777" w:rsidR="001A14B6" w:rsidRPr="0056188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C639C13" w14:textId="77777777" w:rsidR="002670C1" w:rsidRPr="0056188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6188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6188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4673BD3" w14:textId="77777777" w:rsidR="002670C1" w:rsidRPr="0056188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76EECF5" w14:textId="77777777" w:rsidR="002670C1" w:rsidRPr="00561889" w:rsidRDefault="00561889" w:rsidP="002670C1">
      <w:pPr>
        <w:jc w:val="center"/>
        <w:rPr>
          <w:rFonts w:ascii="Book Antiqua" w:hAnsi="Book Antiqua" w:cs="Tahoma"/>
          <w:lang w:val="es-ES_tradnl"/>
        </w:rPr>
      </w:pPr>
      <w:r w:rsidRPr="00561889">
        <w:rPr>
          <w:rFonts w:ascii="Book Antiqua" w:hAnsi="Book Antiqua" w:cs="Tahoma"/>
          <w:lang w:val="es-ES_tradnl"/>
        </w:rPr>
        <w:t>2</w:t>
      </w:r>
      <w:r w:rsidR="00EE5F47">
        <w:rPr>
          <w:rFonts w:ascii="Book Antiqua" w:hAnsi="Book Antiqua" w:cs="Tahoma"/>
          <w:lang w:val="es-ES_tradnl"/>
        </w:rPr>
        <w:t>7</w:t>
      </w:r>
      <w:r w:rsidR="002670C1" w:rsidRPr="00561889">
        <w:rPr>
          <w:rFonts w:ascii="Book Antiqua" w:hAnsi="Book Antiqua" w:cs="Tahoma"/>
          <w:lang w:val="es-ES_tradnl"/>
        </w:rPr>
        <w:t xml:space="preserve"> de </w:t>
      </w:r>
      <w:r w:rsidR="00F533D4" w:rsidRPr="00561889">
        <w:rPr>
          <w:rFonts w:ascii="Book Antiqua" w:hAnsi="Book Antiqua" w:cs="Tahoma"/>
          <w:lang w:val="es-ES_tradnl"/>
        </w:rPr>
        <w:t>junio</w:t>
      </w:r>
      <w:r w:rsidR="002670C1" w:rsidRPr="00561889">
        <w:rPr>
          <w:rFonts w:ascii="Book Antiqua" w:hAnsi="Book Antiqua" w:cs="Tahoma"/>
          <w:lang w:val="es-ES_tradnl"/>
        </w:rPr>
        <w:t xml:space="preserve"> de </w:t>
      </w:r>
      <w:r w:rsidR="00333864" w:rsidRPr="00561889">
        <w:rPr>
          <w:rFonts w:ascii="Book Antiqua" w:hAnsi="Book Antiqua" w:cs="Tahoma"/>
          <w:lang w:val="es-ES_tradnl"/>
        </w:rPr>
        <w:t>2025</w:t>
      </w:r>
    </w:p>
    <w:p w14:paraId="75857500" w14:textId="77777777" w:rsidR="002670C1" w:rsidRPr="0056188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BE686E6" w14:textId="77777777" w:rsidR="00EF143E" w:rsidRPr="0056188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5D1EFCE" w14:textId="77777777" w:rsidR="002670C1" w:rsidRPr="0056188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6188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1E9B244" w14:textId="77777777" w:rsidR="002670C1" w:rsidRPr="0056188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4D689B11" w14:textId="77777777" w:rsidR="00682883" w:rsidRPr="0056188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61889">
        <w:rPr>
          <w:rFonts w:ascii="Book Antiqua" w:hAnsi="Book Antiqua" w:cs="Tahoma"/>
          <w:lang w:val="es-ES_tradnl"/>
        </w:rPr>
        <w:tab/>
      </w:r>
      <w:r w:rsidR="008A4022" w:rsidRPr="0056188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61889">
        <w:rPr>
          <w:rFonts w:ascii="Book Antiqua" w:hAnsi="Book Antiqua" w:cs="Tahoma"/>
          <w:lang w:val="es-ES_tradnl"/>
        </w:rPr>
        <w:t>sideración de la R. de la C.</w:t>
      </w:r>
      <w:r w:rsidR="00561889" w:rsidRPr="00561889">
        <w:rPr>
          <w:rFonts w:ascii="Book Antiqua" w:hAnsi="Book Antiqua" w:cs="Tahoma"/>
          <w:lang w:val="es-ES_tradnl"/>
        </w:rPr>
        <w:t xml:space="preserve"> 293</w:t>
      </w:r>
      <w:r w:rsidR="00FA5F29" w:rsidRPr="00561889">
        <w:rPr>
          <w:rFonts w:ascii="Book Antiqua" w:hAnsi="Book Antiqua" w:cs="Tahoma"/>
          <w:lang w:val="es-ES_tradnl"/>
        </w:rPr>
        <w:t xml:space="preserve">, </w:t>
      </w:r>
      <w:r w:rsidR="00682883" w:rsidRPr="0056188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4111B624" w14:textId="77777777" w:rsidR="00BC1CB2" w:rsidRPr="0056188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5F854A2F" w14:textId="77777777" w:rsidR="008D4A0A" w:rsidRPr="00561889" w:rsidRDefault="00BC1CB2" w:rsidP="00561889">
      <w:pPr>
        <w:ind w:left="567" w:hanging="567"/>
        <w:jc w:val="both"/>
        <w:rPr>
          <w:rFonts w:ascii="Book Antiqua" w:hAnsi="Book Antiqua"/>
          <w:lang w:val="es-ES_tradnl"/>
        </w:rPr>
      </w:pPr>
      <w:r w:rsidRPr="00561889">
        <w:rPr>
          <w:rFonts w:ascii="Book Antiqua" w:hAnsi="Book Antiqua" w:cs="Tahoma"/>
          <w:lang w:val="es-ES_tradnl"/>
        </w:rPr>
        <w:t xml:space="preserve"> </w:t>
      </w:r>
      <w:r w:rsidR="00E86FF9" w:rsidRPr="00561889">
        <w:rPr>
          <w:rFonts w:ascii="Book Antiqua" w:hAnsi="Book Antiqua" w:cs="Tahoma"/>
          <w:lang w:val="es-ES_tradnl"/>
        </w:rPr>
        <w:t>“</w:t>
      </w:r>
      <w:r w:rsidR="00E86FF9" w:rsidRPr="00561889">
        <w:rPr>
          <w:rFonts w:ascii="Book Antiqua" w:hAnsi="Book Antiqua"/>
          <w:lang w:val="es-ES_tradnl"/>
        </w:rPr>
        <w:t>Para</w:t>
      </w:r>
      <w:r w:rsidR="00E86FF9" w:rsidRPr="00561889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561889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561889">
        <w:rPr>
          <w:rFonts w:ascii="Book Antiqua" w:hAnsi="Book Antiqua"/>
          <w:lang w:val="es-ES_tradnl"/>
        </w:rPr>
        <w:t xml:space="preserve">a la Comisión </w:t>
      </w:r>
      <w:r w:rsidR="00C321E8" w:rsidRPr="00561889">
        <w:rPr>
          <w:rFonts w:ascii="Book Antiqua" w:hAnsi="Book Antiqua"/>
          <w:lang w:val="es-ES_tradnl"/>
        </w:rPr>
        <w:t>de</w:t>
      </w:r>
      <w:r w:rsidR="00DF3E6F" w:rsidRPr="00561889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561889" w:rsidRPr="00561889">
        <w:rPr>
          <w:rFonts w:ascii="Book Antiqua" w:hAnsi="Book Antiqua"/>
          <w:lang w:val="es-ES_tradnl"/>
        </w:rPr>
        <w:t xml:space="preserve">Seguridad Pública de la Cámara de Representantes de Puerto Rico, realizar una investigación sobre la magnitud, causas, rutas y métodos de entrada del tráfico ilegal de armas de fuego y municiones en Puerto Rico; evaluar </w:t>
      </w:r>
      <w:r w:rsidR="00561889" w:rsidRPr="00561889">
        <w:rPr>
          <w:rFonts w:ascii="Book Antiqua" w:hAnsi="Book Antiqua"/>
          <w:iCs/>
          <w:lang w:val="es-ES_tradnl"/>
        </w:rPr>
        <w:t>la efectividad de las medidas de prevención, detección e intervención actualmente en ejecución por las agencias de seguridad pública, incluyendo aquellas relacionadas con el control del narcotráfico y el crimen organizado; y analizar</w:t>
      </w:r>
      <w:r w:rsidR="00561889" w:rsidRPr="00561889">
        <w:rPr>
          <w:rFonts w:ascii="Book Antiqua" w:hAnsi="Book Antiqua"/>
          <w:lang w:val="es-ES_tradnl"/>
        </w:rPr>
        <w:t xml:space="preserve"> el funcionamiento del Comité Interagencial para Combatir el Tráfico Ilegal de Armas de Fuego establecido en la Ley Núm. 168-2019, según enmendada, conocida como </w:t>
      </w:r>
      <w:r w:rsidR="00561889" w:rsidRPr="00561889">
        <w:rPr>
          <w:rFonts w:ascii="Book Antiqua" w:hAnsi="Book Antiqua"/>
          <w:iCs/>
          <w:lang w:val="es-ES_tradnl"/>
        </w:rPr>
        <w:t>la</w:t>
      </w:r>
      <w:r w:rsidR="00561889" w:rsidRPr="00561889">
        <w:rPr>
          <w:rFonts w:ascii="Book Antiqua" w:hAnsi="Book Antiqua"/>
          <w:lang w:val="es-ES_tradnl"/>
        </w:rPr>
        <w:t xml:space="preserve"> “Ley de Armas de Puerto Rico de 2020”; con el propósito de </w:t>
      </w:r>
      <w:r w:rsidR="00561889" w:rsidRPr="00561889">
        <w:rPr>
          <w:rFonts w:ascii="Book Antiqua" w:hAnsi="Book Antiqua"/>
          <w:iCs/>
          <w:lang w:val="es-ES_tradnl"/>
        </w:rPr>
        <w:t>formular recomendaciones de política pública y de acción legislativa y administrativa necesarias para atender de manera integral esta problemática de seguridad pública</w:t>
      </w:r>
      <w:r w:rsidR="00561889" w:rsidRPr="00561889">
        <w:rPr>
          <w:rFonts w:ascii="Book Antiqua" w:hAnsi="Book Antiqua"/>
          <w:lang w:val="es-ES_tradnl"/>
        </w:rPr>
        <w:t>; y para otros fines relacionados.</w:t>
      </w:r>
      <w:r w:rsidR="00FA5F29" w:rsidRPr="00561889">
        <w:rPr>
          <w:rFonts w:ascii="Book Antiqua" w:hAnsi="Book Antiqua"/>
          <w:bCs/>
          <w:lang w:val="es-ES_tradnl"/>
        </w:rPr>
        <w:t>”</w:t>
      </w:r>
    </w:p>
    <w:p w14:paraId="177BD561" w14:textId="77777777" w:rsidR="00AD4702" w:rsidRPr="0056188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4B597B9" w14:textId="77777777" w:rsidR="008A1F08" w:rsidRPr="0056188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6188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458A5180" w14:textId="77777777" w:rsidR="00DE02EB" w:rsidRPr="0056188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665654D" w14:textId="77777777" w:rsidR="00561889" w:rsidRPr="00561889" w:rsidRDefault="00CC4336" w:rsidP="00561889">
      <w:pPr>
        <w:jc w:val="both"/>
        <w:rPr>
          <w:rFonts w:ascii="Book Antiqua" w:hAnsi="Book Antiqua"/>
          <w:lang w:val="es-ES_tradnl"/>
        </w:rPr>
      </w:pPr>
      <w:r w:rsidRPr="00EE5F47">
        <w:rPr>
          <w:rFonts w:ascii="Book Antiqua" w:eastAsia="Calibri" w:hAnsi="Book Antiqua"/>
          <w:lang w:val="es-ES_tradnl"/>
        </w:rPr>
        <w:t xml:space="preserve">     </w:t>
      </w:r>
      <w:r w:rsidR="00DE02EB" w:rsidRPr="00561889">
        <w:rPr>
          <w:rFonts w:ascii="Book Antiqua" w:hAnsi="Book Antiqua"/>
          <w:lang w:val="es-ES_tradnl"/>
        </w:rPr>
        <w:t>La</w:t>
      </w:r>
      <w:r w:rsidR="00194744" w:rsidRPr="00561889">
        <w:rPr>
          <w:rFonts w:ascii="Book Antiqua" w:hAnsi="Book Antiqua"/>
          <w:lang w:val="es-ES_tradnl"/>
        </w:rPr>
        <w:t xml:space="preserve"> Resolución de la Cámara Núm.</w:t>
      </w:r>
      <w:r w:rsidR="000F1167" w:rsidRPr="00561889">
        <w:rPr>
          <w:rFonts w:ascii="Book Antiqua" w:hAnsi="Book Antiqua"/>
          <w:lang w:val="es-ES_tradnl"/>
        </w:rPr>
        <w:t xml:space="preserve"> </w:t>
      </w:r>
      <w:r w:rsidR="00561889" w:rsidRPr="00561889">
        <w:rPr>
          <w:rFonts w:ascii="Book Antiqua" w:hAnsi="Book Antiqua"/>
          <w:lang w:val="es-ES_tradnl"/>
        </w:rPr>
        <w:t xml:space="preserve">293 </w:t>
      </w:r>
      <w:r w:rsidR="00DF3E6F" w:rsidRPr="00561889">
        <w:rPr>
          <w:rFonts w:ascii="Book Antiqua" w:hAnsi="Book Antiqua"/>
          <w:lang w:val="es-ES_tradnl"/>
        </w:rPr>
        <w:t>tiene el propósito de realizar una</w:t>
      </w:r>
      <w:r w:rsidR="00561889" w:rsidRPr="00561889">
        <w:rPr>
          <w:rFonts w:ascii="Book Antiqua" w:hAnsi="Book Antiqua"/>
          <w:lang w:val="es-ES_tradnl"/>
        </w:rPr>
        <w:t xml:space="preserve"> investigación exhaustiva sobre el tráfico ilegal de armas de fuego y municiones en Puerto Rico. La medida dispone que la Comisión de Seguridad Pública de la Cámara de Representantes examine la magnitud del problema, sus causas, las rutas y métodos de </w:t>
      </w:r>
      <w:r w:rsidR="00561889" w:rsidRPr="00561889">
        <w:rPr>
          <w:rFonts w:ascii="Book Antiqua" w:hAnsi="Book Antiqua"/>
          <w:lang w:val="es-ES_tradnl"/>
        </w:rPr>
        <w:lastRenderedPageBreak/>
        <w:t>entrada de dichas armas al territorio puertorriqueño. Además, se encomienda a la Comisión evaluar la efectividad de las acciones y estrategias que actualmente ejecutan las agencias de seguridad pública, incluyendo aquellas dirigidas al control del narcotráfico y el crimen organizado.</w:t>
      </w:r>
    </w:p>
    <w:p w14:paraId="5AEC37F4" w14:textId="77777777" w:rsidR="00561889" w:rsidRPr="00561889" w:rsidRDefault="00561889" w:rsidP="00561889">
      <w:pPr>
        <w:jc w:val="both"/>
        <w:rPr>
          <w:rFonts w:ascii="Book Antiqua" w:hAnsi="Book Antiqua"/>
          <w:lang w:val="es-ES_tradnl"/>
        </w:rPr>
      </w:pPr>
    </w:p>
    <w:p w14:paraId="332B6495" w14:textId="77777777" w:rsidR="00561889" w:rsidRPr="00561889" w:rsidRDefault="00561889" w:rsidP="00561889">
      <w:pPr>
        <w:jc w:val="both"/>
        <w:rPr>
          <w:rFonts w:ascii="Book Antiqua" w:hAnsi="Book Antiqua"/>
          <w:lang w:val="es-ES_tradnl"/>
        </w:rPr>
      </w:pPr>
      <w:r w:rsidRPr="00561889">
        <w:rPr>
          <w:rFonts w:ascii="Book Antiqua" w:hAnsi="Book Antiqua"/>
          <w:lang w:val="es-ES_tradnl"/>
        </w:rPr>
        <w:t xml:space="preserve">     La medida también incluye un mandato para analizar el funcionamiento del Comité Interagencial para Combatir el Tráfico Ilegal de Armas de Fuego, establecido mediante la Ley Núm. 168-2019, según enmendada. Este Comité está compuesto por representantes de varias agencias gubernamentales y sectores de la sociedad civil, con el objetivo de coordinar esfuerzos para detectar y desarticular el tráfico ilegal de armas y municiones.</w:t>
      </w:r>
    </w:p>
    <w:p w14:paraId="22BE72E9" w14:textId="77777777" w:rsidR="00561889" w:rsidRPr="00561889" w:rsidRDefault="00561889" w:rsidP="00561889">
      <w:pPr>
        <w:jc w:val="both"/>
        <w:rPr>
          <w:rFonts w:ascii="Book Antiqua" w:hAnsi="Book Antiqua"/>
          <w:lang w:val="es-ES_tradnl"/>
        </w:rPr>
      </w:pPr>
    </w:p>
    <w:p w14:paraId="7F4B12C2" w14:textId="77777777" w:rsidR="00DF3E6F" w:rsidRPr="00561889" w:rsidRDefault="00561889" w:rsidP="00DF3E6F">
      <w:pPr>
        <w:jc w:val="both"/>
        <w:rPr>
          <w:rFonts w:ascii="Book Antiqua" w:hAnsi="Book Antiqua"/>
          <w:lang w:val="es-ES_tradnl"/>
        </w:rPr>
      </w:pPr>
      <w:r w:rsidRPr="00561889">
        <w:rPr>
          <w:rFonts w:ascii="Book Antiqua" w:hAnsi="Book Antiqua"/>
          <w:lang w:val="es-ES_tradnl"/>
        </w:rPr>
        <w:t xml:space="preserve">     Las enmiendas contenidas en el entirillado electrónico amplían el alcance del estudio, incorporando un análisis más detallado sobre los métodos de entrada y el vínculo con el narcotráfico y el crimen organizado, además de establecer un término de ciento ochenta (180) días para la presentación del informe final.</w:t>
      </w:r>
    </w:p>
    <w:p w14:paraId="7E1B8C91" w14:textId="77777777" w:rsidR="008B1E7C" w:rsidRPr="00561889" w:rsidRDefault="006150BB" w:rsidP="0056188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6188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1EC8CB1" w14:textId="77777777" w:rsidR="001A02E8" w:rsidRPr="00561889" w:rsidRDefault="001A02E8" w:rsidP="0056188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61889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561889" w:rsidRPr="00561889">
        <w:rPr>
          <w:rFonts w:ascii="Book Antiqua" w:hAnsi="Book Antiqua"/>
          <w:sz w:val="24"/>
          <w:szCs w:val="24"/>
          <w:lang w:val="es-ES_tradnl"/>
        </w:rPr>
        <w:t>a Resolución de la Cámara 293</w:t>
      </w:r>
      <w:r w:rsidRPr="00561889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6ADE1912" w14:textId="77777777" w:rsidR="006150BB" w:rsidRPr="0056188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561889">
        <w:rPr>
          <w:rFonts w:ascii="Book Antiqua" w:hAnsi="Book Antiqua" w:cs="Tahoma"/>
          <w:lang w:val="es-ES_tradnl"/>
        </w:rPr>
        <w:t>Respetuosamente sometido,</w:t>
      </w:r>
    </w:p>
    <w:p w14:paraId="6574BF46" w14:textId="77777777" w:rsidR="00DF3E6F" w:rsidRPr="0056188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4ADADB63" w14:textId="77777777" w:rsidR="00F27289" w:rsidRPr="0056188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561889">
        <w:rPr>
          <w:rFonts w:ascii="Book Antiqua" w:hAnsi="Book Antiqua"/>
          <w:lang w:val="es-ES_tradnl"/>
        </w:rPr>
        <w:t xml:space="preserve">    </w:t>
      </w:r>
    </w:p>
    <w:p w14:paraId="491F4193" w14:textId="77777777" w:rsidR="00580E90" w:rsidRPr="0056188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2391B9" w14:textId="77777777" w:rsidR="003E29B3" w:rsidRPr="00561889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229A4093" w14:textId="77777777" w:rsidR="003F3D8D" w:rsidRPr="0056188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12ABFD21" w14:textId="77777777" w:rsidR="003F3D8D" w:rsidRPr="00561889" w:rsidRDefault="003F3D8D" w:rsidP="003F3D8D">
      <w:pPr>
        <w:rPr>
          <w:rFonts w:ascii="Book Antiqua" w:hAnsi="Book Antiqua" w:cs="Tahoma"/>
          <w:lang w:val="es-ES_tradnl"/>
        </w:rPr>
      </w:pPr>
    </w:p>
    <w:p w14:paraId="6B1A9787" w14:textId="77777777" w:rsidR="00307416" w:rsidRPr="0056188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6188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61889">
        <w:rPr>
          <w:rFonts w:ascii="Book Antiqua" w:hAnsi="Book Antiqua" w:cs="Tahoma"/>
          <w:lang w:val="es-ES_tradnl"/>
        </w:rPr>
        <w:br/>
        <w:t>Presidente</w:t>
      </w:r>
      <w:r w:rsidRPr="0056188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6188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2B452" w14:textId="77777777" w:rsidR="004E25BB" w:rsidRDefault="004E25BB" w:rsidP="00614C2C">
      <w:r>
        <w:separator/>
      </w:r>
    </w:p>
  </w:endnote>
  <w:endnote w:type="continuationSeparator" w:id="0">
    <w:p w14:paraId="083A269B" w14:textId="77777777" w:rsidR="004E25BB" w:rsidRDefault="004E25B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0815D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1889">
      <w:rPr>
        <w:noProof/>
      </w:rPr>
      <w:t>1</w:t>
    </w:r>
    <w:r>
      <w:rPr>
        <w:noProof/>
      </w:rPr>
      <w:fldChar w:fldCharType="end"/>
    </w:r>
  </w:p>
  <w:p w14:paraId="568F777E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05B4F" w14:textId="77777777" w:rsidR="004E25BB" w:rsidRDefault="004E25BB" w:rsidP="00614C2C">
      <w:r>
        <w:separator/>
      </w:r>
    </w:p>
  </w:footnote>
  <w:footnote w:type="continuationSeparator" w:id="0">
    <w:p w14:paraId="710B1BD2" w14:textId="77777777" w:rsidR="004E25BB" w:rsidRDefault="004E25B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1666985">
    <w:abstractNumId w:val="6"/>
  </w:num>
  <w:num w:numId="2" w16cid:durableId="1745949669">
    <w:abstractNumId w:val="12"/>
  </w:num>
  <w:num w:numId="3" w16cid:durableId="1984849771">
    <w:abstractNumId w:val="3"/>
  </w:num>
  <w:num w:numId="4" w16cid:durableId="1159686414">
    <w:abstractNumId w:val="1"/>
  </w:num>
  <w:num w:numId="5" w16cid:durableId="62068540">
    <w:abstractNumId w:val="7"/>
  </w:num>
  <w:num w:numId="6" w16cid:durableId="343751372">
    <w:abstractNumId w:val="4"/>
  </w:num>
  <w:num w:numId="7" w16cid:durableId="1697460302">
    <w:abstractNumId w:val="5"/>
  </w:num>
  <w:num w:numId="8" w16cid:durableId="1331565903">
    <w:abstractNumId w:val="8"/>
  </w:num>
  <w:num w:numId="9" w16cid:durableId="756900649">
    <w:abstractNumId w:val="9"/>
  </w:num>
  <w:num w:numId="10" w16cid:durableId="1793665326">
    <w:abstractNumId w:val="0"/>
  </w:num>
  <w:num w:numId="11" w16cid:durableId="1974020305">
    <w:abstractNumId w:val="2"/>
  </w:num>
  <w:num w:numId="12" w16cid:durableId="56981280">
    <w:abstractNumId w:val="11"/>
  </w:num>
  <w:num w:numId="13" w16cid:durableId="17987175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C42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61C5B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25BB"/>
    <w:rsid w:val="004E3952"/>
    <w:rsid w:val="00506C85"/>
    <w:rsid w:val="00525E8D"/>
    <w:rsid w:val="0053434B"/>
    <w:rsid w:val="00561889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4C0C"/>
    <w:rsid w:val="00A365D9"/>
    <w:rsid w:val="00A40D40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E7C4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1AA2"/>
    <w:rsid w:val="00C52359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E5F47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748C39"/>
  <w15:docId w15:val="{3AA53745-4D53-47A3-A635-2876EEAC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93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RC0293 -i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2025-06-27T19:39:00Z</dcterms:created>
  <dcterms:modified xsi:type="dcterms:W3CDTF">2025-06-27T19:39:00Z</dcterms:modified>
</cp:coreProperties>
</file>