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C73E4" w14:textId="38F76A43" w:rsidR="000B1F92" w:rsidRPr="000B1F92" w:rsidRDefault="000B1F92" w:rsidP="000B1F92">
      <w:pPr>
        <w:jc w:val="center"/>
        <w:rPr>
          <w:rFonts w:ascii="Book Antiqua" w:eastAsia="Book Antiqua" w:hAnsi="Book Antiqua" w:cs="Book Antiqua"/>
          <w:bCs/>
          <w:color w:val="000000" w:themeColor="text1"/>
          <w:sz w:val="36"/>
          <w:szCs w:val="36"/>
        </w:rPr>
      </w:pPr>
      <w:r w:rsidRPr="000B1F92">
        <w:rPr>
          <w:rFonts w:ascii="Book Antiqua" w:eastAsia="Book Antiqua" w:hAnsi="Book Antiqua" w:cs="Book Antiqua"/>
          <w:bCs/>
          <w:color w:val="000000" w:themeColor="text1"/>
          <w:sz w:val="36"/>
          <w:szCs w:val="36"/>
        </w:rPr>
        <w:t xml:space="preserve">GOBIERNO DE </w:t>
      </w:r>
      <w:r w:rsidR="00941773">
        <w:rPr>
          <w:rFonts w:ascii="Book Antiqua" w:eastAsia="Book Antiqua" w:hAnsi="Book Antiqua" w:cs="Book Antiqua"/>
          <w:bCs/>
          <w:color w:val="000000" w:themeColor="text1"/>
          <w:sz w:val="36"/>
          <w:szCs w:val="36"/>
        </w:rPr>
        <w:t>P</w:t>
      </w:r>
      <w:r w:rsidRPr="000B1F92">
        <w:rPr>
          <w:rFonts w:ascii="Book Antiqua" w:eastAsia="Book Antiqua" w:hAnsi="Book Antiqua" w:cs="Book Antiqua"/>
          <w:bCs/>
          <w:color w:val="000000" w:themeColor="text1"/>
          <w:sz w:val="36"/>
          <w:szCs w:val="36"/>
        </w:rPr>
        <w:t>UERTO RICO</w:t>
      </w:r>
    </w:p>
    <w:p w14:paraId="5966AC6C" w14:textId="77777777" w:rsidR="000B1F92" w:rsidRPr="000B1F92" w:rsidRDefault="000B1F92" w:rsidP="000B1F92">
      <w:pPr>
        <w:jc w:val="center"/>
        <w:rPr>
          <w:rFonts w:ascii="Book Antiqua" w:eastAsia="Book Antiqua" w:hAnsi="Book Antiqua" w:cs="Book Antiqua"/>
          <w:color w:val="000000" w:themeColor="text1"/>
        </w:rPr>
      </w:pPr>
    </w:p>
    <w:p w14:paraId="52F186B9" w14:textId="77777777" w:rsidR="000B1F92" w:rsidRPr="000B1F92" w:rsidRDefault="000B1F92" w:rsidP="000B1F92">
      <w:pPr>
        <w:tabs>
          <w:tab w:val="left" w:pos="648"/>
          <w:tab w:val="right" w:pos="7776"/>
          <w:tab w:val="left" w:pos="7848"/>
        </w:tabs>
        <w:rPr>
          <w:rFonts w:ascii="Book Antiqua" w:eastAsia="Book Antiqua" w:hAnsi="Book Antiqua" w:cs="Book Antiqua"/>
          <w:color w:val="000000" w:themeColor="text1"/>
        </w:rPr>
      </w:pPr>
      <w:r w:rsidRPr="000B1F92">
        <w:rPr>
          <w:rFonts w:ascii="Book Antiqua" w:eastAsia="Book Antiqua" w:hAnsi="Book Antiqua" w:cs="Book Antiqua"/>
          <w:color w:val="000000" w:themeColor="text1"/>
        </w:rPr>
        <w:t xml:space="preserve">20 </w:t>
      </w:r>
      <w:r w:rsidRPr="000B1F92">
        <w:rPr>
          <w:rFonts w:ascii="Book Antiqua" w:eastAsia="Book Antiqua" w:hAnsi="Book Antiqua" w:cs="Book Antiqua"/>
          <w:color w:val="000000" w:themeColor="text1"/>
          <w:vertAlign w:val="superscript"/>
        </w:rPr>
        <w:t>ma.</w:t>
      </w:r>
      <w:r w:rsidRPr="000B1F92">
        <w:rPr>
          <w:rFonts w:ascii="Book Antiqua" w:eastAsia="Book Antiqua" w:hAnsi="Book Antiqua" w:cs="Book Antiqua"/>
          <w:color w:val="000000" w:themeColor="text1"/>
        </w:rPr>
        <w:tab/>
        <w:t>Asamblea</w:t>
      </w:r>
      <w:r w:rsidRPr="000B1F92">
        <w:rPr>
          <w:rFonts w:ascii="Book Antiqua" w:eastAsia="Book Antiqua" w:hAnsi="Book Antiqua" w:cs="Book Antiqua"/>
          <w:color w:val="000000" w:themeColor="text1"/>
        </w:rPr>
        <w:tab/>
        <w:t>1</w:t>
      </w:r>
      <w:r w:rsidRPr="000B1F92">
        <w:rPr>
          <w:rFonts w:ascii="Book Antiqua" w:eastAsia="Book Antiqua" w:hAnsi="Book Antiqua" w:cs="Book Antiqua"/>
          <w:color w:val="000000" w:themeColor="text1"/>
          <w:vertAlign w:val="superscript"/>
        </w:rPr>
        <w:t>ra.</w:t>
      </w:r>
      <w:r w:rsidRPr="000B1F92">
        <w:rPr>
          <w:rFonts w:ascii="Book Antiqua" w:eastAsia="Book Antiqua" w:hAnsi="Book Antiqua" w:cs="Book Antiqua"/>
          <w:color w:val="000000" w:themeColor="text1"/>
          <w:vertAlign w:val="superscript"/>
        </w:rPr>
        <w:tab/>
      </w:r>
      <w:r w:rsidRPr="000B1F92">
        <w:rPr>
          <w:rFonts w:ascii="Book Antiqua" w:eastAsia="Book Antiqua" w:hAnsi="Book Antiqua" w:cs="Book Antiqua"/>
          <w:color w:val="000000" w:themeColor="text1"/>
        </w:rPr>
        <w:t>Sesión</w:t>
      </w:r>
    </w:p>
    <w:p w14:paraId="16CA38BB" w14:textId="77777777" w:rsidR="000B1F92" w:rsidRPr="000B1F92" w:rsidRDefault="000B1F92" w:rsidP="000B1F92">
      <w:pPr>
        <w:tabs>
          <w:tab w:val="left" w:pos="648"/>
          <w:tab w:val="right" w:pos="7776"/>
          <w:tab w:val="left" w:pos="7848"/>
        </w:tabs>
        <w:rPr>
          <w:rFonts w:ascii="Book Antiqua" w:eastAsia="Book Antiqua" w:hAnsi="Book Antiqua" w:cs="Book Antiqua"/>
          <w:color w:val="000000" w:themeColor="text1"/>
        </w:rPr>
      </w:pPr>
      <w:r w:rsidRPr="000B1F92">
        <w:rPr>
          <w:rFonts w:ascii="Book Antiqua" w:eastAsia="Book Antiqua" w:hAnsi="Book Antiqua" w:cs="Book Antiqua"/>
          <w:color w:val="000000" w:themeColor="text1"/>
        </w:rPr>
        <w:tab/>
        <w:t>Legislativa</w:t>
      </w:r>
      <w:r w:rsidRPr="000B1F92">
        <w:rPr>
          <w:rFonts w:ascii="Book Antiqua" w:eastAsia="Book Antiqua" w:hAnsi="Book Antiqua" w:cs="Book Antiqua"/>
          <w:color w:val="000000" w:themeColor="text1"/>
        </w:rPr>
        <w:tab/>
      </w:r>
      <w:r w:rsidRPr="000B1F92">
        <w:rPr>
          <w:rFonts w:ascii="Book Antiqua" w:eastAsia="Book Antiqua" w:hAnsi="Book Antiqua" w:cs="Book Antiqua"/>
          <w:color w:val="000000" w:themeColor="text1"/>
        </w:rPr>
        <w:tab/>
        <w:t>Ordinaria</w:t>
      </w:r>
    </w:p>
    <w:p w14:paraId="66EF2962" w14:textId="77777777" w:rsidR="000B1F92" w:rsidRPr="000B1F92" w:rsidRDefault="000B1F92" w:rsidP="000B1F92">
      <w:pPr>
        <w:rPr>
          <w:rFonts w:ascii="Book Antiqua" w:eastAsia="Book Antiqua" w:hAnsi="Book Antiqua" w:cs="Book Antiqua"/>
          <w:color w:val="000000" w:themeColor="text1"/>
        </w:rPr>
      </w:pPr>
    </w:p>
    <w:p w14:paraId="00139170" w14:textId="77777777" w:rsidR="000B1F92" w:rsidRPr="000B1F92" w:rsidRDefault="000B1F92" w:rsidP="000B1F92">
      <w:pPr>
        <w:jc w:val="center"/>
        <w:rPr>
          <w:rFonts w:ascii="Book Antiqua" w:hAnsi="Book Antiqua"/>
          <w:b/>
          <w:color w:val="000000" w:themeColor="text1"/>
          <w:sz w:val="36"/>
          <w:szCs w:val="36"/>
        </w:rPr>
      </w:pPr>
      <w:r w:rsidRPr="000B1F92">
        <w:rPr>
          <w:rFonts w:ascii="Book Antiqua" w:hAnsi="Book Antiqua"/>
          <w:b/>
          <w:color w:val="000000" w:themeColor="text1"/>
          <w:sz w:val="36"/>
          <w:szCs w:val="36"/>
        </w:rPr>
        <w:t>CÁMARA DE REPRESENTANTES</w:t>
      </w:r>
    </w:p>
    <w:p w14:paraId="09BF1A55" w14:textId="77777777" w:rsidR="000B1F92" w:rsidRPr="000B1F92" w:rsidRDefault="000B1F92" w:rsidP="000B1F92">
      <w:pPr>
        <w:jc w:val="center"/>
        <w:rPr>
          <w:rFonts w:ascii="Book Antiqua" w:hAnsi="Book Antiqua"/>
          <w:color w:val="000000" w:themeColor="text1"/>
        </w:rPr>
      </w:pPr>
    </w:p>
    <w:p w14:paraId="0361DB8B" w14:textId="4FDA7020" w:rsidR="000B1F92" w:rsidRPr="000B1F92" w:rsidRDefault="0057027C" w:rsidP="000B1F92">
      <w:pPr>
        <w:jc w:val="center"/>
        <w:rPr>
          <w:rFonts w:ascii="Book Antiqua" w:hAnsi="Book Antiqua"/>
          <w:b/>
          <w:color w:val="000000" w:themeColor="text1"/>
          <w:sz w:val="52"/>
          <w:szCs w:val="52"/>
        </w:rPr>
      </w:pPr>
      <w:r>
        <w:rPr>
          <w:rFonts w:ascii="Book Antiqua" w:hAnsi="Book Antiqua"/>
          <w:b/>
          <w:color w:val="000000" w:themeColor="text1"/>
          <w:sz w:val="52"/>
          <w:szCs w:val="52"/>
        </w:rPr>
        <w:t>R</w:t>
      </w:r>
      <w:r w:rsidR="000B1F92" w:rsidRPr="000B1F92">
        <w:rPr>
          <w:rFonts w:ascii="Book Antiqua" w:hAnsi="Book Antiqua"/>
          <w:b/>
          <w:color w:val="000000" w:themeColor="text1"/>
          <w:sz w:val="52"/>
          <w:szCs w:val="52"/>
        </w:rPr>
        <w:t>.</w:t>
      </w:r>
      <w:r>
        <w:rPr>
          <w:rFonts w:ascii="Book Antiqua" w:hAnsi="Book Antiqua"/>
          <w:b/>
          <w:color w:val="000000" w:themeColor="text1"/>
          <w:sz w:val="52"/>
          <w:szCs w:val="52"/>
        </w:rPr>
        <w:t>C.</w:t>
      </w:r>
      <w:r w:rsidR="000B1F92" w:rsidRPr="000B1F92">
        <w:rPr>
          <w:rFonts w:ascii="Book Antiqua" w:hAnsi="Book Antiqua"/>
          <w:b/>
          <w:color w:val="000000" w:themeColor="text1"/>
          <w:sz w:val="52"/>
          <w:szCs w:val="52"/>
        </w:rPr>
        <w:t xml:space="preserve"> de la C.</w:t>
      </w:r>
      <w:r w:rsidR="00380A79">
        <w:rPr>
          <w:rFonts w:ascii="Book Antiqua" w:hAnsi="Book Antiqua"/>
          <w:b/>
          <w:color w:val="000000" w:themeColor="text1"/>
          <w:sz w:val="52"/>
          <w:szCs w:val="52"/>
        </w:rPr>
        <w:t xml:space="preserve"> 111</w:t>
      </w:r>
    </w:p>
    <w:p w14:paraId="5C300827" w14:textId="77777777" w:rsidR="000B1F92" w:rsidRPr="000B1F92" w:rsidRDefault="000B1F92" w:rsidP="000B1F92">
      <w:pPr>
        <w:jc w:val="center"/>
        <w:rPr>
          <w:rFonts w:ascii="Book Antiqua" w:hAnsi="Book Antiqua"/>
          <w:color w:val="000000" w:themeColor="text1"/>
        </w:rPr>
      </w:pPr>
    </w:p>
    <w:p w14:paraId="0837F8B7" w14:textId="77777777" w:rsidR="000B1F92" w:rsidRPr="009C445D" w:rsidRDefault="000B1F92" w:rsidP="000B1F92">
      <w:pPr>
        <w:jc w:val="center"/>
        <w:rPr>
          <w:rFonts w:ascii="Book Antiqua" w:hAnsi="Book Antiqua"/>
          <w:caps/>
          <w:color w:val="000000" w:themeColor="text1"/>
          <w:sz w:val="28"/>
          <w:szCs w:val="28"/>
        </w:rPr>
      </w:pPr>
      <w:r w:rsidRPr="009C445D">
        <w:rPr>
          <w:rFonts w:ascii="Book Antiqua" w:hAnsi="Book Antiqua"/>
          <w:b/>
          <w:bCs/>
          <w:caps/>
          <w:color w:val="000000" w:themeColor="text1"/>
          <w:sz w:val="28"/>
          <w:szCs w:val="28"/>
          <w:lang w:val="es-ES"/>
        </w:rPr>
        <w:t>INFORME POSITIVO </w:t>
      </w:r>
      <w:r w:rsidRPr="009C445D">
        <w:rPr>
          <w:rFonts w:ascii="Book Antiqua" w:hAnsi="Book Antiqua"/>
          <w:caps/>
          <w:color w:val="000000" w:themeColor="text1"/>
          <w:sz w:val="28"/>
          <w:szCs w:val="28"/>
        </w:rPr>
        <w:t> </w:t>
      </w:r>
    </w:p>
    <w:p w14:paraId="38ED4042" w14:textId="77777777" w:rsidR="000B1F92" w:rsidRPr="00A61442" w:rsidRDefault="000B1F92" w:rsidP="000B1F92">
      <w:pPr>
        <w:jc w:val="center"/>
        <w:rPr>
          <w:rFonts w:ascii="Book Antiqua" w:hAnsi="Book Antiqua"/>
          <w:caps/>
          <w:color w:val="000000" w:themeColor="text1"/>
        </w:rPr>
      </w:pPr>
    </w:p>
    <w:p w14:paraId="39B5B1B4" w14:textId="5399E2F0" w:rsidR="000B1F92" w:rsidRPr="000B1F92" w:rsidRDefault="00BC0B76" w:rsidP="000B1F92">
      <w:pPr>
        <w:jc w:val="center"/>
        <w:rPr>
          <w:rFonts w:ascii="Book Antiqua" w:hAnsi="Book Antiqua"/>
          <w:b/>
          <w:color w:val="000000" w:themeColor="text1"/>
          <w:sz w:val="48"/>
        </w:rPr>
      </w:pPr>
      <w:r>
        <w:rPr>
          <w:rFonts w:ascii="Book Antiqua" w:hAnsi="Book Antiqua"/>
          <w:caps/>
          <w:color w:val="000000" w:themeColor="text1"/>
        </w:rPr>
        <w:t>8</w:t>
      </w:r>
      <w:r w:rsidR="0057027C">
        <w:rPr>
          <w:rFonts w:ascii="Book Antiqua" w:hAnsi="Book Antiqua"/>
          <w:caps/>
          <w:color w:val="000000" w:themeColor="text1"/>
        </w:rPr>
        <w:t xml:space="preserve"> </w:t>
      </w:r>
      <w:r w:rsidR="000B1F92" w:rsidRPr="000B1F92">
        <w:rPr>
          <w:rFonts w:ascii="Book Antiqua" w:hAnsi="Book Antiqua"/>
          <w:caps/>
          <w:color w:val="000000" w:themeColor="text1"/>
        </w:rPr>
        <w:t xml:space="preserve">de </w:t>
      </w:r>
      <w:r w:rsidR="0057027C">
        <w:rPr>
          <w:rFonts w:ascii="Book Antiqua" w:hAnsi="Book Antiqua"/>
          <w:caps/>
          <w:color w:val="000000" w:themeColor="text1"/>
        </w:rPr>
        <w:t>MAYO</w:t>
      </w:r>
      <w:r w:rsidR="000B1F92" w:rsidRPr="000B1F92">
        <w:rPr>
          <w:rFonts w:ascii="Book Antiqua" w:hAnsi="Book Antiqua"/>
          <w:caps/>
          <w:color w:val="000000" w:themeColor="text1"/>
        </w:rPr>
        <w:t xml:space="preserve"> de</w:t>
      </w:r>
      <w:r w:rsidR="000B1F92" w:rsidRPr="000B1F92">
        <w:rPr>
          <w:rFonts w:ascii="Book Antiqua" w:hAnsi="Book Antiqua"/>
          <w:color w:val="000000" w:themeColor="text1"/>
          <w:sz w:val="22"/>
          <w:szCs w:val="22"/>
        </w:rPr>
        <w:t xml:space="preserve"> </w:t>
      </w:r>
      <w:r w:rsidR="000B1F92" w:rsidRPr="000B1F92">
        <w:rPr>
          <w:rFonts w:ascii="Book Antiqua" w:hAnsi="Book Antiqua"/>
          <w:color w:val="000000" w:themeColor="text1"/>
        </w:rPr>
        <w:t>2025</w:t>
      </w:r>
    </w:p>
    <w:p w14:paraId="6DC5602C" w14:textId="701D6940" w:rsidR="000B1F92" w:rsidRPr="00775A0E" w:rsidRDefault="000B1F92" w:rsidP="000B1F92">
      <w:pPr>
        <w:spacing w:line="480" w:lineRule="auto"/>
        <w:jc w:val="both"/>
        <w:rPr>
          <w:rFonts w:ascii="Book Antiqua" w:hAnsi="Book Antiqua"/>
          <w:szCs w:val="24"/>
        </w:rPr>
      </w:pPr>
      <w:r w:rsidRPr="00775A0E">
        <w:rPr>
          <w:rFonts w:ascii="Book Antiqua" w:hAnsi="Book Antiqua"/>
          <w:szCs w:val="24"/>
        </w:rPr>
        <w:cr/>
      </w:r>
      <w:r w:rsidRPr="00775A0E">
        <w:rPr>
          <w:rFonts w:ascii="Book Antiqua" w:hAnsi="Book Antiqua"/>
          <w:b/>
          <w:szCs w:val="24"/>
        </w:rPr>
        <w:t>A LA CÁMARA DE REPRESENTANTES DE PUERTO RICO:</w:t>
      </w:r>
    </w:p>
    <w:p w14:paraId="095CC314" w14:textId="3214E0C0" w:rsidR="00941773" w:rsidRDefault="00941773" w:rsidP="00941773">
      <w:pPr>
        <w:jc w:val="both"/>
        <w:rPr>
          <w:rFonts w:ascii="Book Antiqua" w:hAnsi="Book Antiqua"/>
          <w:szCs w:val="24"/>
        </w:rPr>
      </w:pPr>
      <w:r w:rsidRPr="00B85514">
        <w:rPr>
          <w:rFonts w:ascii="Book Antiqua" w:hAnsi="Book Antiqua"/>
        </w:rPr>
        <w:t>La Comisión de Hacienda</w:t>
      </w:r>
      <w:r>
        <w:rPr>
          <w:rFonts w:ascii="Book Antiqua" w:hAnsi="Book Antiqua"/>
        </w:rPr>
        <w:t xml:space="preserve"> </w:t>
      </w:r>
      <w:r w:rsidRPr="00B85514">
        <w:rPr>
          <w:rFonts w:ascii="Book Antiqua" w:hAnsi="Book Antiqua"/>
        </w:rPr>
        <w:t>de la Cámara de Representantes de Puerto Rico, tiene el ho</w:t>
      </w:r>
      <w:r>
        <w:rPr>
          <w:rFonts w:ascii="Book Antiqua" w:hAnsi="Book Antiqua"/>
        </w:rPr>
        <w:t>nor de recomendar a este Honorable</w:t>
      </w:r>
      <w:r w:rsidRPr="00B85514">
        <w:rPr>
          <w:rFonts w:ascii="Book Antiqua" w:hAnsi="Book Antiqua"/>
        </w:rPr>
        <w:t xml:space="preserve"> Cuerpo la aprobación</w:t>
      </w:r>
      <w:r>
        <w:rPr>
          <w:rFonts w:ascii="Book Antiqua" w:hAnsi="Book Antiqua"/>
        </w:rPr>
        <w:t xml:space="preserve"> </w:t>
      </w:r>
      <w:r w:rsidR="00551F4E">
        <w:rPr>
          <w:rFonts w:ascii="Book Antiqua" w:hAnsi="Book Antiqua"/>
        </w:rPr>
        <w:t xml:space="preserve">de la R. C. de la C. 111 </w:t>
      </w:r>
      <w:r>
        <w:rPr>
          <w:rFonts w:ascii="Book Antiqua" w:hAnsi="Book Antiqua"/>
        </w:rPr>
        <w:t xml:space="preserve">con </w:t>
      </w:r>
      <w:r w:rsidR="00551F4E">
        <w:rPr>
          <w:rFonts w:ascii="Book Antiqua" w:hAnsi="Book Antiqua"/>
        </w:rPr>
        <w:t xml:space="preserve">las </w:t>
      </w:r>
      <w:r>
        <w:rPr>
          <w:rFonts w:ascii="Book Antiqua" w:hAnsi="Book Antiqua"/>
        </w:rPr>
        <w:t>enmiendas</w:t>
      </w:r>
      <w:r w:rsidRPr="00B85514">
        <w:rPr>
          <w:rFonts w:ascii="Book Antiqua" w:hAnsi="Book Antiqua"/>
        </w:rPr>
        <w:t xml:space="preserve"> </w:t>
      </w:r>
      <w:r w:rsidR="00551F4E">
        <w:rPr>
          <w:rFonts w:ascii="Book Antiqua" w:hAnsi="Book Antiqua"/>
        </w:rPr>
        <w:t xml:space="preserve">incluidas en el </w:t>
      </w:r>
      <w:proofErr w:type="spellStart"/>
      <w:r w:rsidR="00551F4E">
        <w:rPr>
          <w:rFonts w:ascii="Book Antiqua" w:hAnsi="Book Antiqua"/>
        </w:rPr>
        <w:t>entirillado</w:t>
      </w:r>
      <w:proofErr w:type="spellEnd"/>
      <w:r w:rsidR="00551F4E">
        <w:rPr>
          <w:rFonts w:ascii="Book Antiqua" w:hAnsi="Book Antiqua"/>
        </w:rPr>
        <w:t xml:space="preserve"> electrónico que se acompaña.</w:t>
      </w:r>
    </w:p>
    <w:p w14:paraId="4E9CC0E9" w14:textId="77777777" w:rsidR="008D2073" w:rsidRPr="007927B5" w:rsidRDefault="008D2073" w:rsidP="007927B5">
      <w:pPr>
        <w:ind w:firstLine="720"/>
        <w:jc w:val="both"/>
        <w:rPr>
          <w:rFonts w:ascii="Book Antiqua" w:hAnsi="Book Antiqua"/>
          <w:szCs w:val="24"/>
        </w:rPr>
      </w:pPr>
    </w:p>
    <w:p w14:paraId="0314BD90" w14:textId="13983B5E" w:rsidR="00A61442" w:rsidRPr="00FB364C" w:rsidRDefault="00A61442" w:rsidP="00FB004F">
      <w:pPr>
        <w:jc w:val="center"/>
        <w:rPr>
          <w:rFonts w:ascii="Book Antiqua" w:hAnsi="Book Antiqua"/>
          <w:b/>
          <w:smallCaps/>
          <w:sz w:val="28"/>
          <w:szCs w:val="22"/>
        </w:rPr>
      </w:pPr>
      <w:r w:rsidRPr="00FB364C">
        <w:rPr>
          <w:rFonts w:ascii="Book Antiqua" w:hAnsi="Book Antiqua"/>
          <w:b/>
          <w:smallCaps/>
          <w:sz w:val="28"/>
          <w:szCs w:val="22"/>
        </w:rPr>
        <w:t>Alcance de la Medida</w:t>
      </w:r>
    </w:p>
    <w:p w14:paraId="18E968DE" w14:textId="77777777" w:rsidR="00380A79" w:rsidRPr="00FB364C" w:rsidRDefault="00380A79" w:rsidP="00FB004F">
      <w:pPr>
        <w:jc w:val="center"/>
        <w:rPr>
          <w:rFonts w:ascii="Book Antiqua" w:hAnsi="Book Antiqua"/>
          <w:b/>
          <w:smallCaps/>
          <w:sz w:val="28"/>
          <w:szCs w:val="22"/>
        </w:rPr>
      </w:pPr>
    </w:p>
    <w:p w14:paraId="2556C97C" w14:textId="06E3E6BF" w:rsidR="00AD5390" w:rsidRDefault="00941773" w:rsidP="00941773">
      <w:pPr>
        <w:spacing w:after="240"/>
        <w:jc w:val="both"/>
        <w:rPr>
          <w:rFonts w:ascii="Book Antiqua" w:hAnsi="Book Antiqua"/>
          <w:bCs/>
          <w:szCs w:val="24"/>
        </w:rPr>
      </w:pPr>
      <w:r>
        <w:rPr>
          <w:rFonts w:ascii="Book Antiqua" w:hAnsi="Book Antiqua"/>
          <w:bCs/>
          <w:szCs w:val="24"/>
        </w:rPr>
        <w:t>La Resolución Conjunta de la Cámara 111</w:t>
      </w:r>
      <w:r w:rsidR="00AD5390" w:rsidRPr="00AD5390">
        <w:rPr>
          <w:rFonts w:ascii="Book Antiqua" w:hAnsi="Book Antiqua"/>
          <w:bCs/>
          <w:szCs w:val="24"/>
        </w:rPr>
        <w:t xml:space="preserve"> tiene como </w:t>
      </w:r>
      <w:r w:rsidR="00551F4E">
        <w:rPr>
          <w:rFonts w:ascii="Book Antiqua" w:hAnsi="Book Antiqua"/>
          <w:bCs/>
          <w:szCs w:val="24"/>
        </w:rPr>
        <w:t xml:space="preserve">propósito </w:t>
      </w:r>
      <w:r w:rsidR="00AD5390" w:rsidRPr="00AD5390">
        <w:rPr>
          <w:rFonts w:ascii="Book Antiqua" w:hAnsi="Book Antiqua"/>
          <w:bCs/>
          <w:szCs w:val="24"/>
        </w:rPr>
        <w:t>enmendar la Resolución Conjunta 85-2020 para extender la vigencia y ampliar el alcance del Fondo Rotatorio. Dicho fondo se utilizará para otorgar préstamos, líneas de crédito o adelantos (en adelante, “Adelantos de Recuperación”) a agencias del gobierno central, corporaciones públicas, instrumentalidades y municipios del Gobierno de Puerto Rico, así como a otras entidades elegibles. Entre otros aspectos, la medida extiende la vigencia del Fondo Rotatorio hasta el año fiscal 2027, establece un financiamiento inicial de setecientos cincuenta millones de dólares ($750,000,000.00) y define mecanismos de ajuste de disponibilidad de fondos a partir de 2029, siempre provenientes de recursos no obligados, sobrantes de años anteriores o balances no utilizados. Estas disposiciones se implementan con el objetivo de anticipar y solventar los retrasos inherentes a la liberación de fondos federales por parte de FEMA, permitiendo que proyectos críticos de reconstrucción y transformación energética puedan iniciarse de forma expedita y con transparencia.</w:t>
      </w:r>
    </w:p>
    <w:p w14:paraId="2717865D" w14:textId="77777777" w:rsidR="00941773" w:rsidRDefault="00941773" w:rsidP="006F7A45">
      <w:pPr>
        <w:spacing w:after="240"/>
        <w:jc w:val="both"/>
        <w:rPr>
          <w:rFonts w:ascii="Book Antiqua" w:hAnsi="Book Antiqua"/>
          <w:bCs/>
          <w:szCs w:val="24"/>
        </w:rPr>
      </w:pPr>
    </w:p>
    <w:p w14:paraId="29CFCC30" w14:textId="77777777" w:rsidR="006F7A45" w:rsidRPr="00AD5390" w:rsidRDefault="006F7A45" w:rsidP="006F7A45">
      <w:pPr>
        <w:spacing w:after="240"/>
        <w:jc w:val="both"/>
        <w:rPr>
          <w:rFonts w:ascii="Book Antiqua" w:hAnsi="Book Antiqua"/>
          <w:bCs/>
          <w:szCs w:val="24"/>
        </w:rPr>
      </w:pPr>
    </w:p>
    <w:p w14:paraId="5F2EC846" w14:textId="4D9A3804" w:rsidR="00340BC5" w:rsidRPr="00FB364C" w:rsidRDefault="00AC642C" w:rsidP="00340BC5">
      <w:pPr>
        <w:spacing w:after="240"/>
        <w:jc w:val="center"/>
        <w:rPr>
          <w:rFonts w:ascii="Book Antiqua" w:hAnsi="Book Antiqua"/>
          <w:b/>
          <w:bCs/>
          <w:smallCaps/>
          <w:color w:val="000000" w:themeColor="text1"/>
          <w:sz w:val="28"/>
          <w:szCs w:val="28"/>
        </w:rPr>
      </w:pPr>
      <w:r w:rsidRPr="00FB364C">
        <w:rPr>
          <w:rFonts w:ascii="Book Antiqua" w:hAnsi="Book Antiqua"/>
          <w:b/>
          <w:bCs/>
          <w:smallCaps/>
          <w:color w:val="000000" w:themeColor="text1"/>
          <w:sz w:val="28"/>
          <w:szCs w:val="28"/>
        </w:rPr>
        <w:lastRenderedPageBreak/>
        <w:t>Análisis de la Medida</w:t>
      </w:r>
    </w:p>
    <w:p w14:paraId="76DAB299" w14:textId="6D329692" w:rsidR="008D2073" w:rsidRPr="008D2073" w:rsidRDefault="008D2073" w:rsidP="008D2073">
      <w:pPr>
        <w:pStyle w:val="NormalWeb"/>
        <w:jc w:val="both"/>
        <w:rPr>
          <w:rFonts w:ascii="Book Antiqua" w:hAnsi="Book Antiqua"/>
          <w:b/>
          <w:bCs/>
          <w:color w:val="000000" w:themeColor="text1"/>
        </w:rPr>
      </w:pPr>
      <w:r w:rsidRPr="008D2073">
        <w:rPr>
          <w:rFonts w:ascii="Book Antiqua" w:hAnsi="Book Antiqua"/>
          <w:color w:val="000000" w:themeColor="text1"/>
        </w:rPr>
        <w:t>En el contexto de la recuperación y reconstrucción de Puerto Rico, uno de los desafíos principales ha sido la dilación en el despliegue de recursos debido a los requerimientos burocráticos del gobierno federal y a la demora en la formalización y reembolso de los fondos por parte de la Agencia Federal para el Manejo de Emergencias (FEMA). La extensión del Fondo Rotatorio a</w:t>
      </w:r>
      <w:r w:rsidR="0037135B" w:rsidRPr="00FB364C">
        <w:rPr>
          <w:rFonts w:ascii="Book Antiqua" w:hAnsi="Book Antiqua"/>
          <w:color w:val="000000" w:themeColor="text1"/>
        </w:rPr>
        <w:t>l año</w:t>
      </w:r>
      <w:r w:rsidRPr="008D2073">
        <w:rPr>
          <w:rFonts w:ascii="Book Antiqua" w:hAnsi="Book Antiqua"/>
          <w:color w:val="000000" w:themeColor="text1"/>
        </w:rPr>
        <w:t xml:space="preserve"> 2027, anunciad</w:t>
      </w:r>
      <w:r w:rsidR="0037135B" w:rsidRPr="00FB364C">
        <w:rPr>
          <w:rFonts w:ascii="Book Antiqua" w:hAnsi="Book Antiqua"/>
          <w:color w:val="000000" w:themeColor="text1"/>
        </w:rPr>
        <w:t>o</w:t>
      </w:r>
      <w:r w:rsidRPr="008D2073">
        <w:rPr>
          <w:rFonts w:ascii="Book Antiqua" w:hAnsi="Book Antiqua"/>
          <w:color w:val="000000" w:themeColor="text1"/>
        </w:rPr>
        <w:t xml:space="preserve"> en la RCC111, responde a la imperiosa necesidad de que las obras de construcción o reconstrucción de infraestructura crítica puedan iniciarse de manera oportuna con fondos estatales.</w:t>
      </w:r>
    </w:p>
    <w:p w14:paraId="3F028A26" w14:textId="745326DE" w:rsidR="008D2073" w:rsidRPr="008D2073" w:rsidRDefault="008D2073" w:rsidP="008D2073">
      <w:pPr>
        <w:pStyle w:val="NormalWeb"/>
        <w:jc w:val="both"/>
        <w:rPr>
          <w:rFonts w:ascii="Book Antiqua" w:hAnsi="Book Antiqua"/>
          <w:color w:val="000000" w:themeColor="text1"/>
        </w:rPr>
      </w:pPr>
      <w:r w:rsidRPr="008D2073">
        <w:rPr>
          <w:rFonts w:ascii="Book Antiqua" w:hAnsi="Book Antiqua"/>
          <w:color w:val="000000" w:themeColor="text1"/>
        </w:rPr>
        <w:t>El análisis de la RCC</w:t>
      </w:r>
      <w:r w:rsidR="00941773">
        <w:rPr>
          <w:rFonts w:ascii="Book Antiqua" w:hAnsi="Book Antiqua"/>
          <w:color w:val="000000" w:themeColor="text1"/>
        </w:rPr>
        <w:t xml:space="preserve"> </w:t>
      </w:r>
      <w:r w:rsidRPr="008D2073">
        <w:rPr>
          <w:rFonts w:ascii="Book Antiqua" w:hAnsi="Book Antiqua"/>
          <w:color w:val="000000" w:themeColor="text1"/>
        </w:rPr>
        <w:t>111 revela una respuesta oportuna a las dificultades que ha enfrentado Puerto Rico en la recuperación y reconstrucción de su infraestructura crítica. Uno de los desafíos identificados es la demora en el acceso a los fondos federales, debido a la burocracia inherente a agencias como FEMA.</w:t>
      </w:r>
      <w:r w:rsidR="00425DD0" w:rsidRPr="00FB364C">
        <w:rPr>
          <w:rFonts w:ascii="Book Antiqua" w:hAnsi="Book Antiqua"/>
          <w:color w:val="000000" w:themeColor="text1"/>
        </w:rPr>
        <w:t xml:space="preserve">  </w:t>
      </w:r>
      <w:r w:rsidRPr="008D2073">
        <w:rPr>
          <w:rFonts w:ascii="Book Antiqua" w:hAnsi="Book Antiqua"/>
          <w:color w:val="000000" w:themeColor="text1"/>
        </w:rPr>
        <w:t>En este sentido, RCC</w:t>
      </w:r>
      <w:r w:rsidR="00941773">
        <w:rPr>
          <w:rFonts w:ascii="Book Antiqua" w:hAnsi="Book Antiqua"/>
          <w:color w:val="000000" w:themeColor="text1"/>
        </w:rPr>
        <w:t xml:space="preserve"> </w:t>
      </w:r>
      <w:r w:rsidRPr="008D2073">
        <w:rPr>
          <w:rFonts w:ascii="Book Antiqua" w:hAnsi="Book Antiqua"/>
          <w:color w:val="000000" w:themeColor="text1"/>
        </w:rPr>
        <w:t>111 permite que el Gobierno de Puerto Rico movilice recursos estatales a través del Fondo Rotatorio para adelantar obras esenciales, reduciendo así el impacto de estos retrasos.</w:t>
      </w:r>
    </w:p>
    <w:p w14:paraId="5F7AA34D" w14:textId="77777777" w:rsidR="008D2073" w:rsidRPr="008D2073" w:rsidRDefault="008D2073" w:rsidP="008D2073">
      <w:pPr>
        <w:pStyle w:val="NormalWeb"/>
        <w:jc w:val="both"/>
        <w:rPr>
          <w:rFonts w:ascii="Book Antiqua" w:hAnsi="Book Antiqua"/>
          <w:color w:val="000000" w:themeColor="text1"/>
        </w:rPr>
      </w:pPr>
      <w:r w:rsidRPr="008D2073">
        <w:rPr>
          <w:rFonts w:ascii="Book Antiqua" w:hAnsi="Book Antiqua"/>
          <w:color w:val="000000" w:themeColor="text1"/>
        </w:rPr>
        <w:t>Tal como lo indican los comentarios presentados por la AAFAF en su memorial ante la Comisión de Hacienda, la enmienda fortalece significativamente los mecanismos de gobernanza y rendición de cuentas. La medida establece que los Adelantos de Recuperación sólo se desembolsarán bajo condiciones estrictas: se hará el reembolso de dichos adelantos tan pronto se reciba el desembolso correspondiente por parte de FEMA, y se promoverá un control riguroso mediante el uso de una cuenta bancaria segregada. Estos puntos son cruciales para garantizar no solo la agilidad en la movilización de recursos, sino también la transparencia fiscal y la disciplina en el manejo de fondos públicos.</w:t>
      </w:r>
    </w:p>
    <w:p w14:paraId="7ED7B675" w14:textId="3507049E" w:rsidR="008D2073" w:rsidRPr="00FB364C" w:rsidRDefault="008D2073" w:rsidP="008D2073">
      <w:pPr>
        <w:pStyle w:val="NormalWeb"/>
        <w:jc w:val="both"/>
        <w:rPr>
          <w:rFonts w:ascii="Book Antiqua" w:hAnsi="Book Antiqua"/>
          <w:color w:val="000000" w:themeColor="text1"/>
        </w:rPr>
      </w:pPr>
      <w:r w:rsidRPr="008D2073">
        <w:rPr>
          <w:rFonts w:ascii="Book Antiqua" w:hAnsi="Book Antiqua"/>
          <w:color w:val="000000" w:themeColor="text1"/>
        </w:rPr>
        <w:t>Además, la RCC</w:t>
      </w:r>
      <w:r w:rsidR="00941773">
        <w:rPr>
          <w:rFonts w:ascii="Book Antiqua" w:hAnsi="Book Antiqua"/>
          <w:color w:val="000000" w:themeColor="text1"/>
        </w:rPr>
        <w:t xml:space="preserve"> </w:t>
      </w:r>
      <w:r w:rsidRPr="008D2073">
        <w:rPr>
          <w:rFonts w:ascii="Book Antiqua" w:hAnsi="Book Antiqua"/>
          <w:color w:val="000000" w:themeColor="text1"/>
        </w:rPr>
        <w:t>111 amplía el espectro de aplicación del Fondo Rotatorio para incluir proyectos de transformación energética, incluso aquellos que aún no hayan sido obligados por FEMA.</w:t>
      </w:r>
      <w:r w:rsidR="00425DD0" w:rsidRPr="00FB364C">
        <w:rPr>
          <w:rFonts w:ascii="Book Antiqua" w:hAnsi="Book Antiqua"/>
          <w:color w:val="000000" w:themeColor="text1"/>
        </w:rPr>
        <w:t xml:space="preserve">  </w:t>
      </w:r>
      <w:r w:rsidRPr="008D2073">
        <w:rPr>
          <w:rFonts w:ascii="Book Antiqua" w:hAnsi="Book Antiqua"/>
          <w:color w:val="000000" w:themeColor="text1"/>
        </w:rPr>
        <w:t>Según el memorial de la AAFAF, esta apertura es vital para afrontar de manera proactiva la modernización del sector energético, un pilar esencial para garantizar un servicio eléctrico confiable y resiliente, que a su vez es fundamental para la competitividad y el bienestar general de la Isla.</w:t>
      </w:r>
      <w:r w:rsidR="00425DD0" w:rsidRPr="00FB364C">
        <w:rPr>
          <w:rFonts w:ascii="Book Antiqua" w:hAnsi="Book Antiqua"/>
          <w:color w:val="000000" w:themeColor="text1"/>
        </w:rPr>
        <w:t xml:space="preserve">  </w:t>
      </w:r>
      <w:r w:rsidRPr="008D2073">
        <w:rPr>
          <w:rFonts w:ascii="Book Antiqua" w:hAnsi="Book Antiqua"/>
          <w:color w:val="000000" w:themeColor="text1"/>
        </w:rPr>
        <w:t xml:space="preserve">La medida se alinea estrechamente con las prioridades estratégicas de la actual Administración, liderada por la Gobernadora </w:t>
      </w:r>
      <w:proofErr w:type="spellStart"/>
      <w:r w:rsidRPr="008D2073">
        <w:rPr>
          <w:rFonts w:ascii="Book Antiqua" w:hAnsi="Book Antiqua"/>
          <w:color w:val="000000" w:themeColor="text1"/>
        </w:rPr>
        <w:t>Jenniffer</w:t>
      </w:r>
      <w:proofErr w:type="spellEnd"/>
      <w:r w:rsidRPr="008D2073">
        <w:rPr>
          <w:rFonts w:ascii="Book Antiqua" w:hAnsi="Book Antiqua"/>
          <w:color w:val="000000" w:themeColor="text1"/>
        </w:rPr>
        <w:t xml:space="preserve"> A. González Colón, al coincidir con los objetivos de diversificación de la matriz energética y la estabilización de las finanzas municipales.</w:t>
      </w:r>
    </w:p>
    <w:p w14:paraId="067D754C" w14:textId="02D02C9B" w:rsidR="00A94F83" w:rsidRPr="00941773" w:rsidRDefault="008D2073" w:rsidP="00941773">
      <w:pPr>
        <w:pStyle w:val="NormalWeb"/>
        <w:jc w:val="both"/>
        <w:rPr>
          <w:rFonts w:ascii="Book Antiqua" w:hAnsi="Book Antiqua"/>
          <w:color w:val="000000" w:themeColor="text1"/>
        </w:rPr>
      </w:pPr>
      <w:r w:rsidRPr="008D2073">
        <w:rPr>
          <w:rFonts w:ascii="Book Antiqua" w:hAnsi="Book Antiqua"/>
          <w:color w:val="000000" w:themeColor="text1"/>
        </w:rPr>
        <w:t>Este análisis conjunto destaca que la medida no solo responde a una necesidad de financiamiento, sino que también representa un enfoque estructural para la recuperación y la transformación de la infraestructura crítica del país.</w:t>
      </w:r>
      <w:r w:rsidR="00FB364C" w:rsidRPr="00FB364C">
        <w:rPr>
          <w:rFonts w:ascii="Book Antiqua" w:hAnsi="Book Antiqua"/>
          <w:color w:val="000000" w:themeColor="text1"/>
        </w:rPr>
        <w:t xml:space="preserve">  </w:t>
      </w:r>
      <w:r w:rsidRPr="008D2073">
        <w:rPr>
          <w:rFonts w:ascii="Book Antiqua" w:hAnsi="Book Antiqua"/>
          <w:color w:val="000000" w:themeColor="text1"/>
        </w:rPr>
        <w:t xml:space="preserve">La implementación de reportes periódicos (trimestrales o mensuales) ante la Junta de Supervisión Fiscal refuerza aún más el compromiso del Gobierno con la supervisión y el control del uso de estos recursos, </w:t>
      </w:r>
      <w:r w:rsidRPr="008D2073">
        <w:rPr>
          <w:rFonts w:ascii="Book Antiqua" w:hAnsi="Book Antiqua"/>
          <w:color w:val="000000" w:themeColor="text1"/>
        </w:rPr>
        <w:lastRenderedPageBreak/>
        <w:t>asegurando que cada desembolso se realice en conformidad con las guías y regulaciones establecidas.</w:t>
      </w:r>
    </w:p>
    <w:p w14:paraId="40EDAAA0" w14:textId="10396FAA" w:rsidR="000F0676" w:rsidRPr="00FB364C" w:rsidRDefault="0068674F" w:rsidP="004947D5">
      <w:pPr>
        <w:suppressLineNumbers/>
        <w:spacing w:after="240"/>
        <w:jc w:val="center"/>
        <w:rPr>
          <w:rFonts w:ascii="Book Antiqua" w:hAnsi="Book Antiqua" w:cs="AvenirNextLTPro"/>
          <w:b/>
          <w:smallCaps/>
          <w:color w:val="000000" w:themeColor="text1"/>
          <w:sz w:val="28"/>
          <w:szCs w:val="22"/>
        </w:rPr>
      </w:pPr>
      <w:r w:rsidRPr="00FB364C">
        <w:rPr>
          <w:rFonts w:ascii="Book Antiqua" w:hAnsi="Book Antiqua" w:cs="AvenirNextLTPro"/>
          <w:b/>
          <w:smallCaps/>
          <w:color w:val="000000" w:themeColor="text1"/>
          <w:sz w:val="28"/>
          <w:szCs w:val="22"/>
        </w:rPr>
        <w:t>Conclusión</w:t>
      </w:r>
    </w:p>
    <w:p w14:paraId="7A81890E" w14:textId="757CD44F" w:rsidR="00A94F83" w:rsidRPr="00A94F83" w:rsidRDefault="00A94F83" w:rsidP="00A94F83">
      <w:pPr>
        <w:spacing w:after="240"/>
        <w:jc w:val="both"/>
        <w:rPr>
          <w:rFonts w:ascii="Book Antiqua" w:hAnsi="Book Antiqua"/>
          <w:szCs w:val="24"/>
          <w:shd w:val="clear" w:color="auto" w:fill="FFFFFF"/>
        </w:rPr>
      </w:pPr>
      <w:r w:rsidRPr="00A94F83">
        <w:rPr>
          <w:rFonts w:ascii="Book Antiqua" w:hAnsi="Book Antiqua"/>
          <w:szCs w:val="24"/>
          <w:shd w:val="clear" w:color="auto" w:fill="FFFFFF"/>
        </w:rPr>
        <w:t>La aprobación de la medida RCC</w:t>
      </w:r>
      <w:r w:rsidR="006F7A45">
        <w:rPr>
          <w:rFonts w:ascii="Book Antiqua" w:hAnsi="Book Antiqua"/>
          <w:szCs w:val="24"/>
          <w:shd w:val="clear" w:color="auto" w:fill="FFFFFF"/>
        </w:rPr>
        <w:t xml:space="preserve"> </w:t>
      </w:r>
      <w:r w:rsidRPr="00A94F83">
        <w:rPr>
          <w:rFonts w:ascii="Book Antiqua" w:hAnsi="Book Antiqua"/>
          <w:szCs w:val="24"/>
          <w:shd w:val="clear" w:color="auto" w:fill="FFFFFF"/>
        </w:rPr>
        <w:t>111 resulta indispensable para acelerar la recuperación y reconstrucción de la infraestructura crítica, en especial en el campo energético. La extensión de la vigencia del Fondo Rotatorio hasta el fiscal 2027 y la actualización de los mecanismos de control y rendición de cuentas aseguran que los recursos estatales puedan ser desplegados de manera inmediata mientras se formalizan los recursos federales. Esto es esencial para garantizar la continuidad operacional en la prestación de servicios y para mitigar los impactos que incumplimientos en los procesos de financiación puedan generar en el desarrollo económico y social de Puerto Rico.</w:t>
      </w:r>
    </w:p>
    <w:p w14:paraId="5673E974" w14:textId="77777777" w:rsidR="00A94F83" w:rsidRPr="00A94F83" w:rsidRDefault="00A94F83" w:rsidP="00A94F83">
      <w:pPr>
        <w:spacing w:after="240"/>
        <w:jc w:val="both"/>
        <w:rPr>
          <w:rFonts w:ascii="Book Antiqua" w:hAnsi="Book Antiqua"/>
          <w:szCs w:val="24"/>
          <w:shd w:val="clear" w:color="auto" w:fill="FFFFFF"/>
        </w:rPr>
      </w:pPr>
      <w:r w:rsidRPr="00A94F83">
        <w:rPr>
          <w:rFonts w:ascii="Book Antiqua" w:hAnsi="Book Antiqua"/>
          <w:szCs w:val="24"/>
          <w:shd w:val="clear" w:color="auto" w:fill="FFFFFF"/>
        </w:rPr>
        <w:t>Los comentarios proporcionados por la AAFAF en su memorial ante la Comisión de Hacienda resaltan que la RCC111 constituye una herramienta fiscal y programática coherente con los desafíos que enfrenta la infraestructura energética de la Isla, y que promueve de manera integral la resiliencia y modernización del sector. Asimismo, se reconoce que la medida fortalece la capacidad institucional del Gobierno para responder ante las emergencias y avanzar de forma ordenada hacia una transformación energética sostenible, en sintonía con los objetivos expresados en el Programa de Gobierno de la actual Administración.</w:t>
      </w:r>
    </w:p>
    <w:p w14:paraId="7EC0E0DB" w14:textId="77777777" w:rsidR="00551F4E" w:rsidRDefault="00A94F83" w:rsidP="00551F4E">
      <w:pPr>
        <w:spacing w:after="240"/>
        <w:jc w:val="both"/>
        <w:rPr>
          <w:rFonts w:ascii="Book Antiqua" w:hAnsi="Book Antiqua"/>
          <w:szCs w:val="24"/>
          <w:shd w:val="clear" w:color="auto" w:fill="FFFFFF"/>
        </w:rPr>
      </w:pPr>
      <w:r w:rsidRPr="006F7A45">
        <w:rPr>
          <w:rFonts w:ascii="Book Antiqua" w:hAnsi="Book Antiqua"/>
          <w:bCs/>
          <w:szCs w:val="24"/>
          <w:shd w:val="clear" w:color="auto" w:fill="FFFFFF"/>
        </w:rPr>
        <w:t>Por todos los fundamentos expuestos</w:t>
      </w:r>
      <w:r w:rsidRPr="00FB364C">
        <w:rPr>
          <w:rFonts w:ascii="Book Antiqua" w:hAnsi="Book Antiqua"/>
          <w:szCs w:val="24"/>
          <w:shd w:val="clear" w:color="auto" w:fill="FFFFFF"/>
        </w:rPr>
        <w:t xml:space="preserve"> </w:t>
      </w:r>
      <w:r w:rsidRPr="00A94F83">
        <w:rPr>
          <w:rFonts w:ascii="Book Antiqua" w:hAnsi="Book Antiqua"/>
          <w:szCs w:val="24"/>
          <w:shd w:val="clear" w:color="auto" w:fill="FFFFFF"/>
        </w:rPr>
        <w:t xml:space="preserve">y </w:t>
      </w:r>
      <w:r w:rsidRPr="00FB364C">
        <w:rPr>
          <w:rFonts w:ascii="Book Antiqua" w:hAnsi="Book Antiqua"/>
          <w:szCs w:val="24"/>
          <w:shd w:val="clear" w:color="auto" w:fill="FFFFFF"/>
        </w:rPr>
        <w:t xml:space="preserve">tomando en </w:t>
      </w:r>
      <w:r w:rsidR="00FB364C" w:rsidRPr="00FB364C">
        <w:rPr>
          <w:rFonts w:ascii="Book Antiqua" w:hAnsi="Book Antiqua"/>
          <w:szCs w:val="24"/>
          <w:shd w:val="clear" w:color="auto" w:fill="FFFFFF"/>
        </w:rPr>
        <w:t>consideración</w:t>
      </w:r>
      <w:r w:rsidRPr="00A94F83">
        <w:rPr>
          <w:rFonts w:ascii="Book Antiqua" w:hAnsi="Book Antiqua"/>
          <w:szCs w:val="24"/>
          <w:shd w:val="clear" w:color="auto" w:fill="FFFFFF"/>
        </w:rPr>
        <w:t xml:space="preserve"> las observaciones emitidas por la AAFAF, la Comisión de Hacienda recomienda a este</w:t>
      </w:r>
      <w:r w:rsidR="00E8305A" w:rsidRPr="00FB364C">
        <w:rPr>
          <w:rFonts w:ascii="Book Antiqua" w:hAnsi="Book Antiqua"/>
          <w:szCs w:val="24"/>
          <w:shd w:val="clear" w:color="auto" w:fill="FFFFFF"/>
        </w:rPr>
        <w:t xml:space="preserve"> </w:t>
      </w:r>
      <w:r w:rsidR="00FB364C" w:rsidRPr="00FB364C">
        <w:rPr>
          <w:rFonts w:ascii="Book Antiqua" w:hAnsi="Book Antiqua"/>
          <w:szCs w:val="24"/>
          <w:shd w:val="clear" w:color="auto" w:fill="FFFFFF"/>
        </w:rPr>
        <w:t>Honorable</w:t>
      </w:r>
      <w:r w:rsidR="00E8305A" w:rsidRPr="00FB364C">
        <w:rPr>
          <w:rFonts w:ascii="Book Antiqua" w:hAnsi="Book Antiqua"/>
          <w:szCs w:val="24"/>
          <w:shd w:val="clear" w:color="auto" w:fill="FFFFFF"/>
        </w:rPr>
        <w:t xml:space="preserve"> Cuerpo</w:t>
      </w:r>
      <w:r w:rsidRPr="00A94F83">
        <w:rPr>
          <w:rFonts w:ascii="Book Antiqua" w:hAnsi="Book Antiqua"/>
          <w:szCs w:val="24"/>
          <w:shd w:val="clear" w:color="auto" w:fill="FFFFFF"/>
        </w:rPr>
        <w:t xml:space="preserve"> la aprobación de</w:t>
      </w:r>
      <w:r w:rsidR="00E8305A" w:rsidRPr="00FB364C">
        <w:rPr>
          <w:rFonts w:ascii="Book Antiqua" w:hAnsi="Book Antiqua"/>
          <w:szCs w:val="24"/>
          <w:shd w:val="clear" w:color="auto" w:fill="FFFFFF"/>
        </w:rPr>
        <w:t xml:space="preserve"> la </w:t>
      </w:r>
      <w:r w:rsidR="00FB364C" w:rsidRPr="00FB364C">
        <w:rPr>
          <w:rFonts w:ascii="Book Antiqua" w:hAnsi="Book Antiqua"/>
          <w:szCs w:val="24"/>
          <w:shd w:val="clear" w:color="auto" w:fill="FFFFFF"/>
        </w:rPr>
        <w:t>Resolución</w:t>
      </w:r>
      <w:r w:rsidR="00E8305A" w:rsidRPr="00FB364C">
        <w:rPr>
          <w:rFonts w:ascii="Book Antiqua" w:hAnsi="Book Antiqua"/>
          <w:szCs w:val="24"/>
          <w:shd w:val="clear" w:color="auto" w:fill="FFFFFF"/>
        </w:rPr>
        <w:t xml:space="preserve"> de </w:t>
      </w:r>
      <w:r w:rsidR="009F616B" w:rsidRPr="00FB364C">
        <w:rPr>
          <w:rFonts w:ascii="Book Antiqua" w:hAnsi="Book Antiqua"/>
          <w:szCs w:val="24"/>
          <w:shd w:val="clear" w:color="auto" w:fill="FFFFFF"/>
        </w:rPr>
        <w:t xml:space="preserve">Conjunta de la </w:t>
      </w:r>
      <w:r w:rsidR="00FB364C" w:rsidRPr="00FB364C">
        <w:rPr>
          <w:rFonts w:ascii="Book Antiqua" w:hAnsi="Book Antiqua"/>
          <w:szCs w:val="24"/>
          <w:shd w:val="clear" w:color="auto" w:fill="FFFFFF"/>
        </w:rPr>
        <w:t>Cámara</w:t>
      </w:r>
      <w:r w:rsidR="009F616B" w:rsidRPr="00FB364C">
        <w:rPr>
          <w:rFonts w:ascii="Book Antiqua" w:hAnsi="Book Antiqua"/>
          <w:szCs w:val="24"/>
          <w:shd w:val="clear" w:color="auto" w:fill="FFFFFF"/>
        </w:rPr>
        <w:t xml:space="preserve"> 111 </w:t>
      </w:r>
      <w:r w:rsidR="00E10981" w:rsidRPr="00FB364C">
        <w:rPr>
          <w:rFonts w:ascii="Book Antiqua" w:hAnsi="Book Antiqua"/>
          <w:szCs w:val="24"/>
          <w:shd w:val="clear" w:color="auto" w:fill="FFFFFF"/>
        </w:rPr>
        <w:t>con</w:t>
      </w:r>
      <w:r w:rsidRPr="00A94F83">
        <w:rPr>
          <w:rFonts w:ascii="Book Antiqua" w:hAnsi="Book Antiqua"/>
          <w:szCs w:val="24"/>
          <w:shd w:val="clear" w:color="auto" w:fill="FFFFFF"/>
        </w:rPr>
        <w:t xml:space="preserve"> </w:t>
      </w:r>
      <w:r w:rsidR="00551F4E">
        <w:rPr>
          <w:rFonts w:ascii="Book Antiqua" w:hAnsi="Book Antiqua"/>
          <w:szCs w:val="24"/>
          <w:shd w:val="clear" w:color="auto" w:fill="FFFFFF"/>
        </w:rPr>
        <w:t xml:space="preserve">las </w:t>
      </w:r>
      <w:r w:rsidRPr="00A94F83">
        <w:rPr>
          <w:rFonts w:ascii="Book Antiqua" w:hAnsi="Book Antiqua"/>
          <w:szCs w:val="24"/>
          <w:shd w:val="clear" w:color="auto" w:fill="FFFFFF"/>
        </w:rPr>
        <w:t>enmiendas</w:t>
      </w:r>
      <w:r w:rsidR="00551F4E">
        <w:rPr>
          <w:rFonts w:ascii="Book Antiqua" w:hAnsi="Book Antiqua"/>
          <w:szCs w:val="24"/>
          <w:shd w:val="clear" w:color="auto" w:fill="FFFFFF"/>
        </w:rPr>
        <w:t xml:space="preserve"> incluidas en el </w:t>
      </w:r>
      <w:proofErr w:type="spellStart"/>
      <w:r w:rsidR="00551F4E">
        <w:rPr>
          <w:rFonts w:ascii="Book Antiqua" w:hAnsi="Book Antiqua"/>
          <w:szCs w:val="24"/>
          <w:shd w:val="clear" w:color="auto" w:fill="FFFFFF"/>
        </w:rPr>
        <w:t>entirillado</w:t>
      </w:r>
      <w:proofErr w:type="spellEnd"/>
      <w:r w:rsidR="00551F4E">
        <w:rPr>
          <w:rFonts w:ascii="Book Antiqua" w:hAnsi="Book Antiqua"/>
          <w:szCs w:val="24"/>
          <w:shd w:val="clear" w:color="auto" w:fill="FFFFFF"/>
        </w:rPr>
        <w:t xml:space="preserve"> electrónico que se acompaña.</w:t>
      </w:r>
    </w:p>
    <w:p w14:paraId="0DA9A3A0" w14:textId="224651E7" w:rsidR="00F5188F" w:rsidRPr="00941773" w:rsidRDefault="00F5188F" w:rsidP="00551F4E">
      <w:pPr>
        <w:spacing w:after="240"/>
        <w:jc w:val="both"/>
        <w:rPr>
          <w:rFonts w:ascii="Book Antiqua" w:hAnsi="Book Antiqua"/>
          <w:lang w:val="it-IT"/>
        </w:rPr>
      </w:pPr>
      <w:r w:rsidRPr="00941773">
        <w:rPr>
          <w:rFonts w:ascii="Book Antiqua" w:hAnsi="Book Antiqua"/>
          <w:lang w:val="it-IT"/>
        </w:rPr>
        <w:t>Respetuosamente sometido,</w:t>
      </w:r>
    </w:p>
    <w:p w14:paraId="3FF6F563" w14:textId="77777777" w:rsidR="00F5188F" w:rsidRPr="00941773" w:rsidRDefault="00F5188F" w:rsidP="00F5188F">
      <w:pPr>
        <w:jc w:val="both"/>
        <w:rPr>
          <w:rFonts w:ascii="Book Antiqua" w:hAnsi="Book Antiqua"/>
          <w:lang w:val="it-IT"/>
        </w:rPr>
      </w:pPr>
    </w:p>
    <w:p w14:paraId="00309CA7" w14:textId="77777777" w:rsidR="00F5188F" w:rsidRPr="00941773" w:rsidRDefault="00F5188F" w:rsidP="00F5188F">
      <w:pPr>
        <w:jc w:val="both"/>
        <w:rPr>
          <w:rFonts w:ascii="Book Antiqua" w:hAnsi="Book Antiqua"/>
          <w:lang w:val="it-IT"/>
        </w:rPr>
      </w:pPr>
    </w:p>
    <w:p w14:paraId="63F6634B" w14:textId="77777777" w:rsidR="00F5188F" w:rsidRPr="00941773" w:rsidRDefault="00F5188F" w:rsidP="00F5188F">
      <w:pPr>
        <w:jc w:val="both"/>
        <w:rPr>
          <w:rFonts w:ascii="Book Antiqua" w:hAnsi="Book Antiqua"/>
          <w:lang w:val="it-IT"/>
        </w:rPr>
      </w:pPr>
    </w:p>
    <w:p w14:paraId="7E4C3007" w14:textId="2F563EC5" w:rsidR="00F5188F" w:rsidRPr="00941773" w:rsidRDefault="00F5188F" w:rsidP="00F5188F">
      <w:pPr>
        <w:jc w:val="both"/>
        <w:rPr>
          <w:rFonts w:ascii="Book Antiqua" w:hAnsi="Book Antiqua"/>
          <w:b/>
          <w:i/>
          <w:lang w:val="it-IT"/>
        </w:rPr>
      </w:pPr>
      <w:r w:rsidRPr="00941773">
        <w:rPr>
          <w:rFonts w:ascii="Book Antiqua" w:hAnsi="Book Antiqua"/>
          <w:b/>
          <w:i/>
          <w:lang w:val="it-IT"/>
        </w:rPr>
        <w:t>Eddie Charbonier Chinea</w:t>
      </w:r>
      <w:r w:rsidRPr="00941773">
        <w:rPr>
          <w:rFonts w:ascii="Book Antiqua" w:hAnsi="Book Antiqua"/>
          <w:b/>
          <w:i/>
          <w:lang w:val="it-IT"/>
        </w:rPr>
        <w:tab/>
      </w:r>
    </w:p>
    <w:p w14:paraId="4BDB6777" w14:textId="068C437E" w:rsidR="00F5188F" w:rsidRPr="00F5188F" w:rsidRDefault="00F5188F" w:rsidP="00F5188F">
      <w:pPr>
        <w:jc w:val="both"/>
        <w:rPr>
          <w:rFonts w:ascii="Book Antiqua" w:hAnsi="Book Antiqua"/>
          <w:lang w:val="es-ES"/>
        </w:rPr>
      </w:pPr>
      <w:r w:rsidRPr="00F5188F">
        <w:rPr>
          <w:rFonts w:ascii="Book Antiqua" w:hAnsi="Book Antiqua"/>
          <w:lang w:val="es-ES"/>
        </w:rPr>
        <w:t>Presidente</w:t>
      </w:r>
    </w:p>
    <w:p w14:paraId="3B1D21DD" w14:textId="590719A0" w:rsidR="00F5188F" w:rsidRDefault="00F5188F" w:rsidP="00F5188F">
      <w:pPr>
        <w:jc w:val="both"/>
        <w:rPr>
          <w:rFonts w:ascii="Book Antiqua" w:hAnsi="Book Antiqua"/>
          <w:lang w:val="es-ES"/>
        </w:rPr>
      </w:pPr>
      <w:r w:rsidRPr="00F5188F">
        <w:rPr>
          <w:rFonts w:ascii="Book Antiqua" w:hAnsi="Book Antiqua"/>
          <w:lang w:val="es-ES"/>
        </w:rPr>
        <w:t xml:space="preserve">Comisión de Hacienda </w:t>
      </w:r>
    </w:p>
    <w:p w14:paraId="53B87543" w14:textId="77777777" w:rsidR="00360601" w:rsidRDefault="00360601" w:rsidP="00F5188F">
      <w:pPr>
        <w:jc w:val="both"/>
        <w:rPr>
          <w:rFonts w:ascii="Book Antiqua" w:hAnsi="Book Antiqua"/>
          <w:lang w:val="es-ES"/>
        </w:rPr>
      </w:pPr>
    </w:p>
    <w:p w14:paraId="0C82D21F" w14:textId="77777777" w:rsidR="00360601" w:rsidRDefault="00360601" w:rsidP="00F5188F">
      <w:pPr>
        <w:jc w:val="both"/>
        <w:rPr>
          <w:rFonts w:ascii="Book Antiqua" w:hAnsi="Book Antiqua"/>
          <w:lang w:val="es-ES"/>
        </w:rPr>
      </w:pPr>
    </w:p>
    <w:p w14:paraId="3C0F76B9" w14:textId="77777777" w:rsidR="00F5188F" w:rsidRPr="00F5188F" w:rsidRDefault="00F5188F" w:rsidP="001F4C5E">
      <w:pPr>
        <w:jc w:val="both"/>
        <w:rPr>
          <w:lang w:val="es-ES"/>
        </w:rPr>
      </w:pPr>
    </w:p>
    <w:sectPr w:rsidR="00F5188F" w:rsidRPr="00F5188F" w:rsidSect="00941773">
      <w:headerReference w:type="default" r:id="rId8"/>
      <w:headerReference w:type="first" r:id="rId9"/>
      <w:pgSz w:w="12240" w:h="15840"/>
      <w:pgMar w:top="1440" w:right="1440" w:bottom="1440" w:left="1440" w:header="432" w:footer="432"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D353D1" w14:textId="77777777" w:rsidR="00807281" w:rsidRDefault="00807281" w:rsidP="00376810">
      <w:r>
        <w:separator/>
      </w:r>
    </w:p>
  </w:endnote>
  <w:endnote w:type="continuationSeparator" w:id="0">
    <w:p w14:paraId="151970F0" w14:textId="77777777" w:rsidR="00807281" w:rsidRDefault="00807281" w:rsidP="0037681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 w:name="AvenirNextLTPro">
    <w:altName w:val="Calibri"/>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F52764C" w14:textId="77777777" w:rsidR="00807281" w:rsidRDefault="00807281" w:rsidP="00376810">
      <w:r>
        <w:separator/>
      </w:r>
    </w:p>
  </w:footnote>
  <w:footnote w:type="continuationSeparator" w:id="0">
    <w:p w14:paraId="0905DF72" w14:textId="77777777" w:rsidR="00807281" w:rsidRDefault="00807281" w:rsidP="0037681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75086744"/>
      <w:docPartObj>
        <w:docPartGallery w:val="Page Numbers (Top of Page)"/>
        <w:docPartUnique/>
      </w:docPartObj>
    </w:sdtPr>
    <w:sdtEndPr>
      <w:rPr>
        <w:noProof/>
      </w:rPr>
    </w:sdtEndPr>
    <w:sdtContent>
      <w:p w14:paraId="39509C04" w14:textId="57469D9D" w:rsidR="00941773" w:rsidRDefault="00941773">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E6B149F" w14:textId="44D1D4A7" w:rsidR="00D70AF0" w:rsidRDefault="00D70AF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6BB42" w14:textId="765E5173" w:rsidR="00941773" w:rsidRDefault="00941773">
    <w:pPr>
      <w:pStyle w:val="Header"/>
      <w:jc w:val="center"/>
    </w:pPr>
  </w:p>
  <w:p w14:paraId="1116C08A" w14:textId="77777777" w:rsidR="00941773" w:rsidRDefault="0094177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F3090"/>
    <w:multiLevelType w:val="hybridMultilevel"/>
    <w:tmpl w:val="629C5760"/>
    <w:lvl w:ilvl="0" w:tplc="22FEEA5C">
      <w:start w:val="1"/>
      <w:numFmt w:val="upperRoman"/>
      <w:lvlText w:val="%1&gt;"/>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D4C34F1"/>
    <w:multiLevelType w:val="hybridMultilevel"/>
    <w:tmpl w:val="47969988"/>
    <w:lvl w:ilvl="0" w:tplc="FFFFFFFF">
      <w:start w:val="1"/>
      <w:numFmt w:val="lowerLetter"/>
      <w:lvlText w:val="(%1)"/>
      <w:lvlJc w:val="left"/>
      <w:pPr>
        <w:ind w:left="1080" w:hanging="360"/>
      </w:pPr>
      <w:rPr>
        <w:rFonts w:hint="default"/>
      </w:rPr>
    </w:lvl>
    <w:lvl w:ilvl="1" w:tplc="FFFFFFFF">
      <w:start w:val="1"/>
      <w:numFmt w:val="decimal"/>
      <w:lvlText w:val="(%2)"/>
      <w:lvlJc w:val="left"/>
      <w:pPr>
        <w:ind w:left="3060" w:hanging="360"/>
      </w:pPr>
      <w:rPr>
        <w:rFonts w:hint="default"/>
      </w:rPr>
    </w:lvl>
    <w:lvl w:ilvl="2" w:tplc="0CFC9DC4">
      <w:start w:val="1"/>
      <w:numFmt w:val="upperLetter"/>
      <w:lvlText w:val="(%3)"/>
      <w:lvlJc w:val="left"/>
      <w:pPr>
        <w:ind w:left="2700" w:hanging="360"/>
      </w:pPr>
      <w:rPr>
        <w:rFonts w:hint="default"/>
      </w:rPr>
    </w:lvl>
    <w:lvl w:ilvl="3" w:tplc="FD4A8460">
      <w:start w:val="1"/>
      <w:numFmt w:val="lowerRoman"/>
      <w:lvlText w:val="(%4)"/>
      <w:lvlJc w:val="left"/>
      <w:pPr>
        <w:ind w:left="3240" w:hanging="360"/>
      </w:pPr>
      <w:rPr>
        <w:rFonts w:hint="default"/>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27E544AC"/>
    <w:multiLevelType w:val="hybridMultilevel"/>
    <w:tmpl w:val="37D0A4B0"/>
    <w:lvl w:ilvl="0" w:tplc="570837F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F0D37B9"/>
    <w:multiLevelType w:val="multilevel"/>
    <w:tmpl w:val="066473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25278043">
    <w:abstractNumId w:val="0"/>
  </w:num>
  <w:num w:numId="2" w16cid:durableId="1111054082">
    <w:abstractNumId w:val="2"/>
  </w:num>
  <w:num w:numId="3" w16cid:durableId="504397507">
    <w:abstractNumId w:val="1"/>
  </w:num>
  <w:num w:numId="4" w16cid:durableId="18561880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B1F92"/>
    <w:rsid w:val="00001292"/>
    <w:rsid w:val="00007DC5"/>
    <w:rsid w:val="00012C29"/>
    <w:rsid w:val="00054518"/>
    <w:rsid w:val="000A443B"/>
    <w:rsid w:val="000B1F92"/>
    <w:rsid w:val="000B668E"/>
    <w:rsid w:val="000C1630"/>
    <w:rsid w:val="000C3104"/>
    <w:rsid w:val="000F0676"/>
    <w:rsid w:val="00134593"/>
    <w:rsid w:val="001641B3"/>
    <w:rsid w:val="001657E5"/>
    <w:rsid w:val="00192469"/>
    <w:rsid w:val="001A5488"/>
    <w:rsid w:val="001F410B"/>
    <w:rsid w:val="001F4C5E"/>
    <w:rsid w:val="00210029"/>
    <w:rsid w:val="00211DB7"/>
    <w:rsid w:val="00216E0A"/>
    <w:rsid w:val="002209D2"/>
    <w:rsid w:val="00222985"/>
    <w:rsid w:val="002257CC"/>
    <w:rsid w:val="00226F8E"/>
    <w:rsid w:val="00261A60"/>
    <w:rsid w:val="00281536"/>
    <w:rsid w:val="002C2B24"/>
    <w:rsid w:val="002D27D8"/>
    <w:rsid w:val="00340BC5"/>
    <w:rsid w:val="00360601"/>
    <w:rsid w:val="0037135B"/>
    <w:rsid w:val="00376810"/>
    <w:rsid w:val="00380A79"/>
    <w:rsid w:val="003911DA"/>
    <w:rsid w:val="003B2CEE"/>
    <w:rsid w:val="00425DD0"/>
    <w:rsid w:val="004555C0"/>
    <w:rsid w:val="00462A0C"/>
    <w:rsid w:val="00482D61"/>
    <w:rsid w:val="004947D5"/>
    <w:rsid w:val="004969ED"/>
    <w:rsid w:val="004A280C"/>
    <w:rsid w:val="004A6BA2"/>
    <w:rsid w:val="004B5F3A"/>
    <w:rsid w:val="004C21C2"/>
    <w:rsid w:val="004F0DF0"/>
    <w:rsid w:val="00515D70"/>
    <w:rsid w:val="00517020"/>
    <w:rsid w:val="00551F4E"/>
    <w:rsid w:val="0057027C"/>
    <w:rsid w:val="00593EF4"/>
    <w:rsid w:val="00595678"/>
    <w:rsid w:val="005C3486"/>
    <w:rsid w:val="00643216"/>
    <w:rsid w:val="00681C8F"/>
    <w:rsid w:val="0068674F"/>
    <w:rsid w:val="00692164"/>
    <w:rsid w:val="0069340D"/>
    <w:rsid w:val="006A3275"/>
    <w:rsid w:val="006A6B35"/>
    <w:rsid w:val="006B189A"/>
    <w:rsid w:val="006D4C27"/>
    <w:rsid w:val="006F482F"/>
    <w:rsid w:val="006F7A45"/>
    <w:rsid w:val="007031B5"/>
    <w:rsid w:val="0070557E"/>
    <w:rsid w:val="00715AE3"/>
    <w:rsid w:val="00740314"/>
    <w:rsid w:val="0074447C"/>
    <w:rsid w:val="007650AD"/>
    <w:rsid w:val="00765475"/>
    <w:rsid w:val="007927B5"/>
    <w:rsid w:val="007D27AC"/>
    <w:rsid w:val="007E0B04"/>
    <w:rsid w:val="008061D3"/>
    <w:rsid w:val="00807281"/>
    <w:rsid w:val="0081151A"/>
    <w:rsid w:val="0081774F"/>
    <w:rsid w:val="0084527A"/>
    <w:rsid w:val="00847483"/>
    <w:rsid w:val="00891843"/>
    <w:rsid w:val="008B4083"/>
    <w:rsid w:val="008B5F71"/>
    <w:rsid w:val="008D2073"/>
    <w:rsid w:val="00941773"/>
    <w:rsid w:val="00954D6F"/>
    <w:rsid w:val="0096378C"/>
    <w:rsid w:val="009C445D"/>
    <w:rsid w:val="009F616B"/>
    <w:rsid w:val="00A15B10"/>
    <w:rsid w:val="00A16A60"/>
    <w:rsid w:val="00A3147B"/>
    <w:rsid w:val="00A5629C"/>
    <w:rsid w:val="00A605A4"/>
    <w:rsid w:val="00A61442"/>
    <w:rsid w:val="00A67E31"/>
    <w:rsid w:val="00A94F83"/>
    <w:rsid w:val="00AB4C22"/>
    <w:rsid w:val="00AB7EA9"/>
    <w:rsid w:val="00AC642C"/>
    <w:rsid w:val="00AD5390"/>
    <w:rsid w:val="00B23406"/>
    <w:rsid w:val="00B840F3"/>
    <w:rsid w:val="00BB776B"/>
    <w:rsid w:val="00BC0B76"/>
    <w:rsid w:val="00C01FEE"/>
    <w:rsid w:val="00C32C51"/>
    <w:rsid w:val="00CB673E"/>
    <w:rsid w:val="00CC3FA5"/>
    <w:rsid w:val="00CC6086"/>
    <w:rsid w:val="00CD700F"/>
    <w:rsid w:val="00CE705F"/>
    <w:rsid w:val="00CF203A"/>
    <w:rsid w:val="00D06985"/>
    <w:rsid w:val="00D531C2"/>
    <w:rsid w:val="00D63198"/>
    <w:rsid w:val="00D70AF0"/>
    <w:rsid w:val="00DA27ED"/>
    <w:rsid w:val="00DC7BE5"/>
    <w:rsid w:val="00DE1B21"/>
    <w:rsid w:val="00DE1E75"/>
    <w:rsid w:val="00DF71EC"/>
    <w:rsid w:val="00E10981"/>
    <w:rsid w:val="00E23B42"/>
    <w:rsid w:val="00E335C5"/>
    <w:rsid w:val="00E4760D"/>
    <w:rsid w:val="00E57CFA"/>
    <w:rsid w:val="00E62997"/>
    <w:rsid w:val="00E8305A"/>
    <w:rsid w:val="00E83D78"/>
    <w:rsid w:val="00E93DE0"/>
    <w:rsid w:val="00EB3092"/>
    <w:rsid w:val="00EC6799"/>
    <w:rsid w:val="00ED74F1"/>
    <w:rsid w:val="00F01656"/>
    <w:rsid w:val="00F07180"/>
    <w:rsid w:val="00F12F5E"/>
    <w:rsid w:val="00F5188F"/>
    <w:rsid w:val="00F51F53"/>
    <w:rsid w:val="00F5699D"/>
    <w:rsid w:val="00F951BB"/>
    <w:rsid w:val="00FB004F"/>
    <w:rsid w:val="00FB1007"/>
    <w:rsid w:val="00FB1915"/>
    <w:rsid w:val="00FB364C"/>
    <w:rsid w:val="00FC006D"/>
    <w:rsid w:val="00FF36CC"/>
    <w:rsid w:val="00FF78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E5C9CB"/>
  <w15:chartTrackingRefBased/>
  <w15:docId w15:val="{3DEE7C83-D70F-4A66-B54A-42772F1C62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27B5"/>
    <w:pPr>
      <w:spacing w:after="0" w:line="240" w:lineRule="auto"/>
    </w:pPr>
    <w:rPr>
      <w:rFonts w:ascii="Times New Roman" w:eastAsia="Times New Roman" w:hAnsi="Times New Roman" w:cs="Times New Roman"/>
      <w:kern w:val="0"/>
      <w:szCs w:val="20"/>
      <w:lang w:val="es-PR"/>
      <w14:ligatures w14:val="none"/>
    </w:rPr>
  </w:style>
  <w:style w:type="paragraph" w:styleId="Heading1">
    <w:name w:val="heading 1"/>
    <w:basedOn w:val="Normal"/>
    <w:next w:val="Normal"/>
    <w:link w:val="Heading1Char"/>
    <w:uiPriority w:val="9"/>
    <w:qFormat/>
    <w:rsid w:val="000B1F9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B1F9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B1F9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B1F9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B1F9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B1F92"/>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B1F92"/>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B1F92"/>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B1F92"/>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1F9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B1F9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B1F9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B1F9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B1F9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B1F9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B1F9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B1F9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B1F92"/>
    <w:rPr>
      <w:rFonts w:eastAsiaTheme="majorEastAsia" w:cstheme="majorBidi"/>
      <w:color w:val="272727" w:themeColor="text1" w:themeTint="D8"/>
    </w:rPr>
  </w:style>
  <w:style w:type="paragraph" w:styleId="Title">
    <w:name w:val="Title"/>
    <w:basedOn w:val="Normal"/>
    <w:next w:val="Normal"/>
    <w:link w:val="TitleChar"/>
    <w:uiPriority w:val="10"/>
    <w:qFormat/>
    <w:rsid w:val="000B1F9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B1F9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B1F9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B1F9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B1F92"/>
    <w:pPr>
      <w:spacing w:before="160"/>
      <w:jc w:val="center"/>
    </w:pPr>
    <w:rPr>
      <w:i/>
      <w:iCs/>
      <w:color w:val="404040" w:themeColor="text1" w:themeTint="BF"/>
    </w:rPr>
  </w:style>
  <w:style w:type="character" w:customStyle="1" w:styleId="QuoteChar">
    <w:name w:val="Quote Char"/>
    <w:basedOn w:val="DefaultParagraphFont"/>
    <w:link w:val="Quote"/>
    <w:uiPriority w:val="29"/>
    <w:rsid w:val="000B1F92"/>
    <w:rPr>
      <w:i/>
      <w:iCs/>
      <w:color w:val="404040" w:themeColor="text1" w:themeTint="BF"/>
    </w:rPr>
  </w:style>
  <w:style w:type="paragraph" w:styleId="ListParagraph">
    <w:name w:val="List Paragraph"/>
    <w:basedOn w:val="Normal"/>
    <w:uiPriority w:val="34"/>
    <w:qFormat/>
    <w:rsid w:val="000B1F92"/>
    <w:pPr>
      <w:ind w:left="720"/>
      <w:contextualSpacing/>
    </w:pPr>
  </w:style>
  <w:style w:type="character" w:styleId="IntenseEmphasis">
    <w:name w:val="Intense Emphasis"/>
    <w:basedOn w:val="DefaultParagraphFont"/>
    <w:uiPriority w:val="21"/>
    <w:qFormat/>
    <w:rsid w:val="000B1F92"/>
    <w:rPr>
      <w:i/>
      <w:iCs/>
      <w:color w:val="0F4761" w:themeColor="accent1" w:themeShade="BF"/>
    </w:rPr>
  </w:style>
  <w:style w:type="paragraph" w:styleId="IntenseQuote">
    <w:name w:val="Intense Quote"/>
    <w:basedOn w:val="Normal"/>
    <w:next w:val="Normal"/>
    <w:link w:val="IntenseQuoteChar"/>
    <w:uiPriority w:val="30"/>
    <w:qFormat/>
    <w:rsid w:val="000B1F9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B1F92"/>
    <w:rPr>
      <w:i/>
      <w:iCs/>
      <w:color w:val="0F4761" w:themeColor="accent1" w:themeShade="BF"/>
    </w:rPr>
  </w:style>
  <w:style w:type="character" w:styleId="IntenseReference">
    <w:name w:val="Intense Reference"/>
    <w:basedOn w:val="DefaultParagraphFont"/>
    <w:uiPriority w:val="32"/>
    <w:qFormat/>
    <w:rsid w:val="000B1F92"/>
    <w:rPr>
      <w:b/>
      <w:bCs/>
      <w:smallCaps/>
      <w:color w:val="0F4761" w:themeColor="accent1" w:themeShade="BF"/>
      <w:spacing w:val="5"/>
    </w:rPr>
  </w:style>
  <w:style w:type="character" w:styleId="Hyperlink">
    <w:name w:val="Hyperlink"/>
    <w:basedOn w:val="DefaultParagraphFont"/>
    <w:uiPriority w:val="99"/>
    <w:unhideWhenUsed/>
    <w:rsid w:val="00C01FEE"/>
    <w:rPr>
      <w:color w:val="467886" w:themeColor="hyperlink"/>
      <w:u w:val="single"/>
    </w:rPr>
  </w:style>
  <w:style w:type="character" w:styleId="UnresolvedMention">
    <w:name w:val="Unresolved Mention"/>
    <w:basedOn w:val="DefaultParagraphFont"/>
    <w:uiPriority w:val="99"/>
    <w:semiHidden/>
    <w:unhideWhenUsed/>
    <w:rsid w:val="00C01FEE"/>
    <w:rPr>
      <w:color w:val="605E5C"/>
      <w:shd w:val="clear" w:color="auto" w:fill="E1DFDD"/>
    </w:rPr>
  </w:style>
  <w:style w:type="paragraph" w:styleId="FootnoteText">
    <w:name w:val="footnote text"/>
    <w:basedOn w:val="Normal"/>
    <w:link w:val="FootnoteTextChar"/>
    <w:uiPriority w:val="99"/>
    <w:semiHidden/>
    <w:unhideWhenUsed/>
    <w:rsid w:val="00376810"/>
    <w:rPr>
      <w:sz w:val="20"/>
    </w:rPr>
  </w:style>
  <w:style w:type="character" w:customStyle="1" w:styleId="FootnoteTextChar">
    <w:name w:val="Footnote Text Char"/>
    <w:basedOn w:val="DefaultParagraphFont"/>
    <w:link w:val="FootnoteText"/>
    <w:uiPriority w:val="99"/>
    <w:semiHidden/>
    <w:rsid w:val="00376810"/>
    <w:rPr>
      <w:rFonts w:ascii="Times New Roman" w:eastAsia="Times New Roman" w:hAnsi="Times New Roman" w:cs="Times New Roman"/>
      <w:kern w:val="0"/>
      <w:sz w:val="20"/>
      <w:szCs w:val="20"/>
      <w14:ligatures w14:val="none"/>
    </w:rPr>
  </w:style>
  <w:style w:type="character" w:styleId="FootnoteReference">
    <w:name w:val="footnote reference"/>
    <w:basedOn w:val="DefaultParagraphFont"/>
    <w:uiPriority w:val="99"/>
    <w:semiHidden/>
    <w:unhideWhenUsed/>
    <w:rsid w:val="00376810"/>
    <w:rPr>
      <w:vertAlign w:val="superscript"/>
    </w:rPr>
  </w:style>
  <w:style w:type="paragraph" w:styleId="Header">
    <w:name w:val="header"/>
    <w:basedOn w:val="Normal"/>
    <w:link w:val="HeaderChar"/>
    <w:uiPriority w:val="99"/>
    <w:unhideWhenUsed/>
    <w:rsid w:val="00D70AF0"/>
    <w:pPr>
      <w:tabs>
        <w:tab w:val="center" w:pos="4680"/>
        <w:tab w:val="right" w:pos="9360"/>
      </w:tabs>
    </w:pPr>
  </w:style>
  <w:style w:type="character" w:customStyle="1" w:styleId="HeaderChar">
    <w:name w:val="Header Char"/>
    <w:basedOn w:val="DefaultParagraphFont"/>
    <w:link w:val="Header"/>
    <w:uiPriority w:val="99"/>
    <w:rsid w:val="00D70AF0"/>
    <w:rPr>
      <w:rFonts w:ascii="Times New Roman" w:eastAsia="Times New Roman" w:hAnsi="Times New Roman" w:cs="Times New Roman"/>
      <w:kern w:val="0"/>
      <w:szCs w:val="20"/>
      <w14:ligatures w14:val="none"/>
    </w:rPr>
  </w:style>
  <w:style w:type="paragraph" w:styleId="Footer">
    <w:name w:val="footer"/>
    <w:basedOn w:val="Normal"/>
    <w:link w:val="FooterChar"/>
    <w:uiPriority w:val="99"/>
    <w:unhideWhenUsed/>
    <w:rsid w:val="00D70AF0"/>
    <w:pPr>
      <w:tabs>
        <w:tab w:val="center" w:pos="4680"/>
        <w:tab w:val="right" w:pos="9360"/>
      </w:tabs>
    </w:pPr>
  </w:style>
  <w:style w:type="character" w:customStyle="1" w:styleId="FooterChar">
    <w:name w:val="Footer Char"/>
    <w:basedOn w:val="DefaultParagraphFont"/>
    <w:link w:val="Footer"/>
    <w:uiPriority w:val="99"/>
    <w:rsid w:val="00D70AF0"/>
    <w:rPr>
      <w:rFonts w:ascii="Times New Roman" w:eastAsia="Times New Roman" w:hAnsi="Times New Roman" w:cs="Times New Roman"/>
      <w:kern w:val="0"/>
      <w:szCs w:val="20"/>
      <w14:ligatures w14:val="none"/>
    </w:rPr>
  </w:style>
  <w:style w:type="paragraph" w:styleId="NormalWeb">
    <w:name w:val="Normal (Web)"/>
    <w:basedOn w:val="Normal"/>
    <w:uiPriority w:val="99"/>
    <w:unhideWhenUsed/>
    <w:rsid w:val="000F0676"/>
    <w:pPr>
      <w:spacing w:before="100" w:beforeAutospacing="1" w:after="100" w:afterAutospacing="1"/>
    </w:pPr>
    <w:rPr>
      <w:szCs w:val="24"/>
    </w:rPr>
  </w:style>
  <w:style w:type="character" w:customStyle="1" w:styleId="apple-converted-space">
    <w:name w:val="apple-converted-space"/>
    <w:basedOn w:val="DefaultParagraphFont"/>
    <w:rsid w:val="000F0676"/>
  </w:style>
  <w:style w:type="character" w:styleId="CommentReference">
    <w:name w:val="annotation reference"/>
    <w:basedOn w:val="DefaultParagraphFont"/>
    <w:uiPriority w:val="99"/>
    <w:semiHidden/>
    <w:unhideWhenUsed/>
    <w:rsid w:val="004947D5"/>
    <w:rPr>
      <w:sz w:val="16"/>
      <w:szCs w:val="16"/>
    </w:rPr>
  </w:style>
  <w:style w:type="character" w:styleId="Strong">
    <w:name w:val="Strong"/>
    <w:basedOn w:val="DefaultParagraphFont"/>
    <w:uiPriority w:val="22"/>
    <w:qFormat/>
    <w:rsid w:val="0036060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8218">
      <w:bodyDiv w:val="1"/>
      <w:marLeft w:val="0"/>
      <w:marRight w:val="0"/>
      <w:marTop w:val="0"/>
      <w:marBottom w:val="0"/>
      <w:divBdr>
        <w:top w:val="none" w:sz="0" w:space="0" w:color="auto"/>
        <w:left w:val="none" w:sz="0" w:space="0" w:color="auto"/>
        <w:bottom w:val="none" w:sz="0" w:space="0" w:color="auto"/>
        <w:right w:val="none" w:sz="0" w:space="0" w:color="auto"/>
      </w:divBdr>
      <w:divsChild>
        <w:div w:id="1463842881">
          <w:marLeft w:val="0"/>
          <w:marRight w:val="0"/>
          <w:marTop w:val="0"/>
          <w:marBottom w:val="0"/>
          <w:divBdr>
            <w:top w:val="none" w:sz="0" w:space="0" w:color="auto"/>
            <w:left w:val="none" w:sz="0" w:space="0" w:color="auto"/>
            <w:bottom w:val="none" w:sz="0" w:space="0" w:color="auto"/>
            <w:right w:val="none" w:sz="0" w:space="0" w:color="auto"/>
          </w:divBdr>
          <w:divsChild>
            <w:div w:id="548688434">
              <w:marLeft w:val="0"/>
              <w:marRight w:val="0"/>
              <w:marTop w:val="0"/>
              <w:marBottom w:val="0"/>
              <w:divBdr>
                <w:top w:val="none" w:sz="0" w:space="0" w:color="auto"/>
                <w:left w:val="none" w:sz="0" w:space="0" w:color="auto"/>
                <w:bottom w:val="none" w:sz="0" w:space="0" w:color="auto"/>
                <w:right w:val="none" w:sz="0" w:space="0" w:color="auto"/>
              </w:divBdr>
              <w:divsChild>
                <w:div w:id="1691756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250060">
      <w:bodyDiv w:val="1"/>
      <w:marLeft w:val="0"/>
      <w:marRight w:val="0"/>
      <w:marTop w:val="0"/>
      <w:marBottom w:val="0"/>
      <w:divBdr>
        <w:top w:val="none" w:sz="0" w:space="0" w:color="auto"/>
        <w:left w:val="none" w:sz="0" w:space="0" w:color="auto"/>
        <w:bottom w:val="none" w:sz="0" w:space="0" w:color="auto"/>
        <w:right w:val="none" w:sz="0" w:space="0" w:color="auto"/>
      </w:divBdr>
    </w:div>
    <w:div w:id="222839719">
      <w:bodyDiv w:val="1"/>
      <w:marLeft w:val="0"/>
      <w:marRight w:val="0"/>
      <w:marTop w:val="0"/>
      <w:marBottom w:val="0"/>
      <w:divBdr>
        <w:top w:val="none" w:sz="0" w:space="0" w:color="auto"/>
        <w:left w:val="none" w:sz="0" w:space="0" w:color="auto"/>
        <w:bottom w:val="none" w:sz="0" w:space="0" w:color="auto"/>
        <w:right w:val="none" w:sz="0" w:space="0" w:color="auto"/>
      </w:divBdr>
    </w:div>
    <w:div w:id="223033481">
      <w:bodyDiv w:val="1"/>
      <w:marLeft w:val="0"/>
      <w:marRight w:val="0"/>
      <w:marTop w:val="0"/>
      <w:marBottom w:val="0"/>
      <w:divBdr>
        <w:top w:val="none" w:sz="0" w:space="0" w:color="auto"/>
        <w:left w:val="none" w:sz="0" w:space="0" w:color="auto"/>
        <w:bottom w:val="none" w:sz="0" w:space="0" w:color="auto"/>
        <w:right w:val="none" w:sz="0" w:space="0" w:color="auto"/>
      </w:divBdr>
    </w:div>
    <w:div w:id="374624511">
      <w:bodyDiv w:val="1"/>
      <w:marLeft w:val="0"/>
      <w:marRight w:val="0"/>
      <w:marTop w:val="0"/>
      <w:marBottom w:val="0"/>
      <w:divBdr>
        <w:top w:val="none" w:sz="0" w:space="0" w:color="auto"/>
        <w:left w:val="none" w:sz="0" w:space="0" w:color="auto"/>
        <w:bottom w:val="none" w:sz="0" w:space="0" w:color="auto"/>
        <w:right w:val="none" w:sz="0" w:space="0" w:color="auto"/>
      </w:divBdr>
      <w:divsChild>
        <w:div w:id="439682650">
          <w:marLeft w:val="0"/>
          <w:marRight w:val="0"/>
          <w:marTop w:val="0"/>
          <w:marBottom w:val="0"/>
          <w:divBdr>
            <w:top w:val="none" w:sz="0" w:space="0" w:color="auto"/>
            <w:left w:val="none" w:sz="0" w:space="0" w:color="auto"/>
            <w:bottom w:val="none" w:sz="0" w:space="0" w:color="auto"/>
            <w:right w:val="none" w:sz="0" w:space="0" w:color="auto"/>
          </w:divBdr>
          <w:divsChild>
            <w:div w:id="1005209188">
              <w:marLeft w:val="-30"/>
              <w:marRight w:val="0"/>
              <w:marTop w:val="0"/>
              <w:marBottom w:val="0"/>
              <w:divBdr>
                <w:top w:val="none" w:sz="0" w:space="0" w:color="auto"/>
                <w:left w:val="none" w:sz="0" w:space="0" w:color="auto"/>
                <w:bottom w:val="none" w:sz="0" w:space="0" w:color="auto"/>
                <w:right w:val="none" w:sz="0" w:space="0" w:color="auto"/>
              </w:divBdr>
            </w:div>
          </w:divsChild>
        </w:div>
        <w:div w:id="300305795">
          <w:marLeft w:val="0"/>
          <w:marRight w:val="0"/>
          <w:marTop w:val="0"/>
          <w:marBottom w:val="0"/>
          <w:divBdr>
            <w:top w:val="none" w:sz="0" w:space="0" w:color="auto"/>
            <w:left w:val="none" w:sz="0" w:space="0" w:color="auto"/>
            <w:bottom w:val="none" w:sz="0" w:space="0" w:color="auto"/>
            <w:right w:val="none" w:sz="0" w:space="0" w:color="auto"/>
          </w:divBdr>
          <w:divsChild>
            <w:div w:id="106243015">
              <w:marLeft w:val="0"/>
              <w:marRight w:val="0"/>
              <w:marTop w:val="0"/>
              <w:marBottom w:val="0"/>
              <w:divBdr>
                <w:top w:val="none" w:sz="0" w:space="0" w:color="auto"/>
                <w:left w:val="none" w:sz="0" w:space="0" w:color="auto"/>
                <w:bottom w:val="none" w:sz="0" w:space="0" w:color="auto"/>
                <w:right w:val="none" w:sz="0" w:space="0" w:color="auto"/>
              </w:divBdr>
              <w:divsChild>
                <w:div w:id="1085688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1058510">
          <w:marLeft w:val="0"/>
          <w:marRight w:val="0"/>
          <w:marTop w:val="0"/>
          <w:marBottom w:val="0"/>
          <w:divBdr>
            <w:top w:val="none" w:sz="0" w:space="0" w:color="auto"/>
            <w:left w:val="none" w:sz="0" w:space="0" w:color="auto"/>
            <w:bottom w:val="none" w:sz="0" w:space="0" w:color="auto"/>
            <w:right w:val="none" w:sz="0" w:space="0" w:color="auto"/>
          </w:divBdr>
          <w:divsChild>
            <w:div w:id="907691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259113">
      <w:bodyDiv w:val="1"/>
      <w:marLeft w:val="0"/>
      <w:marRight w:val="0"/>
      <w:marTop w:val="0"/>
      <w:marBottom w:val="0"/>
      <w:divBdr>
        <w:top w:val="none" w:sz="0" w:space="0" w:color="auto"/>
        <w:left w:val="none" w:sz="0" w:space="0" w:color="auto"/>
        <w:bottom w:val="none" w:sz="0" w:space="0" w:color="auto"/>
        <w:right w:val="none" w:sz="0" w:space="0" w:color="auto"/>
      </w:divBdr>
    </w:div>
    <w:div w:id="508837339">
      <w:bodyDiv w:val="1"/>
      <w:marLeft w:val="0"/>
      <w:marRight w:val="0"/>
      <w:marTop w:val="0"/>
      <w:marBottom w:val="0"/>
      <w:divBdr>
        <w:top w:val="none" w:sz="0" w:space="0" w:color="auto"/>
        <w:left w:val="none" w:sz="0" w:space="0" w:color="auto"/>
        <w:bottom w:val="none" w:sz="0" w:space="0" w:color="auto"/>
        <w:right w:val="none" w:sz="0" w:space="0" w:color="auto"/>
      </w:divBdr>
      <w:divsChild>
        <w:div w:id="70782257">
          <w:marLeft w:val="0"/>
          <w:marRight w:val="0"/>
          <w:marTop w:val="0"/>
          <w:marBottom w:val="0"/>
          <w:divBdr>
            <w:top w:val="none" w:sz="0" w:space="0" w:color="auto"/>
            <w:left w:val="none" w:sz="0" w:space="0" w:color="auto"/>
            <w:bottom w:val="none" w:sz="0" w:space="0" w:color="auto"/>
            <w:right w:val="none" w:sz="0" w:space="0" w:color="auto"/>
          </w:divBdr>
          <w:divsChild>
            <w:div w:id="44793007">
              <w:marLeft w:val="0"/>
              <w:marRight w:val="0"/>
              <w:marTop w:val="0"/>
              <w:marBottom w:val="0"/>
              <w:divBdr>
                <w:top w:val="none" w:sz="0" w:space="0" w:color="auto"/>
                <w:left w:val="none" w:sz="0" w:space="0" w:color="auto"/>
                <w:bottom w:val="none" w:sz="0" w:space="0" w:color="auto"/>
                <w:right w:val="none" w:sz="0" w:space="0" w:color="auto"/>
              </w:divBdr>
              <w:divsChild>
                <w:div w:id="458033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3673391">
      <w:bodyDiv w:val="1"/>
      <w:marLeft w:val="0"/>
      <w:marRight w:val="0"/>
      <w:marTop w:val="0"/>
      <w:marBottom w:val="0"/>
      <w:divBdr>
        <w:top w:val="none" w:sz="0" w:space="0" w:color="auto"/>
        <w:left w:val="none" w:sz="0" w:space="0" w:color="auto"/>
        <w:bottom w:val="none" w:sz="0" w:space="0" w:color="auto"/>
        <w:right w:val="none" w:sz="0" w:space="0" w:color="auto"/>
      </w:divBdr>
    </w:div>
    <w:div w:id="1202279918">
      <w:bodyDiv w:val="1"/>
      <w:marLeft w:val="0"/>
      <w:marRight w:val="0"/>
      <w:marTop w:val="0"/>
      <w:marBottom w:val="0"/>
      <w:divBdr>
        <w:top w:val="none" w:sz="0" w:space="0" w:color="auto"/>
        <w:left w:val="none" w:sz="0" w:space="0" w:color="auto"/>
        <w:bottom w:val="none" w:sz="0" w:space="0" w:color="auto"/>
        <w:right w:val="none" w:sz="0" w:space="0" w:color="auto"/>
      </w:divBdr>
      <w:divsChild>
        <w:div w:id="276183770">
          <w:marLeft w:val="0"/>
          <w:marRight w:val="0"/>
          <w:marTop w:val="0"/>
          <w:marBottom w:val="0"/>
          <w:divBdr>
            <w:top w:val="none" w:sz="0" w:space="0" w:color="auto"/>
            <w:left w:val="none" w:sz="0" w:space="0" w:color="auto"/>
            <w:bottom w:val="none" w:sz="0" w:space="0" w:color="auto"/>
            <w:right w:val="none" w:sz="0" w:space="0" w:color="auto"/>
          </w:divBdr>
          <w:divsChild>
            <w:div w:id="1325276589">
              <w:marLeft w:val="0"/>
              <w:marRight w:val="0"/>
              <w:marTop w:val="0"/>
              <w:marBottom w:val="0"/>
              <w:divBdr>
                <w:top w:val="none" w:sz="0" w:space="0" w:color="auto"/>
                <w:left w:val="none" w:sz="0" w:space="0" w:color="auto"/>
                <w:bottom w:val="none" w:sz="0" w:space="0" w:color="auto"/>
                <w:right w:val="none" w:sz="0" w:space="0" w:color="auto"/>
              </w:divBdr>
              <w:divsChild>
                <w:div w:id="53465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36864544">
      <w:bodyDiv w:val="1"/>
      <w:marLeft w:val="0"/>
      <w:marRight w:val="0"/>
      <w:marTop w:val="0"/>
      <w:marBottom w:val="0"/>
      <w:divBdr>
        <w:top w:val="none" w:sz="0" w:space="0" w:color="auto"/>
        <w:left w:val="none" w:sz="0" w:space="0" w:color="auto"/>
        <w:bottom w:val="none" w:sz="0" w:space="0" w:color="auto"/>
        <w:right w:val="none" w:sz="0" w:space="0" w:color="auto"/>
      </w:divBdr>
    </w:div>
    <w:div w:id="1292785058">
      <w:bodyDiv w:val="1"/>
      <w:marLeft w:val="0"/>
      <w:marRight w:val="0"/>
      <w:marTop w:val="0"/>
      <w:marBottom w:val="0"/>
      <w:divBdr>
        <w:top w:val="none" w:sz="0" w:space="0" w:color="auto"/>
        <w:left w:val="none" w:sz="0" w:space="0" w:color="auto"/>
        <w:bottom w:val="none" w:sz="0" w:space="0" w:color="auto"/>
        <w:right w:val="none" w:sz="0" w:space="0" w:color="auto"/>
      </w:divBdr>
    </w:div>
    <w:div w:id="1562672704">
      <w:bodyDiv w:val="1"/>
      <w:marLeft w:val="0"/>
      <w:marRight w:val="0"/>
      <w:marTop w:val="0"/>
      <w:marBottom w:val="0"/>
      <w:divBdr>
        <w:top w:val="none" w:sz="0" w:space="0" w:color="auto"/>
        <w:left w:val="none" w:sz="0" w:space="0" w:color="auto"/>
        <w:bottom w:val="none" w:sz="0" w:space="0" w:color="auto"/>
        <w:right w:val="none" w:sz="0" w:space="0" w:color="auto"/>
      </w:divBdr>
    </w:div>
    <w:div w:id="1649088189">
      <w:bodyDiv w:val="1"/>
      <w:marLeft w:val="0"/>
      <w:marRight w:val="0"/>
      <w:marTop w:val="0"/>
      <w:marBottom w:val="0"/>
      <w:divBdr>
        <w:top w:val="none" w:sz="0" w:space="0" w:color="auto"/>
        <w:left w:val="none" w:sz="0" w:space="0" w:color="auto"/>
        <w:bottom w:val="none" w:sz="0" w:space="0" w:color="auto"/>
        <w:right w:val="none" w:sz="0" w:space="0" w:color="auto"/>
      </w:divBdr>
    </w:div>
    <w:div w:id="1719472815">
      <w:bodyDiv w:val="1"/>
      <w:marLeft w:val="0"/>
      <w:marRight w:val="0"/>
      <w:marTop w:val="0"/>
      <w:marBottom w:val="0"/>
      <w:divBdr>
        <w:top w:val="none" w:sz="0" w:space="0" w:color="auto"/>
        <w:left w:val="none" w:sz="0" w:space="0" w:color="auto"/>
        <w:bottom w:val="none" w:sz="0" w:space="0" w:color="auto"/>
        <w:right w:val="none" w:sz="0" w:space="0" w:color="auto"/>
      </w:divBdr>
      <w:divsChild>
        <w:div w:id="1161503077">
          <w:marLeft w:val="0"/>
          <w:marRight w:val="0"/>
          <w:marTop w:val="0"/>
          <w:marBottom w:val="0"/>
          <w:divBdr>
            <w:top w:val="none" w:sz="0" w:space="0" w:color="auto"/>
            <w:left w:val="none" w:sz="0" w:space="0" w:color="auto"/>
            <w:bottom w:val="none" w:sz="0" w:space="0" w:color="auto"/>
            <w:right w:val="none" w:sz="0" w:space="0" w:color="auto"/>
          </w:divBdr>
          <w:divsChild>
            <w:div w:id="40449473">
              <w:marLeft w:val="-30"/>
              <w:marRight w:val="0"/>
              <w:marTop w:val="0"/>
              <w:marBottom w:val="0"/>
              <w:divBdr>
                <w:top w:val="none" w:sz="0" w:space="0" w:color="auto"/>
                <w:left w:val="none" w:sz="0" w:space="0" w:color="auto"/>
                <w:bottom w:val="none" w:sz="0" w:space="0" w:color="auto"/>
                <w:right w:val="none" w:sz="0" w:space="0" w:color="auto"/>
              </w:divBdr>
            </w:div>
          </w:divsChild>
        </w:div>
        <w:div w:id="1037462070">
          <w:marLeft w:val="0"/>
          <w:marRight w:val="0"/>
          <w:marTop w:val="0"/>
          <w:marBottom w:val="0"/>
          <w:divBdr>
            <w:top w:val="none" w:sz="0" w:space="0" w:color="auto"/>
            <w:left w:val="none" w:sz="0" w:space="0" w:color="auto"/>
            <w:bottom w:val="none" w:sz="0" w:space="0" w:color="auto"/>
            <w:right w:val="none" w:sz="0" w:space="0" w:color="auto"/>
          </w:divBdr>
          <w:divsChild>
            <w:div w:id="110364781">
              <w:marLeft w:val="0"/>
              <w:marRight w:val="0"/>
              <w:marTop w:val="0"/>
              <w:marBottom w:val="0"/>
              <w:divBdr>
                <w:top w:val="none" w:sz="0" w:space="0" w:color="auto"/>
                <w:left w:val="none" w:sz="0" w:space="0" w:color="auto"/>
                <w:bottom w:val="none" w:sz="0" w:space="0" w:color="auto"/>
                <w:right w:val="none" w:sz="0" w:space="0" w:color="auto"/>
              </w:divBdr>
              <w:divsChild>
                <w:div w:id="554048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9877899">
          <w:marLeft w:val="0"/>
          <w:marRight w:val="0"/>
          <w:marTop w:val="0"/>
          <w:marBottom w:val="0"/>
          <w:divBdr>
            <w:top w:val="none" w:sz="0" w:space="0" w:color="auto"/>
            <w:left w:val="none" w:sz="0" w:space="0" w:color="auto"/>
            <w:bottom w:val="none" w:sz="0" w:space="0" w:color="auto"/>
            <w:right w:val="none" w:sz="0" w:space="0" w:color="auto"/>
          </w:divBdr>
          <w:divsChild>
            <w:div w:id="916478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3606430">
      <w:bodyDiv w:val="1"/>
      <w:marLeft w:val="0"/>
      <w:marRight w:val="0"/>
      <w:marTop w:val="0"/>
      <w:marBottom w:val="0"/>
      <w:divBdr>
        <w:top w:val="none" w:sz="0" w:space="0" w:color="auto"/>
        <w:left w:val="none" w:sz="0" w:space="0" w:color="auto"/>
        <w:bottom w:val="none" w:sz="0" w:space="0" w:color="auto"/>
        <w:right w:val="none" w:sz="0" w:space="0" w:color="auto"/>
      </w:divBdr>
    </w:div>
    <w:div w:id="2018145098">
      <w:bodyDiv w:val="1"/>
      <w:marLeft w:val="0"/>
      <w:marRight w:val="0"/>
      <w:marTop w:val="0"/>
      <w:marBottom w:val="0"/>
      <w:divBdr>
        <w:top w:val="none" w:sz="0" w:space="0" w:color="auto"/>
        <w:left w:val="none" w:sz="0" w:space="0" w:color="auto"/>
        <w:bottom w:val="none" w:sz="0" w:space="0" w:color="auto"/>
        <w:right w:val="none" w:sz="0" w:space="0" w:color="auto"/>
      </w:divBdr>
      <w:divsChild>
        <w:div w:id="1544094273">
          <w:marLeft w:val="0"/>
          <w:marRight w:val="0"/>
          <w:marTop w:val="0"/>
          <w:marBottom w:val="0"/>
          <w:divBdr>
            <w:top w:val="none" w:sz="0" w:space="0" w:color="auto"/>
            <w:left w:val="none" w:sz="0" w:space="0" w:color="auto"/>
            <w:bottom w:val="none" w:sz="0" w:space="0" w:color="auto"/>
            <w:right w:val="none" w:sz="0" w:space="0" w:color="auto"/>
          </w:divBdr>
          <w:divsChild>
            <w:div w:id="199516079">
              <w:marLeft w:val="0"/>
              <w:marRight w:val="0"/>
              <w:marTop w:val="0"/>
              <w:marBottom w:val="0"/>
              <w:divBdr>
                <w:top w:val="none" w:sz="0" w:space="0" w:color="auto"/>
                <w:left w:val="none" w:sz="0" w:space="0" w:color="auto"/>
                <w:bottom w:val="none" w:sz="0" w:space="0" w:color="auto"/>
                <w:right w:val="none" w:sz="0" w:space="0" w:color="auto"/>
              </w:divBdr>
              <w:divsChild>
                <w:div w:id="1934783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361E9B8-3727-472C-ABD5-014475206E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949</Words>
  <Characters>5410</Characters>
  <Application>Microsoft Office Word</Application>
  <DocSecurity>4</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marian rullan</dc:creator>
  <cp:keywords/>
  <dc:description/>
  <cp:lastModifiedBy>Camyl Moreno Pantojas</cp:lastModifiedBy>
  <cp:revision>2</cp:revision>
  <cp:lastPrinted>2025-05-07T19:41:00Z</cp:lastPrinted>
  <dcterms:created xsi:type="dcterms:W3CDTF">2025-05-08T15:15:00Z</dcterms:created>
  <dcterms:modified xsi:type="dcterms:W3CDTF">2025-05-08T15:15:00Z</dcterms:modified>
</cp:coreProperties>
</file>