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7777777"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574DB71"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Pr>
          <w:rFonts w:ascii="Book Antiqua" w:eastAsia="Book Antiqua" w:hAnsi="Book Antiqua" w:cs="Book Antiqua"/>
          <w:b/>
          <w:sz w:val="52"/>
          <w:szCs w:val="52"/>
        </w:rPr>
        <w:t>1</w:t>
      </w:r>
      <w:r w:rsidR="00B93150">
        <w:rPr>
          <w:rFonts w:ascii="Book Antiqua" w:eastAsia="Book Antiqua" w:hAnsi="Book Antiqua" w:cs="Book Antiqua"/>
          <w:b/>
          <w:sz w:val="52"/>
          <w:szCs w:val="52"/>
        </w:rPr>
        <w:t>2</w:t>
      </w:r>
      <w:r w:rsidR="006176E2">
        <w:rPr>
          <w:rFonts w:ascii="Book Antiqua" w:eastAsia="Book Antiqua" w:hAnsi="Book Antiqua" w:cs="Book Antiqua"/>
          <w:b/>
          <w:sz w:val="52"/>
          <w:szCs w:val="52"/>
        </w:rPr>
        <w:t>1</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23D20684" w:rsidR="00EE1E93" w:rsidRPr="00700566" w:rsidRDefault="002A6621" w:rsidP="00EE1E93">
      <w:pPr>
        <w:spacing w:line="360" w:lineRule="auto"/>
        <w:jc w:val="center"/>
        <w:rPr>
          <w:rFonts w:ascii="Book Antiqua" w:eastAsia="Book Antiqua" w:hAnsi="Book Antiqua" w:cs="Book Antiqua"/>
          <w:b/>
        </w:rPr>
      </w:pPr>
      <w:r>
        <w:rPr>
          <w:rFonts w:ascii="Book Antiqua" w:eastAsia="Book Antiqua" w:hAnsi="Book Antiqua" w:cs="Book Antiqua"/>
        </w:rPr>
        <w:t>23</w:t>
      </w:r>
      <w:r w:rsidR="00EE1E93" w:rsidRPr="00700566">
        <w:rPr>
          <w:rFonts w:ascii="Book Antiqua" w:eastAsia="Book Antiqua" w:hAnsi="Book Antiqua" w:cs="Book Antiqua"/>
        </w:rPr>
        <w:t xml:space="preserve"> de </w:t>
      </w:r>
      <w:r w:rsidR="00EE1E93">
        <w:rPr>
          <w:rFonts w:ascii="Book Antiqua" w:eastAsia="Book Antiqua" w:hAnsi="Book Antiqua" w:cs="Book Antiqua"/>
        </w:rPr>
        <w:t>junio</w:t>
      </w:r>
      <w:r w:rsidR="00EE1E93" w:rsidRPr="00700566">
        <w:rPr>
          <w:rFonts w:ascii="Book Antiqua" w:eastAsia="Book Antiqua" w:hAnsi="Book Antiqua" w:cs="Book Antiqua"/>
        </w:rPr>
        <w:t xml:space="preserve"> de 2025</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46F6D6C8"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R. C. de la C. </w:t>
      </w:r>
      <w:r>
        <w:rPr>
          <w:rFonts w:ascii="Book Antiqua" w:eastAsia="Book Antiqua" w:hAnsi="Book Antiqua" w:cs="Book Antiqua"/>
        </w:rPr>
        <w:t>Núm. 1</w:t>
      </w:r>
      <w:r w:rsidR="00B93150">
        <w:rPr>
          <w:rFonts w:ascii="Book Antiqua" w:eastAsia="Book Antiqua" w:hAnsi="Book Antiqua" w:cs="Book Antiqua"/>
        </w:rPr>
        <w:t>2</w:t>
      </w:r>
      <w:r w:rsidR="006176E2">
        <w:rPr>
          <w:rFonts w:ascii="Book Antiqua" w:eastAsia="Book Antiqua" w:hAnsi="Book Antiqua" w:cs="Book Antiqua"/>
        </w:rPr>
        <w:t>1</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A7A9B49" w14:textId="16E47CF6" w:rsidR="00EE1E93" w:rsidRPr="00700566" w:rsidRDefault="00EE1E93" w:rsidP="00EE1E93">
      <w:pPr>
        <w:ind w:firstLine="720"/>
        <w:jc w:val="both"/>
        <w:rPr>
          <w:rFonts w:ascii="Book Antiqua" w:eastAsia="Book Antiqua" w:hAnsi="Book Antiqua" w:cs="Book Antiqua"/>
          <w:szCs w:val="24"/>
        </w:rPr>
      </w:pPr>
      <w:r w:rsidRPr="00700566">
        <w:rPr>
          <w:rFonts w:ascii="Book Antiqua" w:eastAsia="Book Antiqua" w:hAnsi="Book Antiqua" w:cs="Book Antiqua"/>
          <w:szCs w:val="24"/>
        </w:rPr>
        <w:t xml:space="preserve">La Resolución Conjunta de la Cámara </w:t>
      </w:r>
      <w:r>
        <w:rPr>
          <w:rFonts w:ascii="Book Antiqua" w:eastAsia="Book Antiqua" w:hAnsi="Book Antiqua" w:cs="Book Antiqua"/>
          <w:szCs w:val="24"/>
        </w:rPr>
        <w:t>Núm. 1</w:t>
      </w:r>
      <w:r w:rsidR="007F09EB">
        <w:rPr>
          <w:rFonts w:ascii="Book Antiqua" w:eastAsia="Book Antiqua" w:hAnsi="Book Antiqua" w:cs="Book Antiqua"/>
          <w:szCs w:val="24"/>
        </w:rPr>
        <w:t>2</w:t>
      </w:r>
      <w:r w:rsidR="006176E2">
        <w:rPr>
          <w:rFonts w:ascii="Book Antiqua" w:eastAsia="Book Antiqua" w:hAnsi="Book Antiqua" w:cs="Book Antiqua"/>
          <w:szCs w:val="24"/>
        </w:rPr>
        <w:t>1</w:t>
      </w:r>
      <w:r w:rsidRPr="00700566">
        <w:rPr>
          <w:rFonts w:ascii="Book Antiqua" w:eastAsia="Book Antiqua" w:hAnsi="Book Antiqua" w:cs="Book Antiqua"/>
          <w:szCs w:val="24"/>
        </w:rPr>
        <w:t xml:space="preserve"> </w:t>
      </w:r>
      <w:r w:rsidR="003B154B" w:rsidRPr="003B154B">
        <w:rPr>
          <w:rFonts w:ascii="Book Antiqua" w:eastAsia="Book Antiqua" w:hAnsi="Book Antiqua" w:cs="Book Antiqua"/>
          <w:szCs w:val="24"/>
        </w:rPr>
        <w:t xml:space="preserve">tiene el propósito de ordenar al Departamento de Transportación y Obras Públicas (DTOP), a la Autoridad de Carreteras y Transportación (ACT) y al Municipio de Aguadilla a realizar la debida rotulación de varias vías públicas, incluyendo la intersección de la carretera PR-107 con la PR-111, Calle Agustín Stahl, la carretera PR-440 (Paseo Real Marina), la PR-4442, la PR-442 y el Paseo Cristóbal Colón, con el nombre de </w:t>
      </w:r>
      <w:r w:rsidR="004F5991">
        <w:rPr>
          <w:rFonts w:ascii="Book Antiqua" w:eastAsia="Book Antiqua" w:hAnsi="Book Antiqua" w:cs="Book Antiqua"/>
          <w:szCs w:val="24"/>
        </w:rPr>
        <w:t>“</w:t>
      </w:r>
      <w:r w:rsidR="003B154B" w:rsidRPr="003B154B">
        <w:rPr>
          <w:rFonts w:ascii="Book Antiqua" w:eastAsia="Book Antiqua" w:hAnsi="Book Antiqua" w:cs="Book Antiqua"/>
          <w:szCs w:val="24"/>
        </w:rPr>
        <w:t>Carlos Méndez Martínez</w:t>
      </w:r>
      <w:r w:rsidR="004F5991">
        <w:rPr>
          <w:rFonts w:ascii="Book Antiqua" w:eastAsia="Book Antiqua" w:hAnsi="Book Antiqua" w:cs="Book Antiqua"/>
          <w:szCs w:val="24"/>
        </w:rPr>
        <w:t>”</w:t>
      </w:r>
      <w:r w:rsidR="00435CD3">
        <w:rPr>
          <w:rFonts w:ascii="Book Antiqua" w:eastAsia="Book Antiqua" w:hAnsi="Book Antiqua" w:cs="Book Antiqua"/>
          <w:szCs w:val="24"/>
        </w:rPr>
        <w:t xml:space="preserve">, a tenor con lo ordenado en la Ley </w:t>
      </w:r>
      <w:r w:rsidR="00A84258">
        <w:rPr>
          <w:rFonts w:ascii="Book Antiqua" w:eastAsia="Book Antiqua" w:hAnsi="Book Antiqua" w:cs="Book Antiqua"/>
          <w:szCs w:val="24"/>
        </w:rPr>
        <w:t>Núm.</w:t>
      </w:r>
      <w:r w:rsidR="00435CD3">
        <w:rPr>
          <w:rFonts w:ascii="Book Antiqua" w:eastAsia="Book Antiqua" w:hAnsi="Book Antiqua" w:cs="Book Antiqua"/>
          <w:szCs w:val="24"/>
        </w:rPr>
        <w:t xml:space="preserve"> 97-2020, conocida </w:t>
      </w:r>
      <w:r w:rsidR="00A84258">
        <w:rPr>
          <w:rFonts w:ascii="Book Antiqua" w:eastAsia="Book Antiqua" w:hAnsi="Book Antiqua" w:cs="Book Antiqua"/>
          <w:szCs w:val="24"/>
        </w:rPr>
        <w:t>como “Ley Carlos Méndez Martínez”</w:t>
      </w:r>
      <w:r w:rsidR="003B154B" w:rsidRPr="003B154B">
        <w:rPr>
          <w:rFonts w:ascii="Book Antiqua" w:eastAsia="Book Antiqua" w:hAnsi="Book Antiqua" w:cs="Book Antiqua"/>
          <w:szCs w:val="24"/>
        </w:rPr>
        <w:t>.</w:t>
      </w:r>
    </w:p>
    <w:p w14:paraId="0CA41E9B" w14:textId="77777777" w:rsidR="00EE1E93" w:rsidRPr="00700566" w:rsidRDefault="00EE1E93" w:rsidP="00EE1E93">
      <w:pPr>
        <w:ind w:firstLine="720"/>
        <w:jc w:val="both"/>
        <w:rPr>
          <w:rFonts w:ascii="Book Antiqua" w:eastAsia="Helvetica Neue" w:hAnsi="Book Antiqua" w:cs="Helvetica Neue"/>
          <w:color w:val="313131"/>
          <w:szCs w:val="24"/>
        </w:rPr>
      </w:pPr>
    </w:p>
    <w:p w14:paraId="78654AA0" w14:textId="034F6618" w:rsidR="00EE1E93" w:rsidRDefault="00EE1E93" w:rsidP="007829B7">
      <w:pPr>
        <w:ind w:firstLine="720"/>
        <w:jc w:val="both"/>
        <w:rPr>
          <w:rFonts w:ascii="Book Antiqua" w:eastAsia="Book Antiqua" w:hAnsi="Book Antiqua" w:cs="Book Antiqua"/>
          <w:szCs w:val="24"/>
          <w:lang w:val="es-PR"/>
        </w:rPr>
      </w:pPr>
      <w:r w:rsidRPr="002E6DD3">
        <w:rPr>
          <w:rFonts w:ascii="Book Antiqua" w:eastAsia="Book Antiqua" w:hAnsi="Book Antiqua" w:cs="Book Antiqua"/>
          <w:szCs w:val="24"/>
          <w:lang w:val="es-PR"/>
        </w:rPr>
        <w:t xml:space="preserve">Según la exposición de motivos, </w:t>
      </w:r>
      <w:r w:rsidR="00C20701">
        <w:rPr>
          <w:rFonts w:ascii="Book Antiqua" w:eastAsia="Book Antiqua" w:hAnsi="Book Antiqua" w:cs="Book Antiqua"/>
          <w:szCs w:val="24"/>
          <w:lang w:val="es-PR"/>
        </w:rPr>
        <w:t>e</w:t>
      </w:r>
      <w:r w:rsidR="00C20701" w:rsidRPr="00C20701">
        <w:rPr>
          <w:rFonts w:ascii="Book Antiqua" w:eastAsia="Book Antiqua" w:hAnsi="Book Antiqua" w:cs="Book Antiqua"/>
          <w:szCs w:val="24"/>
          <w:lang w:val="es-PR"/>
        </w:rPr>
        <w:t xml:space="preserve">sta medida responde a la Ley Núm. 97-2020, conocida como </w:t>
      </w:r>
      <w:r w:rsidR="007829B7">
        <w:rPr>
          <w:rFonts w:ascii="Book Antiqua" w:eastAsia="Book Antiqua" w:hAnsi="Book Antiqua" w:cs="Book Antiqua"/>
          <w:szCs w:val="24"/>
          <w:lang w:val="es-PR"/>
        </w:rPr>
        <w:t>“</w:t>
      </w:r>
      <w:r w:rsidR="00C20701" w:rsidRPr="00C20701">
        <w:rPr>
          <w:rFonts w:ascii="Book Antiqua" w:eastAsia="Book Antiqua" w:hAnsi="Book Antiqua" w:cs="Book Antiqua"/>
          <w:szCs w:val="24"/>
          <w:lang w:val="es-PR"/>
        </w:rPr>
        <w:t>Ley Carlos Méndez Martínez</w:t>
      </w:r>
      <w:r w:rsidR="007829B7">
        <w:rPr>
          <w:rFonts w:ascii="Book Antiqua" w:eastAsia="Book Antiqua" w:hAnsi="Book Antiqua" w:cs="Book Antiqua"/>
          <w:szCs w:val="24"/>
          <w:lang w:val="es-PR"/>
        </w:rPr>
        <w:t>”</w:t>
      </w:r>
      <w:r w:rsidR="00C20701" w:rsidRPr="00C20701">
        <w:rPr>
          <w:rFonts w:ascii="Book Antiqua" w:eastAsia="Book Antiqua" w:hAnsi="Book Antiqua" w:cs="Book Antiqua"/>
          <w:szCs w:val="24"/>
          <w:lang w:val="es-PR"/>
        </w:rPr>
        <w:t xml:space="preserve">, que fue aprobada el 8 de agosto de 2020 por la Asamblea Legislativa como reconocimiento a la ejecutoria pública del exalcalde de Aguadilla, Carlos Méndez Martínez. La </w:t>
      </w:r>
      <w:r w:rsidR="007829B7">
        <w:rPr>
          <w:rFonts w:ascii="Book Antiqua" w:eastAsia="Book Antiqua" w:hAnsi="Book Antiqua" w:cs="Book Antiqua"/>
          <w:szCs w:val="24"/>
          <w:lang w:val="es-PR"/>
        </w:rPr>
        <w:t>L</w:t>
      </w:r>
      <w:r w:rsidR="00C20701" w:rsidRPr="00C20701">
        <w:rPr>
          <w:rFonts w:ascii="Book Antiqua" w:eastAsia="Book Antiqua" w:hAnsi="Book Antiqua" w:cs="Book Antiqua"/>
          <w:szCs w:val="24"/>
          <w:lang w:val="es-PR"/>
        </w:rPr>
        <w:t>ey ordena dicha designación en virtud del impacto de su gestión administrativa, destacando su desempeño en el desarrollo de infraestructura emblemática como el Paseo Real Marina, y su contribución al bienestar económico y social del municipio.</w:t>
      </w:r>
    </w:p>
    <w:p w14:paraId="323BCEB6" w14:textId="77777777" w:rsidR="00F2111F" w:rsidRDefault="00F2111F" w:rsidP="007829B7">
      <w:pPr>
        <w:ind w:firstLine="720"/>
        <w:jc w:val="both"/>
        <w:rPr>
          <w:rFonts w:ascii="Book Antiqua" w:eastAsia="Book Antiqua" w:hAnsi="Book Antiqua" w:cs="Book Antiqua"/>
          <w:szCs w:val="24"/>
          <w:lang w:val="es-PR"/>
        </w:rPr>
      </w:pPr>
    </w:p>
    <w:p w14:paraId="34952A44" w14:textId="434D4F22" w:rsidR="00F2111F" w:rsidRPr="000A0BC8" w:rsidRDefault="00F95F42" w:rsidP="007829B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Finaliza indicando que </w:t>
      </w:r>
      <w:r w:rsidR="004B0A75">
        <w:rPr>
          <w:rFonts w:ascii="Book Antiqua" w:eastAsia="Book Antiqua" w:hAnsi="Book Antiqua" w:cs="Book Antiqua"/>
          <w:szCs w:val="24"/>
          <w:lang w:val="es-PR"/>
        </w:rPr>
        <w:t>esta</w:t>
      </w:r>
      <w:r w:rsidR="000C4FBD">
        <w:rPr>
          <w:rFonts w:ascii="Book Antiqua" w:eastAsia="Book Antiqua" w:hAnsi="Book Antiqua" w:cs="Book Antiqua"/>
          <w:szCs w:val="24"/>
          <w:lang w:val="es-PR"/>
        </w:rPr>
        <w:t xml:space="preserve"> </w:t>
      </w:r>
      <w:r w:rsidR="000C4FBD" w:rsidRPr="000C4FBD">
        <w:rPr>
          <w:rFonts w:ascii="Book Antiqua" w:eastAsia="Book Antiqua" w:hAnsi="Book Antiqua" w:cs="Book Antiqua"/>
          <w:szCs w:val="24"/>
        </w:rPr>
        <w:t xml:space="preserve">Asamblea Legislativa reconoce que actualmente no hay rotulación que refleje la designación oficial del Paseo y las carreteras con el nombre </w:t>
      </w:r>
      <w:r w:rsidR="000C4FBD" w:rsidRPr="000C4FBD">
        <w:rPr>
          <w:rFonts w:ascii="Book Antiqua" w:eastAsia="Book Antiqua" w:hAnsi="Book Antiqua" w:cs="Book Antiqua"/>
          <w:szCs w:val="24"/>
        </w:rPr>
        <w:lastRenderedPageBreak/>
        <w:t>de Carlos Méndez Martínez. Por ello, mediante esta Resolución Conjunta, se ordena al Departamento de Transportación y Obras Públicas y a la Autoridad de Carreteras y Transportación cumplir con la Ley Núm. 97-2020 y proceder con</w:t>
      </w:r>
      <w:r w:rsidR="00135F33">
        <w:rPr>
          <w:rFonts w:ascii="Book Antiqua" w:eastAsia="Book Antiqua" w:hAnsi="Book Antiqua" w:cs="Book Antiqua"/>
          <w:szCs w:val="24"/>
        </w:rPr>
        <w:t xml:space="preserve"> la debida</w:t>
      </w:r>
      <w:r w:rsidR="000C4FBD" w:rsidRPr="000C4FBD">
        <w:rPr>
          <w:rFonts w:ascii="Book Antiqua" w:eastAsia="Book Antiqua" w:hAnsi="Book Antiqua" w:cs="Book Antiqua"/>
          <w:szCs w:val="24"/>
        </w:rPr>
        <w:t xml:space="preserve"> </w:t>
      </w:r>
      <w:r w:rsidR="00135F33" w:rsidRPr="000C4FBD">
        <w:rPr>
          <w:rFonts w:ascii="Book Antiqua" w:eastAsia="Book Antiqua" w:hAnsi="Book Antiqua" w:cs="Book Antiqua"/>
          <w:szCs w:val="24"/>
        </w:rPr>
        <w:t>rotu</w:t>
      </w:r>
      <w:r w:rsidR="00135F33">
        <w:rPr>
          <w:rFonts w:ascii="Book Antiqua" w:eastAsia="Book Antiqua" w:hAnsi="Book Antiqua" w:cs="Book Antiqua"/>
          <w:szCs w:val="24"/>
        </w:rPr>
        <w:t>lación</w:t>
      </w:r>
      <w:r w:rsidR="000C4FBD" w:rsidRPr="000C4FBD">
        <w:rPr>
          <w:rFonts w:ascii="Book Antiqua" w:eastAsia="Book Antiqua" w:hAnsi="Book Antiqua" w:cs="Book Antiqua"/>
          <w:szCs w:val="24"/>
        </w:rPr>
        <w:t xml:space="preserve"> correspondiente para honrar al exalcalde.</w:t>
      </w:r>
    </w:p>
    <w:p w14:paraId="60ECCD0A" w14:textId="77777777" w:rsidR="00EE1E93" w:rsidRPr="002E6DD3" w:rsidRDefault="00EE1E93" w:rsidP="00EE1E93">
      <w:pPr>
        <w:jc w:val="both"/>
        <w:rPr>
          <w:rFonts w:ascii="Book Antiqua" w:eastAsia="Book Antiqua" w:hAnsi="Book Antiqua" w:cs="Book Antiqua"/>
          <w:szCs w:val="24"/>
          <w:lang w:val="es-PR"/>
        </w:rPr>
      </w:pP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6D45E62A"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Pr>
          <w:rFonts w:ascii="Book Antiqua" w:eastAsia="Book Antiqua" w:hAnsi="Book Antiqua" w:cs="Book Antiqua"/>
        </w:rPr>
        <w:t>1</w:t>
      </w:r>
      <w:r w:rsidR="007F09EB">
        <w:rPr>
          <w:rFonts w:ascii="Book Antiqua" w:eastAsia="Book Antiqua" w:hAnsi="Book Antiqua" w:cs="Book Antiqua"/>
        </w:rPr>
        <w:t>2</w:t>
      </w:r>
      <w:r w:rsidR="00883EFF">
        <w:rPr>
          <w:rFonts w:ascii="Book Antiqua" w:eastAsia="Book Antiqua" w:hAnsi="Book Antiqua" w:cs="Book Antiqua"/>
        </w:rPr>
        <w:t>1</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Pr>
          <w:rFonts w:ascii="Book Antiqua" w:eastAsia="Book Antiqua" w:hAnsi="Book Antiqua" w:cs="Book Antiqua"/>
        </w:rPr>
        <w:t>l Departamento de Transportación y Obras Públicas (DTOP)</w:t>
      </w:r>
      <w:r w:rsidR="00C569CA">
        <w:rPr>
          <w:rFonts w:ascii="Book Antiqua" w:eastAsia="Book Antiqua" w:hAnsi="Book Antiqua" w:cs="Book Antiqua"/>
        </w:rPr>
        <w:t xml:space="preserve">, Municipio de Aguadilla </w:t>
      </w:r>
      <w:r w:rsidR="00883EFF">
        <w:rPr>
          <w:rFonts w:ascii="Book Antiqua" w:eastAsia="Book Antiqua" w:hAnsi="Book Antiqua" w:cs="Book Antiqua"/>
        </w:rPr>
        <w:t>y la Oficina de Servicios Legislativos (OSL)</w:t>
      </w:r>
      <w:r w:rsidRPr="001E16CE">
        <w:rPr>
          <w:rFonts w:ascii="Book Antiqua" w:eastAsia="Book Antiqua" w:hAnsi="Book Antiqua" w:cs="Book Antiqua"/>
        </w:rPr>
        <w:t>.</w:t>
      </w:r>
      <w:r>
        <w:rPr>
          <w:rFonts w:ascii="Book Antiqua" w:eastAsia="Book Antiqua" w:hAnsi="Book Antiqua" w:cs="Book Antiqua"/>
        </w:rPr>
        <w:t xml:space="preserve"> </w:t>
      </w:r>
      <w:r w:rsidR="00883EFF">
        <w:rPr>
          <w:rFonts w:ascii="Book Antiqua" w:eastAsia="Book Antiqua" w:hAnsi="Book Antiqua" w:cs="Book Antiqua"/>
        </w:rPr>
        <w:t xml:space="preserve">Al momento de la redacción de este informe </w:t>
      </w:r>
      <w:r w:rsidR="00D2560B">
        <w:rPr>
          <w:rFonts w:ascii="Book Antiqua" w:eastAsia="Book Antiqua" w:hAnsi="Book Antiqua" w:cs="Book Antiqua"/>
        </w:rPr>
        <w:t xml:space="preserve">solo recibimos los comentarios y análisis de OSL.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5FE76EF9" w:rsidR="00EE1E93" w:rsidRPr="001E16CE" w:rsidRDefault="00EE1E93" w:rsidP="00EE1E93">
      <w:pPr>
        <w:ind w:firstLine="720"/>
        <w:rPr>
          <w:rFonts w:ascii="Book Antiqua" w:eastAsia="Book Antiqua" w:hAnsi="Book Antiqua" w:cs="Book Antiqua"/>
        </w:rPr>
      </w:pPr>
      <w:r>
        <w:rPr>
          <w:rFonts w:ascii="Book Antiqua" w:eastAsia="Book Antiqua" w:hAnsi="Book Antiqua" w:cs="Book Antiqua"/>
          <w:b/>
          <w:bCs/>
        </w:rPr>
        <w:t xml:space="preserve">              </w:t>
      </w:r>
      <w:r w:rsidR="00D2560B">
        <w:rPr>
          <w:rFonts w:ascii="Book Antiqua" w:eastAsia="Book Antiqua" w:hAnsi="Book Antiqua" w:cs="Book Antiqua"/>
          <w:b/>
          <w:bCs/>
        </w:rPr>
        <w:t xml:space="preserve">                </w:t>
      </w:r>
      <w:r w:rsidR="00D2560B">
        <w:rPr>
          <w:rFonts w:ascii="Book Antiqua" w:eastAsia="Book Antiqua" w:hAnsi="Book Antiqua" w:cs="Book Antiqua"/>
          <w:b/>
          <w:bCs/>
          <w:u w:val="single"/>
        </w:rPr>
        <w:t>Oficina de Servicios Legislativos (OSL)</w:t>
      </w:r>
      <w:r>
        <w:rPr>
          <w:rFonts w:ascii="Book Antiqua" w:eastAsia="Book Antiqua" w:hAnsi="Book Antiqua" w:cs="Book Antiqua"/>
          <w:b/>
          <w:bCs/>
          <w:u w:val="single"/>
        </w:rPr>
        <w:t xml:space="preserve"> </w:t>
      </w:r>
    </w:p>
    <w:p w14:paraId="7A922099" w14:textId="77777777" w:rsidR="00EE1E93" w:rsidRDefault="00EE1E93" w:rsidP="00EE1E93">
      <w:pPr>
        <w:ind w:firstLine="720"/>
        <w:jc w:val="both"/>
        <w:rPr>
          <w:rFonts w:ascii="Book Antiqua" w:eastAsia="Book Antiqua" w:hAnsi="Book Antiqua" w:cs="Book Antiqua"/>
        </w:rPr>
      </w:pPr>
    </w:p>
    <w:p w14:paraId="70F859F5" w14:textId="0340E286" w:rsidR="0053579A" w:rsidRDefault="0053579A" w:rsidP="0053579A">
      <w:pPr>
        <w:ind w:firstLine="720"/>
        <w:jc w:val="both"/>
        <w:rPr>
          <w:rFonts w:ascii="Book Antiqua" w:eastAsia="Helvetica Neue" w:hAnsi="Book Antiqua" w:cs="Helvetica Neue"/>
          <w:color w:val="313131"/>
          <w:lang w:val="es-PR"/>
        </w:rPr>
      </w:pPr>
      <w:r w:rsidRPr="0053579A">
        <w:rPr>
          <w:rFonts w:ascii="Book Antiqua" w:eastAsia="Helvetica Neue" w:hAnsi="Book Antiqua" w:cs="Helvetica Neue"/>
          <w:b/>
          <w:bCs/>
          <w:color w:val="313131"/>
          <w:lang w:val="es-PR"/>
        </w:rPr>
        <w:t xml:space="preserve">La Oficina de Servicios Legislativos (OSL) expresó que no existe impedimento legal para la aprobación de esta </w:t>
      </w:r>
      <w:r w:rsidR="00C05CA7">
        <w:rPr>
          <w:rFonts w:ascii="Book Antiqua" w:eastAsia="Helvetica Neue" w:hAnsi="Book Antiqua" w:cs="Helvetica Neue"/>
          <w:b/>
          <w:bCs/>
          <w:color w:val="313131"/>
          <w:lang w:val="es-PR"/>
        </w:rPr>
        <w:t>Resolución Conjunta Núm. 121</w:t>
      </w:r>
      <w:r w:rsidRPr="0053579A">
        <w:rPr>
          <w:rFonts w:ascii="Book Antiqua" w:eastAsia="Helvetica Neue" w:hAnsi="Book Antiqua" w:cs="Helvetica Neue"/>
          <w:color w:val="313131"/>
          <w:lang w:val="es-PR"/>
        </w:rPr>
        <w:t>, toda vez que se encuentra dentro de las facultades constitucionales de la Asamblea Legislativa. Las resoluciones conjuntas, aunque no forman parte de los estatutos permanentes, tienen fuerza de ley una vez aprobadas y firmadas por el Gobernador o Gobernadora de Puerto Rico, y mantienen su vigencia hasta que se cumpla el propósito para el cual fueron emitidas.</w:t>
      </w:r>
    </w:p>
    <w:p w14:paraId="0354C752" w14:textId="77777777" w:rsidR="0053579A" w:rsidRPr="0053579A" w:rsidRDefault="0053579A" w:rsidP="0053579A">
      <w:pPr>
        <w:ind w:firstLine="720"/>
        <w:jc w:val="both"/>
        <w:rPr>
          <w:rFonts w:ascii="Book Antiqua" w:eastAsia="Helvetica Neue" w:hAnsi="Book Antiqua" w:cs="Helvetica Neue"/>
          <w:color w:val="313131"/>
          <w:lang w:val="es-PR"/>
        </w:rPr>
      </w:pPr>
    </w:p>
    <w:p w14:paraId="02A00E15" w14:textId="0CD290EB" w:rsidR="0053579A" w:rsidRDefault="0053579A" w:rsidP="0053579A">
      <w:pPr>
        <w:ind w:firstLine="720"/>
        <w:jc w:val="both"/>
        <w:rPr>
          <w:rFonts w:ascii="Book Antiqua" w:eastAsia="Helvetica Neue" w:hAnsi="Book Antiqua" w:cs="Helvetica Neue"/>
          <w:color w:val="313131"/>
          <w:lang w:val="es-PR"/>
        </w:rPr>
      </w:pPr>
      <w:r w:rsidRPr="0053579A">
        <w:rPr>
          <w:rFonts w:ascii="Book Antiqua" w:eastAsia="Helvetica Neue" w:hAnsi="Book Antiqua" w:cs="Helvetica Neue"/>
          <w:color w:val="313131"/>
          <w:lang w:val="es-PR"/>
        </w:rPr>
        <w:t>OSL señaló que, a diferencia de los proyectos de ley, las resoluciones conjuntas permiten a la Asamblea ordenar acciones específicas a agencias del Ejecutivo, como lo es la rotulación de vías públicas. Al haberse eliminado la Comisión Denominadora de Estructuras y Vías Públicas mediante la Ley Núm. 55-2021, la Asamblea</w:t>
      </w:r>
      <w:r w:rsidR="00634838">
        <w:rPr>
          <w:rFonts w:ascii="Book Antiqua" w:eastAsia="Helvetica Neue" w:hAnsi="Book Antiqua" w:cs="Helvetica Neue"/>
          <w:color w:val="313131"/>
          <w:lang w:val="es-PR"/>
        </w:rPr>
        <w:t xml:space="preserve"> Le</w:t>
      </w:r>
      <w:r w:rsidR="00A23A7C">
        <w:rPr>
          <w:rFonts w:ascii="Book Antiqua" w:eastAsia="Helvetica Neue" w:hAnsi="Book Antiqua" w:cs="Helvetica Neue"/>
          <w:color w:val="313131"/>
          <w:lang w:val="es-PR"/>
        </w:rPr>
        <w:t>gislativa</w:t>
      </w:r>
      <w:r w:rsidRPr="0053579A">
        <w:rPr>
          <w:rFonts w:ascii="Book Antiqua" w:eastAsia="Helvetica Neue" w:hAnsi="Book Antiqua" w:cs="Helvetica Neue"/>
          <w:color w:val="313131"/>
          <w:lang w:val="es-PR"/>
        </w:rPr>
        <w:t xml:space="preserve"> puede disponer directamente sobre la rotulación en vías estatales. Esta facultad permite a la Asamblea dar seguimiento a lo dispuesto por la Ley Núm. 97-2020, que ordena la designación del nombre de Carlos Méndez Martínez a las vías previamente identificadas.</w:t>
      </w:r>
    </w:p>
    <w:p w14:paraId="5736EA3C" w14:textId="77777777" w:rsidR="0053579A" w:rsidRPr="0053579A" w:rsidRDefault="0053579A" w:rsidP="0053579A">
      <w:pPr>
        <w:ind w:firstLine="720"/>
        <w:jc w:val="both"/>
        <w:rPr>
          <w:rFonts w:ascii="Book Antiqua" w:eastAsia="Helvetica Neue" w:hAnsi="Book Antiqua" w:cs="Helvetica Neue"/>
          <w:color w:val="313131"/>
          <w:lang w:val="es-PR"/>
        </w:rPr>
      </w:pPr>
    </w:p>
    <w:p w14:paraId="5148FBB1" w14:textId="77777777" w:rsidR="0053579A" w:rsidRPr="0053579A" w:rsidRDefault="0053579A" w:rsidP="00634838">
      <w:pPr>
        <w:ind w:firstLine="720"/>
        <w:jc w:val="both"/>
        <w:rPr>
          <w:rFonts w:ascii="Book Antiqua" w:eastAsia="Helvetica Neue" w:hAnsi="Book Antiqua" w:cs="Helvetica Neue"/>
          <w:color w:val="313131"/>
          <w:lang w:val="es-PR"/>
        </w:rPr>
      </w:pPr>
      <w:r w:rsidRPr="0053579A">
        <w:rPr>
          <w:rFonts w:ascii="Book Antiqua" w:eastAsia="Helvetica Neue" w:hAnsi="Book Antiqua" w:cs="Helvetica Neue"/>
          <w:color w:val="313131"/>
          <w:lang w:val="es-PR"/>
        </w:rPr>
        <w:t>Asimismo, la OSL subraya que la resolución en análisis procura el cumplimiento de un mandato legislativo aún vigente. La ausencia de rotulación al presente, a pesar del mandato de la Ley Núm. 97-2020, justifica el uso de esta medida como instrumento legislativo válido. La Asamblea puede ejercer su poder de fiscalización y supervisión sobre las agencias encargadas para asegurar el cumplimiento de dicha ley.</w:t>
      </w:r>
    </w:p>
    <w:p w14:paraId="7E0B6BA9" w14:textId="77777777" w:rsidR="00EE1E93" w:rsidRPr="00FD0780" w:rsidRDefault="00EE1E93" w:rsidP="00EE1E93">
      <w:pPr>
        <w:jc w:val="both"/>
        <w:rPr>
          <w:rFonts w:ascii="Book Antiqua" w:eastAsia="Helvetica Neue" w:hAnsi="Book Antiqua" w:cs="Helvetica Neue"/>
          <w:b/>
          <w:bCs/>
          <w:color w:val="313131"/>
          <w:lang w:val="es-PR"/>
        </w:rPr>
      </w:pPr>
    </w:p>
    <w:p w14:paraId="5F136EE3" w14:textId="6FBB9E46" w:rsidR="00EE1E93" w:rsidRPr="00CE0779"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 xml:space="preserve">Según se desprende de los comentarios recibidos de las agencias gubernamentales, no fue posible determinar un impacto fiscal asociado a esta medida. Por tanto, esta </w:t>
      </w:r>
      <w:r w:rsidRPr="00266B2F">
        <w:rPr>
          <w:rFonts w:ascii="Book Antiqua" w:eastAsia="Helvetica Neue" w:hAnsi="Book Antiqua" w:cs="Helvetica Neue"/>
          <w:bCs/>
          <w:color w:val="313131"/>
        </w:rPr>
        <w:lastRenderedPageBreak/>
        <w:t>Comisión concluye que la misma no representa un impacto fiscal adicional sobre el presupuesto de gastos del Gobierno proveniente del Fondo General.</w:t>
      </w:r>
    </w:p>
    <w:p w14:paraId="12325C3C" w14:textId="77777777" w:rsidR="00EE1E93" w:rsidRPr="004277D8" w:rsidRDefault="00EE1E93" w:rsidP="00EE1E93">
      <w:pPr>
        <w:jc w:val="both"/>
        <w:rPr>
          <w:rFonts w:ascii="Book Antiqua" w:eastAsia="Helvetica Neue" w:hAnsi="Book Antiqua" w:cs="Helvetica Neue"/>
          <w:color w:val="313131"/>
        </w:rPr>
      </w:pPr>
    </w:p>
    <w:p w14:paraId="31091AE1" w14:textId="77777777" w:rsidR="00EE1E93" w:rsidRDefault="00EE1E93" w:rsidP="00EE1E93">
      <w:pPr>
        <w:jc w:val="center"/>
        <w:rPr>
          <w:rFonts w:ascii="Book Antiqua" w:eastAsia="Book Antiqua" w:hAnsi="Book Antiqua" w:cs="Book Antiqua"/>
          <w:b/>
        </w:rPr>
      </w:pPr>
    </w:p>
    <w:p w14:paraId="4558F33E"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41D5D66B" w14:textId="09AAB7D5" w:rsidR="00D56842" w:rsidRPr="00D56842" w:rsidRDefault="00EE1E93" w:rsidP="00D56842">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uego de examinar el contenido y el propósito de la Resolución Conjunta de la Cámara Núm. 1</w:t>
      </w:r>
      <w:r w:rsidR="007F09EB">
        <w:rPr>
          <w:rFonts w:ascii="Book Antiqua" w:eastAsia="Book Antiqua" w:hAnsi="Book Antiqua" w:cs="Book Antiqua"/>
          <w:lang w:val="es-PR"/>
        </w:rPr>
        <w:t>2</w:t>
      </w:r>
      <w:r w:rsidR="0067754D">
        <w:rPr>
          <w:rFonts w:ascii="Book Antiqua" w:eastAsia="Book Antiqua" w:hAnsi="Book Antiqua" w:cs="Book Antiqua"/>
          <w:lang w:val="es-PR"/>
        </w:rPr>
        <w:t>1</w:t>
      </w:r>
      <w:r w:rsidRPr="00222393">
        <w:rPr>
          <w:rFonts w:ascii="Book Antiqua" w:eastAsia="Book Antiqua" w:hAnsi="Book Antiqua" w:cs="Book Antiqua"/>
          <w:lang w:val="es-PR"/>
        </w:rPr>
        <w:t xml:space="preserve">, </w:t>
      </w:r>
      <w:r w:rsidRPr="008B1D55">
        <w:rPr>
          <w:rFonts w:ascii="Book Antiqua" w:eastAsia="Book Antiqua" w:hAnsi="Book Antiqua" w:cs="Book Antiqua"/>
        </w:rPr>
        <w:t xml:space="preserve">concluye que </w:t>
      </w:r>
      <w:r w:rsidR="00D56842" w:rsidRPr="00D56842">
        <w:rPr>
          <w:rFonts w:ascii="Book Antiqua" w:eastAsia="Book Antiqua" w:hAnsi="Book Antiqua" w:cs="Book Antiqua"/>
          <w:lang w:val="es-PR"/>
        </w:rPr>
        <w:t>la aprobación</w:t>
      </w:r>
      <w:r w:rsidR="00D56842">
        <w:rPr>
          <w:rFonts w:ascii="Book Antiqua" w:eastAsia="Book Antiqua" w:hAnsi="Book Antiqua" w:cs="Book Antiqua"/>
          <w:lang w:val="es-PR"/>
        </w:rPr>
        <w:t xml:space="preserve"> de esta medida</w:t>
      </w:r>
      <w:r w:rsidR="00D56842" w:rsidRPr="00D56842">
        <w:rPr>
          <w:rFonts w:ascii="Book Antiqua" w:eastAsia="Book Antiqua" w:hAnsi="Book Antiqua" w:cs="Book Antiqua"/>
          <w:lang w:val="es-PR"/>
        </w:rPr>
        <w:t xml:space="preserve"> como mecanismo legislativo válido y necesario para asegurar el cumplimiento de la Ley Núm. 97-2020. En tanto que reconoce la trayectoria de servicio público del exalcalde Carlos Méndez Martínez. La Oficina de Servicios Legislativos recomienda su aprobación, al no existir impedimento legal, y reitera que la Asamblea tiene la facultad para ordenar directamente la rotulación requerida mediante esta resolución conjunta.</w:t>
      </w:r>
    </w:p>
    <w:p w14:paraId="4FB5A14A" w14:textId="77777777" w:rsidR="00EE1E93" w:rsidRPr="00700566" w:rsidRDefault="00EE1E93" w:rsidP="00EE1E93">
      <w:pPr>
        <w:jc w:val="both"/>
        <w:rPr>
          <w:rFonts w:ascii="Book Antiqua" w:eastAsia="Book Antiqua" w:hAnsi="Book Antiqua" w:cs="Book Antiqua"/>
        </w:rPr>
      </w:pPr>
    </w:p>
    <w:p w14:paraId="05F96B97" w14:textId="75CF16AD"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 la R. C. de la C. Núm. 1</w:t>
      </w:r>
      <w:r w:rsidR="007F09EB">
        <w:rPr>
          <w:rFonts w:ascii="Book Antiqua" w:eastAsia="Book Antiqua" w:hAnsi="Book Antiqua" w:cs="Book Antiqua"/>
        </w:rPr>
        <w:t>2</w:t>
      </w:r>
      <w:r w:rsidR="0067754D">
        <w:rPr>
          <w:rFonts w:ascii="Book Antiqua" w:eastAsia="Book Antiqua" w:hAnsi="Book Antiqua" w:cs="Book Antiqua"/>
        </w:rPr>
        <w:t>1</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48E57" w14:textId="77777777" w:rsidR="005A198E" w:rsidRDefault="005A198E">
      <w:r>
        <w:separator/>
      </w:r>
    </w:p>
  </w:endnote>
  <w:endnote w:type="continuationSeparator" w:id="0">
    <w:p w14:paraId="5F87F602" w14:textId="77777777" w:rsidR="005A198E" w:rsidRDefault="005A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F73AF88-6294-4E49-8D19-4DFDEC283512}"/>
  </w:font>
  <w:font w:name="Helvetica">
    <w:panose1 w:val="020B0604020202020204"/>
    <w:charset w:val="00"/>
    <w:family w:val="auto"/>
    <w:notTrueType/>
    <w:pitch w:val="variable"/>
    <w:sig w:usb0="E00002FF" w:usb1="5000785B" w:usb2="00000000" w:usb3="00000000" w:csb0="0000019F" w:csb1="00000000"/>
    <w:embedRegular r:id="rId2" w:fontKey="{BC4C0260-1A0E-4DDD-B37A-21A05A4D34B1}"/>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4F6BA0F8-49FA-4273-9FDA-3DC62E8B51A6}"/>
  </w:font>
  <w:font w:name="Georgia">
    <w:panose1 w:val="02040502050405020303"/>
    <w:charset w:val="00"/>
    <w:family w:val="roman"/>
    <w:pitch w:val="variable"/>
    <w:sig w:usb0="00000287" w:usb1="00000000" w:usb2="00000000" w:usb3="00000000" w:csb0="0000009F" w:csb1="00000000"/>
    <w:embedRegular r:id="rId4" w:fontKey="{40397563-BB1D-4FE5-A27D-64BECB681688}"/>
    <w:embedItalic r:id="rId5" w:fontKey="{7F008274-1757-466B-A0EA-FD4DB3151131}"/>
  </w:font>
  <w:font w:name="Book Antiqua">
    <w:panose1 w:val="02040602050305030304"/>
    <w:charset w:val="00"/>
    <w:family w:val="roman"/>
    <w:pitch w:val="variable"/>
    <w:sig w:usb0="00000287" w:usb1="00000000" w:usb2="00000000" w:usb3="00000000" w:csb0="0000009F" w:csb1="00000000"/>
    <w:embedRegular r:id="rId6" w:fontKey="{F8DB28E8-D264-4444-9349-25287774FC29}"/>
    <w:embedBold r:id="rId7" w:fontKey="{1BC1134D-5762-48A0-990A-F5D97F10EB6E}"/>
  </w:font>
  <w:font w:name="Helvetica Neue">
    <w:charset w:val="00"/>
    <w:family w:val="auto"/>
    <w:pitch w:val="default"/>
    <w:embedRegular r:id="rId8" w:fontKey="{971C21FF-2D65-4BC4-B1A9-19AFC9EC309A}"/>
    <w:embedBold r:id="rId9" w:fontKey="{3D5606BA-C386-424A-B40D-65C6969CA2E8}"/>
  </w:font>
  <w:font w:name="Lustria">
    <w:altName w:val="Calibri"/>
    <w:charset w:val="00"/>
    <w:family w:val="auto"/>
    <w:pitch w:val="default"/>
    <w:embedRegular r:id="rId10" w:fontKey="{9E1C1253-5A4F-44E1-9AF8-EDA5BCB6C4BE}"/>
    <w:embedBoldItalic r:id="rId11" w:fontKey="{F0314D1C-6C7D-4015-8EE0-0B0B826BAB80}"/>
  </w:font>
  <w:font w:name="Cambria">
    <w:panose1 w:val="02040503050406030204"/>
    <w:charset w:val="00"/>
    <w:family w:val="roman"/>
    <w:pitch w:val="variable"/>
    <w:sig w:usb0="E00006FF" w:usb1="420024FF" w:usb2="02000000" w:usb3="00000000" w:csb0="0000019F" w:csb1="00000000"/>
    <w:embedRegular r:id="rId12" w:fontKey="{D7EFABF3-EC95-4A35-812C-D8AE501F40F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79A9A" w14:textId="77777777" w:rsidR="005A198E" w:rsidRDefault="005A198E">
      <w:r>
        <w:separator/>
      </w:r>
    </w:p>
  </w:footnote>
  <w:footnote w:type="continuationSeparator" w:id="0">
    <w:p w14:paraId="19364685" w14:textId="77777777" w:rsidR="005A198E" w:rsidRDefault="005A1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0765328"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7F09EB">
      <w:rPr>
        <w:rFonts w:ascii="Lustria" w:eastAsia="Lustria" w:hAnsi="Lustria" w:cs="Lustria"/>
        <w:b/>
        <w:i/>
        <w:sz w:val="22"/>
        <w:szCs w:val="22"/>
      </w:rPr>
      <w:t>2</w:t>
    </w:r>
    <w:r w:rsidR="00135F33">
      <w:rPr>
        <w:rFonts w:ascii="Lustria" w:eastAsia="Lustria" w:hAnsi="Lustria" w:cs="Lustria"/>
        <w:b/>
        <w:i/>
        <w:sz w:val="22"/>
        <w:szCs w:val="22"/>
      </w:rPr>
      <w:t>1</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51D05"/>
    <w:rsid w:val="000562AB"/>
    <w:rsid w:val="00074013"/>
    <w:rsid w:val="00080F3B"/>
    <w:rsid w:val="000A752D"/>
    <w:rsid w:val="000B57B6"/>
    <w:rsid w:val="000C098A"/>
    <w:rsid w:val="000C4FBD"/>
    <w:rsid w:val="000F7A24"/>
    <w:rsid w:val="00101FB4"/>
    <w:rsid w:val="0012417C"/>
    <w:rsid w:val="00135F33"/>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4046"/>
    <w:rsid w:val="00235829"/>
    <w:rsid w:val="00266B2F"/>
    <w:rsid w:val="00274850"/>
    <w:rsid w:val="002A6621"/>
    <w:rsid w:val="002D4DC3"/>
    <w:rsid w:val="002E1FA6"/>
    <w:rsid w:val="002E62AC"/>
    <w:rsid w:val="002E69C5"/>
    <w:rsid w:val="002E6DD3"/>
    <w:rsid w:val="00304EE0"/>
    <w:rsid w:val="003277C8"/>
    <w:rsid w:val="00333FB4"/>
    <w:rsid w:val="003448B4"/>
    <w:rsid w:val="0035050C"/>
    <w:rsid w:val="00350B14"/>
    <w:rsid w:val="0035616B"/>
    <w:rsid w:val="003659AF"/>
    <w:rsid w:val="0037197C"/>
    <w:rsid w:val="00373E49"/>
    <w:rsid w:val="00382780"/>
    <w:rsid w:val="00383D79"/>
    <w:rsid w:val="003867AC"/>
    <w:rsid w:val="0039352E"/>
    <w:rsid w:val="0039437F"/>
    <w:rsid w:val="003A0F94"/>
    <w:rsid w:val="003B154B"/>
    <w:rsid w:val="003E479C"/>
    <w:rsid w:val="00400B99"/>
    <w:rsid w:val="004277D8"/>
    <w:rsid w:val="00431557"/>
    <w:rsid w:val="00435CD3"/>
    <w:rsid w:val="004673DA"/>
    <w:rsid w:val="0047119B"/>
    <w:rsid w:val="004730E0"/>
    <w:rsid w:val="00473D39"/>
    <w:rsid w:val="00475814"/>
    <w:rsid w:val="0049326F"/>
    <w:rsid w:val="004A6565"/>
    <w:rsid w:val="004B0A75"/>
    <w:rsid w:val="004D3D36"/>
    <w:rsid w:val="004E28E4"/>
    <w:rsid w:val="004F5991"/>
    <w:rsid w:val="00501798"/>
    <w:rsid w:val="005059B4"/>
    <w:rsid w:val="00506A3D"/>
    <w:rsid w:val="005227C0"/>
    <w:rsid w:val="0053579A"/>
    <w:rsid w:val="005456F5"/>
    <w:rsid w:val="00550313"/>
    <w:rsid w:val="00557604"/>
    <w:rsid w:val="005858EA"/>
    <w:rsid w:val="00596F5B"/>
    <w:rsid w:val="005A1843"/>
    <w:rsid w:val="005A198E"/>
    <w:rsid w:val="005C752E"/>
    <w:rsid w:val="005D26DA"/>
    <w:rsid w:val="005E4A2F"/>
    <w:rsid w:val="00605CE1"/>
    <w:rsid w:val="0060692B"/>
    <w:rsid w:val="006176E2"/>
    <w:rsid w:val="00634838"/>
    <w:rsid w:val="006354F3"/>
    <w:rsid w:val="00642646"/>
    <w:rsid w:val="0067754D"/>
    <w:rsid w:val="0068352C"/>
    <w:rsid w:val="006908FA"/>
    <w:rsid w:val="006A552A"/>
    <w:rsid w:val="006A7E5E"/>
    <w:rsid w:val="006D297F"/>
    <w:rsid w:val="006E029C"/>
    <w:rsid w:val="00700566"/>
    <w:rsid w:val="0071797E"/>
    <w:rsid w:val="00735C8F"/>
    <w:rsid w:val="00766B8B"/>
    <w:rsid w:val="00772095"/>
    <w:rsid w:val="007829B7"/>
    <w:rsid w:val="007857BF"/>
    <w:rsid w:val="00785FCE"/>
    <w:rsid w:val="0079045F"/>
    <w:rsid w:val="007923B1"/>
    <w:rsid w:val="00797E0B"/>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83EFF"/>
    <w:rsid w:val="008A65F0"/>
    <w:rsid w:val="008A7B90"/>
    <w:rsid w:val="008B5454"/>
    <w:rsid w:val="008D3F5B"/>
    <w:rsid w:val="008E7719"/>
    <w:rsid w:val="008F30F0"/>
    <w:rsid w:val="009048A3"/>
    <w:rsid w:val="0091544D"/>
    <w:rsid w:val="00940A79"/>
    <w:rsid w:val="009742B0"/>
    <w:rsid w:val="009821D1"/>
    <w:rsid w:val="009E0BE7"/>
    <w:rsid w:val="009E7555"/>
    <w:rsid w:val="00A11D0B"/>
    <w:rsid w:val="00A23A7C"/>
    <w:rsid w:val="00A24012"/>
    <w:rsid w:val="00A27CCB"/>
    <w:rsid w:val="00A43849"/>
    <w:rsid w:val="00A57E02"/>
    <w:rsid w:val="00A62FD8"/>
    <w:rsid w:val="00A84258"/>
    <w:rsid w:val="00A95142"/>
    <w:rsid w:val="00AB45BB"/>
    <w:rsid w:val="00AC7FD7"/>
    <w:rsid w:val="00AD05EA"/>
    <w:rsid w:val="00AE1FD3"/>
    <w:rsid w:val="00AE44CF"/>
    <w:rsid w:val="00B43BBC"/>
    <w:rsid w:val="00B45C76"/>
    <w:rsid w:val="00B46ABC"/>
    <w:rsid w:val="00B52476"/>
    <w:rsid w:val="00B57A56"/>
    <w:rsid w:val="00B93150"/>
    <w:rsid w:val="00BA4DF7"/>
    <w:rsid w:val="00C023B0"/>
    <w:rsid w:val="00C05CA7"/>
    <w:rsid w:val="00C13D9D"/>
    <w:rsid w:val="00C1423C"/>
    <w:rsid w:val="00C20701"/>
    <w:rsid w:val="00C41F71"/>
    <w:rsid w:val="00C569CA"/>
    <w:rsid w:val="00C667AF"/>
    <w:rsid w:val="00C73728"/>
    <w:rsid w:val="00C74336"/>
    <w:rsid w:val="00C82CE2"/>
    <w:rsid w:val="00C87206"/>
    <w:rsid w:val="00C944CF"/>
    <w:rsid w:val="00CA549E"/>
    <w:rsid w:val="00CA6335"/>
    <w:rsid w:val="00CB5781"/>
    <w:rsid w:val="00CC0947"/>
    <w:rsid w:val="00CD59A0"/>
    <w:rsid w:val="00CD62E0"/>
    <w:rsid w:val="00CE0779"/>
    <w:rsid w:val="00CE3657"/>
    <w:rsid w:val="00D13155"/>
    <w:rsid w:val="00D16C60"/>
    <w:rsid w:val="00D2560B"/>
    <w:rsid w:val="00D5029F"/>
    <w:rsid w:val="00D56842"/>
    <w:rsid w:val="00D60BBD"/>
    <w:rsid w:val="00D82337"/>
    <w:rsid w:val="00D83118"/>
    <w:rsid w:val="00DB02F9"/>
    <w:rsid w:val="00DB46A4"/>
    <w:rsid w:val="00DD6D1E"/>
    <w:rsid w:val="00DE6658"/>
    <w:rsid w:val="00E16D68"/>
    <w:rsid w:val="00E24AC1"/>
    <w:rsid w:val="00E3056E"/>
    <w:rsid w:val="00E374AE"/>
    <w:rsid w:val="00E62D96"/>
    <w:rsid w:val="00E776D5"/>
    <w:rsid w:val="00E8576C"/>
    <w:rsid w:val="00E94557"/>
    <w:rsid w:val="00EA26A1"/>
    <w:rsid w:val="00EB340F"/>
    <w:rsid w:val="00EE1E93"/>
    <w:rsid w:val="00EE5B6A"/>
    <w:rsid w:val="00F01A45"/>
    <w:rsid w:val="00F01B4D"/>
    <w:rsid w:val="00F032FA"/>
    <w:rsid w:val="00F05EFF"/>
    <w:rsid w:val="00F104E1"/>
    <w:rsid w:val="00F2111F"/>
    <w:rsid w:val="00F26D5A"/>
    <w:rsid w:val="00F366B9"/>
    <w:rsid w:val="00F64D5F"/>
    <w:rsid w:val="00F95F42"/>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957162">
      <w:bodyDiv w:val="1"/>
      <w:marLeft w:val="0"/>
      <w:marRight w:val="0"/>
      <w:marTop w:val="0"/>
      <w:marBottom w:val="0"/>
      <w:divBdr>
        <w:top w:val="none" w:sz="0" w:space="0" w:color="auto"/>
        <w:left w:val="none" w:sz="0" w:space="0" w:color="auto"/>
        <w:bottom w:val="none" w:sz="0" w:space="0" w:color="auto"/>
        <w:right w:val="none" w:sz="0" w:space="0" w:color="auto"/>
      </w:divBdr>
    </w:div>
    <w:div w:id="465587536">
      <w:bodyDiv w:val="1"/>
      <w:marLeft w:val="0"/>
      <w:marRight w:val="0"/>
      <w:marTop w:val="0"/>
      <w:marBottom w:val="0"/>
      <w:divBdr>
        <w:top w:val="none" w:sz="0" w:space="0" w:color="auto"/>
        <w:left w:val="none" w:sz="0" w:space="0" w:color="auto"/>
        <w:bottom w:val="none" w:sz="0" w:space="0" w:color="auto"/>
        <w:right w:val="none" w:sz="0" w:space="0" w:color="auto"/>
      </w:divBdr>
    </w:div>
    <w:div w:id="667903962">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827</Words>
  <Characters>4714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2025-06-23T20:55:00Z</dcterms:created>
  <dcterms:modified xsi:type="dcterms:W3CDTF">2025-06-23T20:55:00Z</dcterms:modified>
</cp:coreProperties>
</file>