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E61D8" w14:textId="77777777" w:rsidR="00E36DA2" w:rsidRPr="000F63AF" w:rsidRDefault="00E36DA2" w:rsidP="00E36DA2">
      <w:pPr>
        <w:tabs>
          <w:tab w:val="right" w:pos="709"/>
        </w:tabs>
        <w:spacing w:line="360" w:lineRule="auto"/>
        <w:jc w:val="center"/>
        <w:rPr>
          <w:rFonts w:ascii="Book Antiqua" w:hAnsi="Book Antiqua"/>
          <w:bCs/>
          <w:sz w:val="36"/>
          <w:szCs w:val="36"/>
          <w:lang w:val="es-ES"/>
        </w:rPr>
      </w:pPr>
      <w:r w:rsidRPr="000F63AF">
        <w:rPr>
          <w:rFonts w:ascii="Book Antiqua" w:hAnsi="Book Antiqua"/>
          <w:bCs/>
          <w:sz w:val="36"/>
          <w:szCs w:val="36"/>
          <w:lang w:val="es-ES"/>
        </w:rPr>
        <w:t>GOBIERNO DE PUERTO RICO</w:t>
      </w:r>
    </w:p>
    <w:p w14:paraId="7F7C4234" w14:textId="77777777" w:rsidR="00E36DA2" w:rsidRPr="00460332" w:rsidRDefault="00E36DA2" w:rsidP="00E36DA2">
      <w:pPr>
        <w:suppressLineNumbers/>
        <w:tabs>
          <w:tab w:val="left" w:pos="7560"/>
        </w:tabs>
        <w:jc w:val="both"/>
        <w:rPr>
          <w:rFonts w:ascii="Book Antiqua" w:hAnsi="Book Antiqua"/>
          <w:szCs w:val="24"/>
          <w:lang w:val="es-ES"/>
        </w:rPr>
      </w:pPr>
      <w:r w:rsidRPr="00460332">
        <w:rPr>
          <w:rFonts w:ascii="Book Antiqua" w:hAnsi="Book Antiqua"/>
          <w:szCs w:val="24"/>
          <w:lang w:val="es-ES"/>
        </w:rPr>
        <w:t>20</w:t>
      </w:r>
      <w:r w:rsidRPr="00460332">
        <w:rPr>
          <w:rFonts w:ascii="Book Antiqua" w:hAnsi="Book Antiqua"/>
          <w:szCs w:val="24"/>
          <w:vertAlign w:val="superscript"/>
          <w:lang w:val="es-ES"/>
        </w:rPr>
        <w:t>ma.</w:t>
      </w:r>
      <w:r w:rsidRPr="00460332">
        <w:rPr>
          <w:rFonts w:ascii="Book Antiqua" w:hAnsi="Book Antiqua"/>
          <w:szCs w:val="24"/>
          <w:lang w:val="es-ES"/>
        </w:rPr>
        <w:t xml:space="preserve"> Asamblea</w:t>
      </w:r>
      <w:r w:rsidRPr="00460332">
        <w:rPr>
          <w:rFonts w:ascii="Book Antiqua" w:hAnsi="Book Antiqua"/>
          <w:szCs w:val="24"/>
          <w:lang w:val="es-ES"/>
        </w:rPr>
        <w:tab/>
        <w:t xml:space="preserve">    1</w:t>
      </w:r>
      <w:r w:rsidRPr="00460332">
        <w:rPr>
          <w:rFonts w:ascii="Book Antiqua" w:hAnsi="Book Antiqua"/>
          <w:szCs w:val="24"/>
          <w:vertAlign w:val="superscript"/>
          <w:lang w:val="es-ES"/>
        </w:rPr>
        <w:t>ra.</w:t>
      </w:r>
      <w:r w:rsidRPr="00460332">
        <w:rPr>
          <w:rFonts w:ascii="Book Antiqua" w:hAnsi="Book Antiqua"/>
          <w:szCs w:val="24"/>
          <w:lang w:val="es-ES"/>
        </w:rPr>
        <w:t xml:space="preserve">   Sesión </w:t>
      </w:r>
    </w:p>
    <w:p w14:paraId="5D04C192" w14:textId="33CD3AD0" w:rsidR="00E36DA2" w:rsidRPr="00460332" w:rsidRDefault="00E36DA2" w:rsidP="00E36DA2">
      <w:pPr>
        <w:rPr>
          <w:rFonts w:ascii="Book Antiqua" w:hAnsi="Book Antiqua"/>
          <w:b/>
          <w:szCs w:val="24"/>
          <w:lang w:val="es-ES"/>
        </w:rPr>
      </w:pPr>
      <w:r w:rsidRPr="00460332">
        <w:rPr>
          <w:rFonts w:ascii="Book Antiqua" w:hAnsi="Book Antiqua"/>
          <w:szCs w:val="24"/>
          <w:lang w:val="es-ES"/>
        </w:rPr>
        <w:t xml:space="preserve">    </w:t>
      </w:r>
      <w:r w:rsidR="00873451">
        <w:rPr>
          <w:rFonts w:ascii="Book Antiqua" w:hAnsi="Book Antiqua"/>
          <w:szCs w:val="24"/>
          <w:lang w:val="es-ES"/>
        </w:rPr>
        <w:t xml:space="preserve">  </w:t>
      </w:r>
      <w:r w:rsidRPr="00460332">
        <w:rPr>
          <w:rFonts w:ascii="Book Antiqua" w:hAnsi="Book Antiqua"/>
          <w:szCs w:val="24"/>
          <w:lang w:val="es-ES"/>
        </w:rPr>
        <w:t xml:space="preserve">   Legislativa</w:t>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t xml:space="preserve">      Ordinaria</w:t>
      </w:r>
    </w:p>
    <w:p w14:paraId="1A82E179" w14:textId="77777777" w:rsidR="00E36DA2" w:rsidRPr="00460332" w:rsidRDefault="00E36DA2" w:rsidP="00E36DA2">
      <w:pPr>
        <w:spacing w:line="360" w:lineRule="auto"/>
        <w:jc w:val="center"/>
        <w:rPr>
          <w:rFonts w:ascii="Book Antiqua" w:hAnsi="Book Antiqua"/>
          <w:b/>
          <w:sz w:val="36"/>
          <w:szCs w:val="36"/>
          <w:lang w:val="es-ES"/>
        </w:rPr>
      </w:pPr>
    </w:p>
    <w:p w14:paraId="2A1093DC" w14:textId="77777777" w:rsidR="00E36DA2" w:rsidRPr="00460332" w:rsidRDefault="00E36DA2" w:rsidP="00E36DA2">
      <w:pPr>
        <w:spacing w:line="360" w:lineRule="auto"/>
        <w:jc w:val="center"/>
        <w:rPr>
          <w:rFonts w:ascii="Book Antiqua" w:hAnsi="Book Antiqua"/>
          <w:b/>
          <w:sz w:val="36"/>
          <w:szCs w:val="36"/>
          <w:lang w:val="es-ES"/>
        </w:rPr>
      </w:pPr>
      <w:r w:rsidRPr="00460332">
        <w:rPr>
          <w:rFonts w:ascii="Book Antiqua" w:hAnsi="Book Antiqua"/>
          <w:b/>
          <w:sz w:val="36"/>
          <w:szCs w:val="36"/>
          <w:lang w:val="es-ES"/>
        </w:rPr>
        <w:t>SENADO DE PUERTO RICO</w:t>
      </w:r>
    </w:p>
    <w:p w14:paraId="59051B8A" w14:textId="5F94B118" w:rsidR="00E36DA2" w:rsidRPr="00460332" w:rsidRDefault="00E36DA2" w:rsidP="00E36DA2">
      <w:pPr>
        <w:spacing w:line="360" w:lineRule="auto"/>
        <w:jc w:val="center"/>
        <w:rPr>
          <w:rFonts w:ascii="Book Antiqua" w:hAnsi="Book Antiqua"/>
          <w:b/>
          <w:sz w:val="52"/>
          <w:szCs w:val="52"/>
          <w:lang w:val="es-ES"/>
        </w:rPr>
      </w:pPr>
      <w:r w:rsidRPr="00460332">
        <w:rPr>
          <w:rFonts w:ascii="Book Antiqua" w:hAnsi="Book Antiqua"/>
          <w:b/>
          <w:sz w:val="52"/>
          <w:szCs w:val="52"/>
          <w:lang w:val="es-ES"/>
        </w:rPr>
        <w:t>P. de</w:t>
      </w:r>
      <w:r w:rsidR="00634FC4">
        <w:rPr>
          <w:rFonts w:ascii="Book Antiqua" w:hAnsi="Book Antiqua"/>
          <w:b/>
          <w:sz w:val="52"/>
          <w:szCs w:val="52"/>
          <w:lang w:val="es-ES"/>
        </w:rPr>
        <w:t xml:space="preserve"> la</w:t>
      </w:r>
      <w:r w:rsidRPr="00460332">
        <w:rPr>
          <w:rFonts w:ascii="Book Antiqua" w:hAnsi="Book Antiqua"/>
          <w:b/>
          <w:sz w:val="52"/>
          <w:szCs w:val="52"/>
          <w:lang w:val="es-ES"/>
        </w:rPr>
        <w:t xml:space="preserve"> </w:t>
      </w:r>
      <w:r w:rsidR="00634FC4">
        <w:rPr>
          <w:rFonts w:ascii="Book Antiqua" w:hAnsi="Book Antiqua"/>
          <w:b/>
          <w:sz w:val="52"/>
          <w:szCs w:val="52"/>
          <w:lang w:val="es-ES"/>
        </w:rPr>
        <w:t>C</w:t>
      </w:r>
      <w:r w:rsidRPr="00460332">
        <w:rPr>
          <w:rFonts w:ascii="Book Antiqua" w:hAnsi="Book Antiqua"/>
          <w:b/>
          <w:sz w:val="52"/>
          <w:szCs w:val="52"/>
          <w:lang w:val="es-ES"/>
        </w:rPr>
        <w:t xml:space="preserve">. </w:t>
      </w:r>
      <w:r w:rsidR="007D0984">
        <w:rPr>
          <w:rFonts w:ascii="Book Antiqua" w:hAnsi="Book Antiqua"/>
          <w:b/>
          <w:sz w:val="52"/>
          <w:szCs w:val="52"/>
          <w:lang w:val="es-ES"/>
        </w:rPr>
        <w:t>585</w:t>
      </w:r>
    </w:p>
    <w:p w14:paraId="33FE54F3" w14:textId="77777777" w:rsidR="00E36DA2" w:rsidRPr="00460332" w:rsidRDefault="00E36DA2" w:rsidP="00E36DA2">
      <w:pPr>
        <w:spacing w:line="360" w:lineRule="auto"/>
        <w:jc w:val="center"/>
        <w:rPr>
          <w:rFonts w:ascii="Book Antiqua" w:hAnsi="Book Antiqua"/>
          <w:b/>
          <w:sz w:val="28"/>
          <w:szCs w:val="28"/>
          <w:lang w:val="es-ES"/>
        </w:rPr>
      </w:pPr>
      <w:r w:rsidRPr="00460332">
        <w:rPr>
          <w:rFonts w:ascii="Book Antiqua" w:hAnsi="Book Antiqua"/>
          <w:b/>
          <w:sz w:val="28"/>
          <w:szCs w:val="28"/>
          <w:lang w:val="es-ES"/>
        </w:rPr>
        <w:t>INFORME POSITIVO</w:t>
      </w:r>
    </w:p>
    <w:p w14:paraId="3F0DC39F" w14:textId="77777777" w:rsidR="00E36DA2" w:rsidRPr="00460332" w:rsidRDefault="00E36DA2" w:rsidP="00E36DA2">
      <w:pPr>
        <w:spacing w:line="360" w:lineRule="auto"/>
        <w:jc w:val="center"/>
        <w:rPr>
          <w:rFonts w:ascii="Book Antiqua" w:hAnsi="Book Antiqua"/>
          <w:szCs w:val="24"/>
          <w:lang w:val="es-ES"/>
        </w:rPr>
      </w:pPr>
    </w:p>
    <w:p w14:paraId="0E168055" w14:textId="674C5BD0" w:rsidR="00E36DA2" w:rsidRPr="00460332" w:rsidRDefault="007D0984" w:rsidP="00E36DA2">
      <w:pPr>
        <w:spacing w:line="360" w:lineRule="auto"/>
        <w:jc w:val="center"/>
        <w:rPr>
          <w:rFonts w:ascii="Book Antiqua" w:hAnsi="Book Antiqua"/>
          <w:szCs w:val="24"/>
          <w:lang w:val="es-ES"/>
        </w:rPr>
      </w:pPr>
      <w:r>
        <w:rPr>
          <w:rFonts w:ascii="Book Antiqua" w:hAnsi="Book Antiqua"/>
          <w:szCs w:val="24"/>
          <w:lang w:val="es-ES"/>
        </w:rPr>
        <w:t>2</w:t>
      </w:r>
      <w:r w:rsidR="008E3F2D">
        <w:rPr>
          <w:rFonts w:ascii="Book Antiqua" w:hAnsi="Book Antiqua"/>
          <w:szCs w:val="24"/>
          <w:lang w:val="es-ES"/>
        </w:rPr>
        <w:t>4</w:t>
      </w:r>
      <w:r w:rsidR="00E6524A">
        <w:rPr>
          <w:rFonts w:ascii="Book Antiqua" w:hAnsi="Book Antiqua"/>
          <w:szCs w:val="24"/>
          <w:lang w:val="es-ES"/>
        </w:rPr>
        <w:t xml:space="preserve"> </w:t>
      </w:r>
      <w:r w:rsidR="00E36DA2" w:rsidRPr="00460332">
        <w:rPr>
          <w:rFonts w:ascii="Book Antiqua" w:hAnsi="Book Antiqua"/>
          <w:szCs w:val="24"/>
          <w:lang w:val="es-ES"/>
        </w:rPr>
        <w:t xml:space="preserve">de </w:t>
      </w:r>
      <w:r>
        <w:rPr>
          <w:rFonts w:ascii="Book Antiqua" w:hAnsi="Book Antiqua"/>
          <w:szCs w:val="24"/>
          <w:lang w:val="es-ES"/>
        </w:rPr>
        <w:t xml:space="preserve">junio </w:t>
      </w:r>
      <w:r w:rsidR="00E36DA2" w:rsidRPr="00460332">
        <w:rPr>
          <w:rFonts w:ascii="Book Antiqua" w:hAnsi="Book Antiqua"/>
          <w:szCs w:val="24"/>
          <w:lang w:val="es-ES"/>
        </w:rPr>
        <w:t>de 2025</w:t>
      </w:r>
    </w:p>
    <w:p w14:paraId="104600FE" w14:textId="77777777" w:rsidR="00E36DA2" w:rsidRPr="00460332" w:rsidRDefault="00E36DA2" w:rsidP="00E36DA2">
      <w:pPr>
        <w:rPr>
          <w:rFonts w:ascii="Book Antiqua" w:hAnsi="Book Antiqua"/>
          <w:b/>
          <w:szCs w:val="24"/>
          <w:lang w:val="es-ES"/>
        </w:rPr>
      </w:pPr>
    </w:p>
    <w:p w14:paraId="68A0C805" w14:textId="77777777" w:rsidR="00E36DA2" w:rsidRPr="00460332" w:rsidRDefault="00E36DA2" w:rsidP="00E36DA2">
      <w:pPr>
        <w:spacing w:line="276" w:lineRule="auto"/>
        <w:jc w:val="both"/>
        <w:rPr>
          <w:rFonts w:ascii="Book Antiqua" w:hAnsi="Book Antiqua"/>
          <w:b/>
          <w:szCs w:val="24"/>
          <w:lang w:val="es-ES"/>
        </w:rPr>
      </w:pPr>
      <w:r w:rsidRPr="00460332">
        <w:rPr>
          <w:rFonts w:ascii="Book Antiqua" w:hAnsi="Book Antiqua"/>
          <w:b/>
          <w:szCs w:val="24"/>
          <w:lang w:val="es-ES"/>
        </w:rPr>
        <w:t>AL SENADO DE PUERTO RICO:</w:t>
      </w:r>
    </w:p>
    <w:p w14:paraId="7B26470C" w14:textId="77777777" w:rsidR="00E36DA2" w:rsidRPr="00460332" w:rsidRDefault="00E36DA2" w:rsidP="00E36DA2">
      <w:pPr>
        <w:spacing w:line="276" w:lineRule="auto"/>
        <w:jc w:val="both"/>
        <w:rPr>
          <w:rFonts w:ascii="Book Antiqua" w:hAnsi="Book Antiqua"/>
          <w:szCs w:val="24"/>
          <w:lang w:val="es-ES"/>
        </w:rPr>
      </w:pPr>
    </w:p>
    <w:p w14:paraId="06809265" w14:textId="7ABB0C17" w:rsidR="00E36DA2" w:rsidRPr="006875B2" w:rsidRDefault="00295B22" w:rsidP="00634FC4">
      <w:pPr>
        <w:spacing w:line="276" w:lineRule="auto"/>
        <w:jc w:val="both"/>
        <w:rPr>
          <w:rFonts w:ascii="Book Antiqua" w:hAnsi="Book Antiqua"/>
          <w:szCs w:val="24"/>
          <w:lang w:val="es-ES"/>
        </w:rPr>
      </w:pPr>
      <w:r w:rsidRPr="006875B2">
        <w:rPr>
          <w:rFonts w:ascii="Book Antiqua" w:hAnsi="Book Antiqua"/>
          <w:lang w:val="es-PR"/>
        </w:rPr>
        <w:t>La Comisión de</w:t>
      </w:r>
      <w:r w:rsidR="00786E57">
        <w:rPr>
          <w:rFonts w:ascii="Book Antiqua" w:hAnsi="Book Antiqua"/>
          <w:lang w:val="es-PR"/>
        </w:rPr>
        <w:t xml:space="preserve"> </w:t>
      </w:r>
      <w:r w:rsidRPr="006875B2">
        <w:rPr>
          <w:rFonts w:ascii="Book Antiqua" w:hAnsi="Book Antiqua"/>
          <w:lang w:val="es-PR"/>
        </w:rPr>
        <w:t>Trabajo y Relaciones Laborales</w:t>
      </w:r>
      <w:r w:rsidR="00E36DA2" w:rsidRPr="006875B2">
        <w:rPr>
          <w:rFonts w:ascii="Book Antiqua" w:hAnsi="Book Antiqua"/>
          <w:szCs w:val="24"/>
          <w:lang w:val="es-ES"/>
        </w:rPr>
        <w:t xml:space="preserve">, previo estudio y consideración del </w:t>
      </w:r>
      <w:r w:rsidR="00E36DA2" w:rsidRPr="006875B2">
        <w:rPr>
          <w:rFonts w:ascii="Book Antiqua" w:hAnsi="Book Antiqua"/>
          <w:b/>
          <w:szCs w:val="24"/>
          <w:lang w:val="es-ES"/>
        </w:rPr>
        <w:t>P. de</w:t>
      </w:r>
      <w:r w:rsidR="00634FC4">
        <w:rPr>
          <w:rFonts w:ascii="Book Antiqua" w:hAnsi="Book Antiqua"/>
          <w:b/>
          <w:szCs w:val="24"/>
          <w:lang w:val="es-ES"/>
        </w:rPr>
        <w:t xml:space="preserve"> la C</w:t>
      </w:r>
      <w:r w:rsidR="00E36DA2" w:rsidRPr="006875B2">
        <w:rPr>
          <w:rFonts w:ascii="Book Antiqua" w:hAnsi="Book Antiqua"/>
          <w:b/>
          <w:szCs w:val="24"/>
          <w:lang w:val="es-ES"/>
        </w:rPr>
        <w:t>.</w:t>
      </w:r>
      <w:r w:rsidR="00634FC4">
        <w:rPr>
          <w:rFonts w:ascii="Book Antiqua" w:hAnsi="Book Antiqua"/>
          <w:b/>
          <w:szCs w:val="24"/>
          <w:lang w:val="es-ES"/>
        </w:rPr>
        <w:t xml:space="preserve"> </w:t>
      </w:r>
      <w:r w:rsidR="007D0984">
        <w:rPr>
          <w:rFonts w:ascii="Book Antiqua" w:hAnsi="Book Antiqua"/>
          <w:b/>
          <w:szCs w:val="24"/>
          <w:lang w:val="es-ES"/>
        </w:rPr>
        <w:t>585</w:t>
      </w:r>
      <w:r w:rsidR="00E36DA2" w:rsidRPr="006875B2">
        <w:rPr>
          <w:rFonts w:ascii="Book Antiqua" w:hAnsi="Book Antiqua"/>
          <w:szCs w:val="24"/>
          <w:lang w:val="es-ES"/>
        </w:rPr>
        <w:t xml:space="preserve">, recomienda a este Alto Cuerpo su aprobación </w:t>
      </w:r>
      <w:r w:rsidR="00482881" w:rsidRPr="006875B2">
        <w:rPr>
          <w:rFonts w:ascii="Book Antiqua" w:hAnsi="Book Antiqua"/>
          <w:szCs w:val="24"/>
          <w:lang w:val="es-ES"/>
        </w:rPr>
        <w:t>sin</w:t>
      </w:r>
      <w:r w:rsidR="00E36DA2" w:rsidRPr="006875B2">
        <w:rPr>
          <w:rFonts w:ascii="Book Antiqua" w:hAnsi="Book Antiqua"/>
          <w:szCs w:val="24"/>
          <w:lang w:val="es-ES"/>
        </w:rPr>
        <w:t xml:space="preserve"> enmiendas.</w:t>
      </w:r>
    </w:p>
    <w:p w14:paraId="0D7CEA10" w14:textId="77777777" w:rsidR="00E36DA2" w:rsidRPr="002C602A" w:rsidRDefault="00E36DA2" w:rsidP="00E36DA2">
      <w:pPr>
        <w:spacing w:line="276" w:lineRule="auto"/>
        <w:ind w:firstLine="720"/>
        <w:jc w:val="both"/>
        <w:rPr>
          <w:rFonts w:ascii="Book Antiqua" w:hAnsi="Book Antiqua"/>
          <w:sz w:val="32"/>
          <w:szCs w:val="32"/>
          <w:lang w:val="es-ES"/>
        </w:rPr>
      </w:pPr>
    </w:p>
    <w:p w14:paraId="0C2C123A" w14:textId="77777777" w:rsidR="00E36DA2" w:rsidRPr="00460332" w:rsidRDefault="00E36DA2" w:rsidP="00E36DA2">
      <w:pPr>
        <w:spacing w:line="276" w:lineRule="auto"/>
        <w:jc w:val="center"/>
        <w:outlineLvl w:val="0"/>
        <w:rPr>
          <w:rFonts w:ascii="Book Antiqua" w:hAnsi="Book Antiqua"/>
          <w:b/>
          <w:caps/>
          <w:szCs w:val="24"/>
          <w:lang w:val="es-ES"/>
        </w:rPr>
      </w:pPr>
      <w:r w:rsidRPr="00460332">
        <w:rPr>
          <w:rFonts w:ascii="Book Antiqua" w:hAnsi="Book Antiqua"/>
          <w:b/>
          <w:caps/>
          <w:szCs w:val="24"/>
          <w:lang w:val="es-ES"/>
        </w:rPr>
        <w:t>ALCANCE DE LA MEDIDA</w:t>
      </w:r>
    </w:p>
    <w:p w14:paraId="11C3E735" w14:textId="77777777" w:rsidR="00E36DA2" w:rsidRPr="00460332" w:rsidRDefault="00E36DA2" w:rsidP="00E36DA2">
      <w:pPr>
        <w:spacing w:line="276" w:lineRule="auto"/>
        <w:jc w:val="both"/>
        <w:outlineLvl w:val="0"/>
        <w:rPr>
          <w:rFonts w:ascii="Book Antiqua" w:hAnsi="Book Antiqua"/>
          <w:b/>
          <w:caps/>
          <w:szCs w:val="24"/>
          <w:lang w:val="es-ES"/>
        </w:rPr>
      </w:pPr>
    </w:p>
    <w:p w14:paraId="03443B8A" w14:textId="77777777" w:rsidR="007D0984" w:rsidRDefault="007D0984" w:rsidP="007D0984">
      <w:pPr>
        <w:jc w:val="both"/>
        <w:rPr>
          <w:rFonts w:ascii="Book Antiqua" w:hAnsi="Book Antiqua"/>
          <w:lang w:val="es-PR"/>
        </w:rPr>
      </w:pPr>
      <w:r w:rsidRPr="007D0984">
        <w:rPr>
          <w:rFonts w:ascii="Book Antiqua" w:hAnsi="Book Antiqua"/>
          <w:lang w:val="es-PR"/>
        </w:rPr>
        <w:t>Para añadir los incisos (8), (9) y (10 a la Sección 13 de la Ley Núm. 14 del 14 de abril del 1931, según enmendada, conocida como “Ley Orgánica del Departamento del Trabajo y Recursos Humanos”, y enmendar dicha sección para ampliar la jurisdicción y establecer nuevas facultades a la Oficina de Mediación y Adjudicación; y para otros fines relacionados.</w:t>
      </w:r>
    </w:p>
    <w:p w14:paraId="1468157E" w14:textId="77777777" w:rsidR="007D0984" w:rsidRPr="007D0984" w:rsidRDefault="007D0984" w:rsidP="007D0984">
      <w:pPr>
        <w:jc w:val="both"/>
        <w:rPr>
          <w:rFonts w:ascii="Book Antiqua" w:hAnsi="Book Antiqua"/>
          <w:lang w:val="es-PR"/>
        </w:rPr>
      </w:pPr>
    </w:p>
    <w:p w14:paraId="5C192E42" w14:textId="77777777" w:rsidR="00E36DA2" w:rsidRDefault="00E36DA2" w:rsidP="00E36DA2">
      <w:pPr>
        <w:spacing w:line="276" w:lineRule="auto"/>
        <w:jc w:val="center"/>
        <w:rPr>
          <w:rFonts w:ascii="Book Antiqua" w:hAnsi="Book Antiqua"/>
          <w:b/>
          <w:szCs w:val="24"/>
          <w:lang w:val="es-ES"/>
        </w:rPr>
      </w:pPr>
      <w:r w:rsidRPr="00460332">
        <w:rPr>
          <w:rFonts w:ascii="Book Antiqua" w:hAnsi="Book Antiqua"/>
          <w:b/>
          <w:szCs w:val="24"/>
          <w:lang w:val="es-ES"/>
        </w:rPr>
        <w:t>INTRODUCCIÓN</w:t>
      </w:r>
    </w:p>
    <w:p w14:paraId="60D3CB0A" w14:textId="77777777" w:rsidR="007D0984" w:rsidRDefault="007D0984" w:rsidP="00E36DA2">
      <w:pPr>
        <w:spacing w:line="276" w:lineRule="auto"/>
        <w:jc w:val="center"/>
        <w:rPr>
          <w:rFonts w:ascii="Book Antiqua" w:hAnsi="Book Antiqua"/>
          <w:b/>
          <w:szCs w:val="24"/>
          <w:lang w:val="es-ES"/>
        </w:rPr>
      </w:pPr>
    </w:p>
    <w:p w14:paraId="5DB26274" w14:textId="4D95645C" w:rsidR="007D0984" w:rsidRDefault="007D0984" w:rsidP="007D0984">
      <w:pPr>
        <w:spacing w:line="360" w:lineRule="auto"/>
        <w:jc w:val="both"/>
        <w:rPr>
          <w:rFonts w:ascii="Book Antiqua" w:hAnsi="Book Antiqua"/>
          <w:i/>
          <w:iCs/>
          <w:lang w:val="es-PR"/>
        </w:rPr>
      </w:pPr>
      <w:r>
        <w:rPr>
          <w:rFonts w:ascii="Book Antiqua" w:hAnsi="Book Antiqua"/>
          <w:lang w:val="es-PR"/>
        </w:rPr>
        <w:t xml:space="preserve">La Ley Núm. 15 del 14 de abril del 1931, según enmendada, conocida como “Ley Orgánica del Departamento del Trabajo y Recursos Humanos”, crea la Oficina de Mediación y Adjudicación. En su Sección 13, de dicha Ley 15-1931, según enmendada, la Oficina de Mediación y Adjudicación es n foro administrativo que implementa la política </w:t>
      </w:r>
      <w:r w:rsidR="00827FA1">
        <w:rPr>
          <w:rFonts w:ascii="Book Antiqua" w:hAnsi="Book Antiqua"/>
          <w:lang w:val="es-PR"/>
        </w:rPr>
        <w:t>pública</w:t>
      </w:r>
      <w:r>
        <w:rPr>
          <w:rFonts w:ascii="Book Antiqua" w:hAnsi="Book Antiqua"/>
          <w:lang w:val="es-PR"/>
        </w:rPr>
        <w:t xml:space="preserve"> de armonizar controversias obrero-patronales.  Dicha oficina fomenta, entre otras cosas, la paz, la armonía laboral mediante la utilización de los métodos alternos de resolución de </w:t>
      </w:r>
      <w:r>
        <w:rPr>
          <w:rFonts w:ascii="Book Antiqua" w:hAnsi="Book Antiqua"/>
          <w:lang w:val="es-PR"/>
        </w:rPr>
        <w:lastRenderedPageBreak/>
        <w:t xml:space="preserve">conflictos un procedimiento adjudicativo para resolver las reclamaciones.  </w:t>
      </w:r>
      <w:r>
        <w:rPr>
          <w:rFonts w:ascii="Book Antiqua" w:hAnsi="Book Antiqua"/>
          <w:i/>
          <w:iCs/>
          <w:lang w:val="es-PR"/>
        </w:rPr>
        <w:t xml:space="preserve">El propósito principal de esta oficina es asegurar que los empleados de la empresa privada, no sindicalizados, tengan un foro </w:t>
      </w:r>
      <w:proofErr w:type="spellStart"/>
      <w:r>
        <w:rPr>
          <w:rFonts w:ascii="Book Antiqua" w:hAnsi="Book Antiqua"/>
          <w:i/>
          <w:iCs/>
          <w:lang w:val="es-PR"/>
        </w:rPr>
        <w:t>cuasi-judicial</w:t>
      </w:r>
      <w:proofErr w:type="spellEnd"/>
      <w:r>
        <w:rPr>
          <w:rFonts w:ascii="Book Antiqua" w:hAnsi="Book Antiqua"/>
          <w:i/>
          <w:iCs/>
          <w:lang w:val="es-PR"/>
        </w:rPr>
        <w:t xml:space="preserve"> para que sus reclamaciones laborales logren una solución justa, rápida económica.</w:t>
      </w:r>
    </w:p>
    <w:p w14:paraId="03E8E828" w14:textId="77777777" w:rsidR="00B269EB" w:rsidRDefault="00B269EB" w:rsidP="007D0984">
      <w:pPr>
        <w:spacing w:line="360" w:lineRule="auto"/>
        <w:jc w:val="both"/>
        <w:rPr>
          <w:rFonts w:ascii="Book Antiqua" w:hAnsi="Book Antiqua"/>
          <w:i/>
          <w:iCs/>
          <w:lang w:val="es-PR"/>
        </w:rPr>
      </w:pPr>
    </w:p>
    <w:p w14:paraId="1F77DE13" w14:textId="77777777" w:rsidR="007D0984" w:rsidRDefault="007D0984" w:rsidP="007D0984">
      <w:pPr>
        <w:spacing w:line="360" w:lineRule="auto"/>
        <w:jc w:val="both"/>
        <w:rPr>
          <w:rFonts w:ascii="Book Antiqua" w:hAnsi="Book Antiqua"/>
          <w:lang w:val="es-PR"/>
        </w:rPr>
      </w:pPr>
      <w:r>
        <w:rPr>
          <w:rFonts w:ascii="Book Antiqua" w:hAnsi="Book Antiqua"/>
          <w:lang w:val="es-PR"/>
        </w:rPr>
        <w:t>De la Ley Núm. 47 del 21 de septiembre del 2021, “Ley de Salario Mínimo de Puerto Rico”, Sección 3.04 no se desprende que la Oficina de Mediación y Adjudicación ostente jurisdicción para atender reclamaciones sobre salario mínimo. Ni de la Ley Núm. 180-1998, “Ley de Vacaciones y Licencia por Enfermedad de Puerto Rico”, ni tampoco de la Seccion13 de la Ley 15-1931 ya citada, se indica que la Oficina de Mediación y Adjudicación tenga la facultad leal para atender este tipo de reclamos.</w:t>
      </w:r>
    </w:p>
    <w:p w14:paraId="53223F24" w14:textId="77777777" w:rsidR="00B269EB" w:rsidRDefault="00B269EB" w:rsidP="007D0984">
      <w:pPr>
        <w:spacing w:line="360" w:lineRule="auto"/>
        <w:jc w:val="both"/>
        <w:rPr>
          <w:rFonts w:ascii="Book Antiqua" w:hAnsi="Book Antiqua"/>
          <w:lang w:val="es-PR"/>
        </w:rPr>
      </w:pPr>
    </w:p>
    <w:p w14:paraId="548F41E3" w14:textId="77777777" w:rsidR="007D0984" w:rsidRDefault="007D0984" w:rsidP="007D0984">
      <w:pPr>
        <w:spacing w:line="360" w:lineRule="auto"/>
        <w:jc w:val="both"/>
        <w:rPr>
          <w:rFonts w:ascii="Book Antiqua" w:hAnsi="Book Antiqua"/>
          <w:lang w:val="es-PR"/>
        </w:rPr>
      </w:pPr>
      <w:r>
        <w:rPr>
          <w:rFonts w:ascii="Book Antiqua" w:hAnsi="Book Antiqua"/>
          <w:lang w:val="es-PR"/>
        </w:rPr>
        <w:t>Este proyecto tiene el propósito de establecer la Oficina de Mediación y Adjudicación (OMA) del Departamento del Trabajo y Recursos Humanos como el foro administrativo que emitirá decisiones o resoluciones adjudicando controversias conforme a Derecho, mediante los procedimientos establecidos en: la Ley Núm. 2-1961, según enmendada, “Ley de Procedimiento Sumario de Reclamaciones Laborales”, y la Ley Núm. 38-2017, según enmendada, “Ley de Procedimiento Administrativo Uniforme del Gobierno de Puerto Rico” (LPAU), además de resolver otras controversias, según determine el(la) Secretario(a) del Departamento del Trabajo y Recursos Humanos.</w:t>
      </w:r>
    </w:p>
    <w:p w14:paraId="36C3F686" w14:textId="77777777" w:rsidR="00B269EB" w:rsidRDefault="00B269EB" w:rsidP="007D0984">
      <w:pPr>
        <w:spacing w:line="360" w:lineRule="auto"/>
        <w:jc w:val="both"/>
        <w:rPr>
          <w:rFonts w:ascii="Book Antiqua" w:hAnsi="Book Antiqua"/>
          <w:lang w:val="es-PR"/>
        </w:rPr>
      </w:pPr>
    </w:p>
    <w:p w14:paraId="16DF8A24" w14:textId="10751586" w:rsidR="007D0984" w:rsidRDefault="007D0984" w:rsidP="007D0984">
      <w:pPr>
        <w:spacing w:line="360" w:lineRule="auto"/>
        <w:jc w:val="both"/>
        <w:rPr>
          <w:rFonts w:ascii="Book Antiqua" w:hAnsi="Book Antiqua"/>
          <w:lang w:val="es-PR"/>
        </w:rPr>
      </w:pPr>
      <w:r>
        <w:rPr>
          <w:rFonts w:ascii="Book Antiqua" w:hAnsi="Book Antiqua"/>
          <w:lang w:val="es-PR"/>
        </w:rPr>
        <w:t xml:space="preserve">También se desea incorporar las reclamaciones relacionadas con acomodos razonables por motivos religiosos en el empleo, en virtud de la Ley 4-2017, “Ley de Transformación y Flexibilidad Laboral”, que le otorgo al Secretario del Departamento del Trabajo y Recursos Humanos la facultad de reglamentar el procedimiento aplicable cuando un empleado, o aspirante a empleo, notifique a su patrono su interés en obtener un acomodo razonable por motivo de </w:t>
      </w:r>
      <w:r w:rsidR="00B269EB">
        <w:rPr>
          <w:rFonts w:ascii="Book Antiqua" w:hAnsi="Book Antiqua"/>
          <w:lang w:val="es-PR"/>
        </w:rPr>
        <w:t>prácticas</w:t>
      </w:r>
      <w:r>
        <w:rPr>
          <w:rFonts w:ascii="Book Antiqua" w:hAnsi="Book Antiqua"/>
          <w:lang w:val="es-PR"/>
        </w:rPr>
        <w:t xml:space="preserve"> religiosas o para asistir a servicios religiosos.</w:t>
      </w:r>
    </w:p>
    <w:p w14:paraId="13265A7B" w14:textId="76E581D3" w:rsidR="00634FC4" w:rsidRPr="00975E11" w:rsidRDefault="00634FC4" w:rsidP="00634FC4">
      <w:pPr>
        <w:jc w:val="both"/>
        <w:rPr>
          <w:rFonts w:ascii="Book Antiqua" w:hAnsi="Book Antiqua"/>
          <w:lang w:val="es-PR"/>
        </w:rPr>
      </w:pPr>
    </w:p>
    <w:p w14:paraId="7E022A71" w14:textId="77777777" w:rsidR="00720125" w:rsidRPr="00163361" w:rsidRDefault="00720125" w:rsidP="00163361">
      <w:pPr>
        <w:spacing w:line="276" w:lineRule="auto"/>
        <w:jc w:val="center"/>
        <w:rPr>
          <w:rFonts w:ascii="Book Antiqua" w:hAnsi="Book Antiqua"/>
          <w:bCs/>
          <w:szCs w:val="24"/>
          <w:lang w:val="es-PR"/>
        </w:rPr>
      </w:pPr>
    </w:p>
    <w:p w14:paraId="12AC11E3" w14:textId="77777777" w:rsidR="002C602A" w:rsidRPr="002C602A" w:rsidRDefault="002C602A" w:rsidP="002C602A">
      <w:pPr>
        <w:pStyle w:val="NoSpacing"/>
        <w:spacing w:line="276" w:lineRule="auto"/>
        <w:jc w:val="both"/>
        <w:rPr>
          <w:rFonts w:ascii="Book Antiqua" w:hAnsi="Book Antiqua"/>
          <w:sz w:val="16"/>
          <w:szCs w:val="16"/>
          <w:lang w:val="es-ES"/>
        </w:rPr>
      </w:pPr>
    </w:p>
    <w:p w14:paraId="44ED4722" w14:textId="6E36ED54" w:rsidR="008D293D" w:rsidRDefault="008D293D" w:rsidP="002C602A">
      <w:pPr>
        <w:pStyle w:val="NoSpacing"/>
        <w:spacing w:line="276" w:lineRule="auto"/>
        <w:jc w:val="center"/>
        <w:rPr>
          <w:rFonts w:ascii="Book Antiqua" w:hAnsi="Book Antiqua"/>
          <w:b/>
          <w:bCs/>
          <w:color w:val="000000"/>
          <w:szCs w:val="24"/>
          <w:lang w:val="es-ES"/>
        </w:rPr>
      </w:pPr>
      <w:r w:rsidRPr="00230262">
        <w:rPr>
          <w:rFonts w:ascii="Book Antiqua" w:hAnsi="Book Antiqua"/>
          <w:b/>
          <w:bCs/>
          <w:color w:val="000000"/>
          <w:szCs w:val="24"/>
          <w:lang w:val="es-ES"/>
        </w:rPr>
        <w:lastRenderedPageBreak/>
        <w:t>ANÁLISIS DE LA MEDIDA</w:t>
      </w:r>
    </w:p>
    <w:p w14:paraId="29918F01" w14:textId="77777777" w:rsidR="002C602A" w:rsidRPr="002C602A" w:rsidRDefault="002C602A" w:rsidP="002C602A">
      <w:pPr>
        <w:pStyle w:val="NoSpacing"/>
        <w:spacing w:line="276" w:lineRule="auto"/>
        <w:jc w:val="center"/>
        <w:rPr>
          <w:rFonts w:ascii="Book Antiqua" w:hAnsi="Book Antiqua"/>
          <w:b/>
          <w:bCs/>
          <w:color w:val="000000"/>
          <w:sz w:val="18"/>
          <w:szCs w:val="18"/>
          <w:lang w:val="es-ES"/>
        </w:rPr>
      </w:pPr>
    </w:p>
    <w:p w14:paraId="438975A9" w14:textId="4EF28932" w:rsidR="00634FC4" w:rsidRDefault="00634FC4" w:rsidP="00634FC4">
      <w:pPr>
        <w:jc w:val="both"/>
        <w:rPr>
          <w:rFonts w:ascii="Book Antiqua" w:hAnsi="Book Antiqua"/>
          <w:lang w:val="es-PR"/>
        </w:rPr>
      </w:pPr>
      <w:r>
        <w:rPr>
          <w:rFonts w:ascii="Book Antiqua" w:hAnsi="Book Antiqua"/>
          <w:lang w:val="es-PR"/>
        </w:rPr>
        <w:t xml:space="preserve">La Comisión de Trabajo y Relaciones Laborales del Senado de Puerto Rico, en cumplimiento de su responsabilidad en el estudio y evaluación del proyecto, solicito memorial explicativo al Departamento del Trabajo y Recursos Humanos (DTRH).  Habiéndose recibido sus comentarios, a continuación, expresamos su posición sobre los propósitos de esta medida.  </w:t>
      </w:r>
    </w:p>
    <w:p w14:paraId="6443D536" w14:textId="77777777" w:rsidR="00D91DD6" w:rsidRPr="00634FC4" w:rsidRDefault="00D91DD6" w:rsidP="00230262">
      <w:pPr>
        <w:pStyle w:val="NoSpacing"/>
        <w:spacing w:line="276" w:lineRule="auto"/>
        <w:jc w:val="both"/>
        <w:rPr>
          <w:rFonts w:ascii="Book Antiqua" w:hAnsi="Book Antiqua"/>
          <w:sz w:val="18"/>
          <w:szCs w:val="18"/>
          <w:lang w:val="es-PR"/>
        </w:rPr>
      </w:pPr>
    </w:p>
    <w:p w14:paraId="14124757" w14:textId="77777777" w:rsidR="00B11F41" w:rsidRDefault="00B11F41" w:rsidP="00230262">
      <w:pPr>
        <w:pStyle w:val="NoSpacing"/>
        <w:spacing w:line="276" w:lineRule="auto"/>
        <w:jc w:val="center"/>
        <w:rPr>
          <w:rFonts w:ascii="Book Antiqua" w:hAnsi="Book Antiqua"/>
          <w:b/>
          <w:bCs/>
          <w:szCs w:val="24"/>
          <w:u w:val="single"/>
          <w:lang w:val="es-ES"/>
        </w:rPr>
      </w:pPr>
    </w:p>
    <w:p w14:paraId="5251F389" w14:textId="77777777" w:rsidR="00634FC4" w:rsidRDefault="00634FC4" w:rsidP="00634FC4">
      <w:pPr>
        <w:jc w:val="center"/>
        <w:rPr>
          <w:rFonts w:ascii="Book Antiqua" w:hAnsi="Book Antiqua"/>
          <w:b/>
          <w:bCs/>
          <w:u w:val="single"/>
          <w:lang w:val="es-PR"/>
        </w:rPr>
      </w:pPr>
      <w:r w:rsidRPr="00261E7E">
        <w:rPr>
          <w:rFonts w:ascii="Book Antiqua" w:hAnsi="Book Antiqua"/>
          <w:b/>
          <w:bCs/>
          <w:u w:val="single"/>
          <w:lang w:val="es-PR"/>
        </w:rPr>
        <w:t>Departamento del Trabajo y Recursos Humanos</w:t>
      </w:r>
    </w:p>
    <w:p w14:paraId="058CE7DA" w14:textId="77777777" w:rsidR="00634FC4" w:rsidRDefault="00634FC4" w:rsidP="00634FC4">
      <w:pPr>
        <w:jc w:val="center"/>
        <w:rPr>
          <w:rFonts w:ascii="Book Antiqua" w:hAnsi="Book Antiqua"/>
          <w:b/>
          <w:bCs/>
          <w:u w:val="single"/>
          <w:lang w:val="es-PR"/>
        </w:rPr>
      </w:pPr>
    </w:p>
    <w:p w14:paraId="5FE30635" w14:textId="77777777" w:rsidR="001D69C8" w:rsidRDefault="001D69C8" w:rsidP="00495D94">
      <w:pPr>
        <w:pStyle w:val="NormalWeb"/>
        <w:spacing w:before="0" w:beforeAutospacing="0" w:after="0" w:afterAutospacing="0" w:line="360" w:lineRule="auto"/>
        <w:jc w:val="both"/>
        <w:rPr>
          <w:rFonts w:ascii="Book Antiqua" w:hAnsi="Book Antiqua"/>
        </w:rPr>
      </w:pPr>
      <w:r w:rsidRPr="00495D94">
        <w:rPr>
          <w:rFonts w:ascii="Book Antiqua" w:hAnsi="Book Antiqua"/>
        </w:rPr>
        <w:t>El Departamento del Trabajo y Recursos Humanos (DTRH), conforme a su Ley Orgánica, tiene el deber de proteger los derechos de los trabajadores, velar por el cumplimiento de las leyes laborales, promover el balance entre patronos y empleados, y fomentar oportunidades de empleo. Su intervención se limita al sector privado y corporaciones públicas que operan como entidades privadas.</w:t>
      </w:r>
    </w:p>
    <w:p w14:paraId="3EACB1D1" w14:textId="77777777" w:rsidR="00495D94" w:rsidRPr="00495D94" w:rsidRDefault="00495D94" w:rsidP="00495D94">
      <w:pPr>
        <w:pStyle w:val="NormalWeb"/>
        <w:spacing w:before="0" w:beforeAutospacing="0" w:after="0" w:afterAutospacing="0" w:line="360" w:lineRule="auto"/>
        <w:jc w:val="both"/>
        <w:rPr>
          <w:rFonts w:ascii="Book Antiqua" w:hAnsi="Book Antiqua"/>
        </w:rPr>
      </w:pPr>
    </w:p>
    <w:p w14:paraId="6A87102F" w14:textId="7B7E35D7" w:rsidR="001D69C8" w:rsidRDefault="001D69C8" w:rsidP="00495D94">
      <w:pPr>
        <w:pStyle w:val="NormalWeb"/>
        <w:spacing w:before="0" w:beforeAutospacing="0" w:after="0" w:afterAutospacing="0" w:line="360" w:lineRule="auto"/>
        <w:jc w:val="both"/>
        <w:rPr>
          <w:rFonts w:ascii="Book Antiqua" w:hAnsi="Book Antiqua"/>
        </w:rPr>
      </w:pPr>
      <w:r w:rsidRPr="00495D94">
        <w:rPr>
          <w:rFonts w:ascii="Book Antiqua" w:hAnsi="Book Antiqua"/>
        </w:rPr>
        <w:t>En el análisis del Proyecto de la Cámara 585, el DTRH respalda su aprobación por entender que aclara y fortalece el marco jurídico laboral vigente. El reglamento de la Oficina de Mediación y Adjudicación (OMA) se armoniza con la Ley Núm. 2-1961, que establece procedimientos adjudicativos sumarios. Estos procedimientos se aplican cuando una parte no contesta una querella o no comparece a una vista administrativa, conforme a la normativa aplicable</w:t>
      </w:r>
      <w:r w:rsidR="00495D94" w:rsidRPr="00495D94">
        <w:rPr>
          <w:rFonts w:ascii="Book Antiqua" w:hAnsi="Book Antiqua"/>
        </w:rPr>
        <w:t xml:space="preserve">. </w:t>
      </w:r>
      <w:r w:rsidRPr="00495D94">
        <w:rPr>
          <w:rFonts w:ascii="Book Antiqua" w:hAnsi="Book Antiqua"/>
        </w:rPr>
        <w:t>El DTRH apoya expresamente que se reconozca la aplicación del procedimiento sumario laboral de la Ley Núm. 2-1961 a los procesos ante la OMA. También respalda la enmienda que reconoce la jurisdicción concurrente entre la OMA y el Tribunal de Primera Instancia para atender reclamaciones relacionadas con el salario mínimo según la Ley Núm. 47-2021. Asimismo, apoya la inclusión de un nuevo inciso que otorga a la OMA jurisdicción para atender solicitudes de acomodo razonable por motivos religiosos, conforme al Artículo 2.19 de la Ley Núm. 4-2017.</w:t>
      </w:r>
    </w:p>
    <w:p w14:paraId="3F721AF2" w14:textId="77777777" w:rsidR="00495D94" w:rsidRDefault="00495D94" w:rsidP="00634FC4">
      <w:pPr>
        <w:pStyle w:val="NoSpacing"/>
        <w:spacing w:line="276" w:lineRule="auto"/>
        <w:jc w:val="both"/>
        <w:rPr>
          <w:rFonts w:ascii="Book Antiqua" w:hAnsi="Book Antiqua"/>
          <w:szCs w:val="24"/>
          <w:lang w:val="es-ES"/>
        </w:rPr>
      </w:pPr>
    </w:p>
    <w:p w14:paraId="75853A5E" w14:textId="433ABD04" w:rsidR="009C1EBC" w:rsidRPr="00B672C0" w:rsidRDefault="00495D94" w:rsidP="00495D94">
      <w:pPr>
        <w:pStyle w:val="NoSpacing"/>
        <w:spacing w:line="360" w:lineRule="auto"/>
        <w:jc w:val="both"/>
        <w:rPr>
          <w:rFonts w:ascii="Book Antiqua" w:hAnsi="Book Antiqua"/>
          <w:szCs w:val="24"/>
          <w:lang w:val="es-ES"/>
        </w:rPr>
      </w:pPr>
      <w:r>
        <w:rPr>
          <w:rFonts w:ascii="Book Antiqua" w:hAnsi="Book Antiqua"/>
          <w:szCs w:val="24"/>
          <w:lang w:val="es-ES"/>
        </w:rPr>
        <w:t>P</w:t>
      </w:r>
      <w:r w:rsidR="009C1EBC" w:rsidRPr="00B672C0">
        <w:rPr>
          <w:rFonts w:ascii="Book Antiqua" w:hAnsi="Book Antiqua"/>
          <w:szCs w:val="24"/>
          <w:lang w:val="es-ES"/>
        </w:rPr>
        <w:t xml:space="preserve">or lo antes expuesto, </w:t>
      </w:r>
      <w:r w:rsidR="00634FC4" w:rsidRPr="00B672C0">
        <w:rPr>
          <w:rFonts w:ascii="Book Antiqua" w:hAnsi="Book Antiqua"/>
          <w:szCs w:val="24"/>
          <w:lang w:val="es-ES"/>
        </w:rPr>
        <w:t xml:space="preserve">el Departamento del Trabajo y Recursos Humanos (DTRH) </w:t>
      </w:r>
      <w:r w:rsidR="009C1EBC" w:rsidRPr="00B672C0">
        <w:rPr>
          <w:rFonts w:ascii="Book Antiqua" w:hAnsi="Book Antiqua"/>
          <w:b/>
          <w:bCs/>
          <w:szCs w:val="24"/>
          <w:lang w:val="es-ES"/>
        </w:rPr>
        <w:t>endos</w:t>
      </w:r>
      <w:r w:rsidR="000F63AF" w:rsidRPr="00B672C0">
        <w:rPr>
          <w:rFonts w:ascii="Book Antiqua" w:hAnsi="Book Antiqua"/>
          <w:b/>
          <w:bCs/>
          <w:szCs w:val="24"/>
          <w:lang w:val="es-ES"/>
        </w:rPr>
        <w:t>ó</w:t>
      </w:r>
      <w:r w:rsidR="009C1EBC" w:rsidRPr="00B672C0">
        <w:rPr>
          <w:rFonts w:ascii="Book Antiqua" w:hAnsi="Book Antiqua"/>
          <w:b/>
          <w:bCs/>
          <w:szCs w:val="24"/>
          <w:lang w:val="es-ES"/>
        </w:rPr>
        <w:t xml:space="preserve"> la aprobación</w:t>
      </w:r>
      <w:r w:rsidR="009C1EBC" w:rsidRPr="00B672C0">
        <w:rPr>
          <w:rFonts w:ascii="Book Antiqua" w:hAnsi="Book Antiqua"/>
          <w:szCs w:val="24"/>
          <w:lang w:val="es-ES"/>
        </w:rPr>
        <w:t xml:space="preserve"> de esta pieza legislativa</w:t>
      </w:r>
      <w:r w:rsidR="00634FC4" w:rsidRPr="00B672C0">
        <w:rPr>
          <w:rFonts w:ascii="Book Antiqua" w:hAnsi="Book Antiqua"/>
          <w:szCs w:val="24"/>
          <w:lang w:val="es-ES"/>
        </w:rPr>
        <w:t>.</w:t>
      </w:r>
    </w:p>
    <w:p w14:paraId="644E169A" w14:textId="77777777" w:rsidR="00D91DD6" w:rsidRPr="00230262" w:rsidRDefault="00D91DD6" w:rsidP="00230262">
      <w:pPr>
        <w:pStyle w:val="NoSpacing"/>
        <w:spacing w:line="276" w:lineRule="auto"/>
        <w:rPr>
          <w:rFonts w:ascii="Book Antiqua" w:hAnsi="Book Antiqua"/>
          <w:szCs w:val="24"/>
          <w:lang w:val="es-ES"/>
        </w:rPr>
      </w:pPr>
    </w:p>
    <w:p w14:paraId="1EBC86A4" w14:textId="77777777" w:rsidR="00D91DD6" w:rsidRPr="00230262" w:rsidRDefault="00D91DD6" w:rsidP="00230262">
      <w:pPr>
        <w:pStyle w:val="NoSpacing"/>
        <w:spacing w:line="276" w:lineRule="auto"/>
        <w:rPr>
          <w:rFonts w:ascii="Book Antiqua" w:hAnsi="Book Antiqua"/>
          <w:szCs w:val="24"/>
          <w:lang w:val="es-ES"/>
        </w:rPr>
      </w:pPr>
    </w:p>
    <w:p w14:paraId="6CAF7662" w14:textId="77777777" w:rsidR="002C602A" w:rsidRPr="002C602A" w:rsidRDefault="002C602A" w:rsidP="00230262">
      <w:pPr>
        <w:pStyle w:val="NoSpacing"/>
        <w:spacing w:line="276" w:lineRule="auto"/>
        <w:rPr>
          <w:rFonts w:ascii="Book Antiqua" w:hAnsi="Book Antiqua"/>
          <w:b/>
          <w:sz w:val="18"/>
          <w:szCs w:val="18"/>
          <w:lang w:val="es-PR"/>
        </w:rPr>
      </w:pPr>
    </w:p>
    <w:p w14:paraId="2AF4AAE2" w14:textId="77777777" w:rsidR="00E36DA2" w:rsidRPr="00230262" w:rsidRDefault="00E36DA2" w:rsidP="00230262">
      <w:pPr>
        <w:pStyle w:val="NoSpacing"/>
        <w:spacing w:line="276" w:lineRule="auto"/>
        <w:jc w:val="center"/>
        <w:rPr>
          <w:rFonts w:ascii="Book Antiqua" w:hAnsi="Book Antiqua"/>
          <w:b/>
          <w:szCs w:val="24"/>
          <w:lang w:val="es-ES"/>
        </w:rPr>
      </w:pPr>
      <w:r w:rsidRPr="00230262">
        <w:rPr>
          <w:rFonts w:ascii="Book Antiqua" w:hAnsi="Book Antiqua"/>
          <w:b/>
          <w:szCs w:val="24"/>
          <w:lang w:val="es-ES"/>
        </w:rPr>
        <w:t>IMPACTO FISCAL MUNICIPAL</w:t>
      </w:r>
    </w:p>
    <w:p w14:paraId="15A91002" w14:textId="77777777" w:rsidR="00B672C0" w:rsidRDefault="00B672C0" w:rsidP="00B672C0">
      <w:pPr>
        <w:spacing w:line="276" w:lineRule="auto"/>
        <w:jc w:val="both"/>
        <w:rPr>
          <w:rFonts w:ascii="Book Antiqua" w:eastAsia="Times New Roman" w:hAnsi="Book Antiqua"/>
          <w:szCs w:val="24"/>
          <w:shd w:val="clear" w:color="auto" w:fill="FFFFFF"/>
          <w:lang w:val="es-ES"/>
        </w:rPr>
      </w:pPr>
    </w:p>
    <w:p w14:paraId="5138AF3B" w14:textId="77777777" w:rsidR="00495D94" w:rsidRPr="00495D94" w:rsidRDefault="00495D94" w:rsidP="00495D94">
      <w:pPr>
        <w:spacing w:line="360" w:lineRule="auto"/>
        <w:jc w:val="both"/>
        <w:rPr>
          <w:rFonts w:ascii="Book Antiqua" w:eastAsia="Aptos" w:hAnsi="Book Antiqua" w:cs="Arial"/>
          <w:kern w:val="2"/>
          <w:szCs w:val="24"/>
          <w:lang w:val="es-PR"/>
          <w14:ligatures w14:val="standardContextual"/>
        </w:rPr>
      </w:pPr>
      <w:r w:rsidRPr="00495D94">
        <w:rPr>
          <w:rFonts w:ascii="Book Antiqua" w:eastAsia="Aptos" w:hAnsi="Book Antiqua" w:cs="Arial"/>
          <w:kern w:val="2"/>
          <w:szCs w:val="24"/>
          <w:lang w:val="es-PR"/>
          <w14:ligatures w14:val="standardContextual"/>
        </w:rPr>
        <w:t xml:space="preserve">En cumplimiento con el Articulo 1.007 de la Ley 107-2020, según enmendada, conocida como “Código Municipal de Puerto Rico”, la Comisión de Trabajo y Relaciones Laborales del Senado de Puerto Rico certifica que el </w:t>
      </w:r>
      <w:r w:rsidRPr="00495D94">
        <w:rPr>
          <w:rFonts w:ascii="Book Antiqua" w:eastAsia="Aptos" w:hAnsi="Book Antiqua" w:cs="Arial"/>
          <w:b/>
          <w:bCs/>
          <w:kern w:val="2"/>
          <w:szCs w:val="24"/>
          <w:lang w:val="es-PR"/>
          <w14:ligatures w14:val="standardContextual"/>
        </w:rPr>
        <w:t>P de la C 585</w:t>
      </w:r>
      <w:r w:rsidRPr="00495D94">
        <w:rPr>
          <w:rFonts w:ascii="Book Antiqua" w:eastAsia="Aptos" w:hAnsi="Book Antiqua" w:cs="Arial"/>
          <w:kern w:val="2"/>
          <w:szCs w:val="24"/>
          <w:lang w:val="es-PR"/>
          <w14:ligatures w14:val="standardContextual"/>
        </w:rPr>
        <w:t xml:space="preserve"> no impone una obligación económica adicional en los presupuestos de los gobiernos municipales.</w:t>
      </w:r>
    </w:p>
    <w:p w14:paraId="221885CD" w14:textId="77777777" w:rsidR="005B111A" w:rsidRPr="00495D94" w:rsidRDefault="005B111A" w:rsidP="00230262">
      <w:pPr>
        <w:pStyle w:val="ColorfulList-Accent11"/>
        <w:spacing w:line="276" w:lineRule="auto"/>
        <w:ind w:left="0"/>
        <w:jc w:val="center"/>
        <w:rPr>
          <w:rFonts w:ascii="Book Antiqua" w:hAnsi="Book Antiqua"/>
          <w:b/>
          <w:szCs w:val="24"/>
          <w:lang w:val="es-PR"/>
        </w:rPr>
      </w:pPr>
    </w:p>
    <w:p w14:paraId="50783B18" w14:textId="534F3E5E" w:rsidR="00E36DA2" w:rsidRDefault="00E36DA2" w:rsidP="00230262">
      <w:pPr>
        <w:pStyle w:val="ColorfulList-Accent11"/>
        <w:spacing w:line="276" w:lineRule="auto"/>
        <w:ind w:left="0"/>
        <w:jc w:val="center"/>
        <w:rPr>
          <w:rFonts w:ascii="Book Antiqua" w:hAnsi="Book Antiqua"/>
          <w:b/>
          <w:szCs w:val="24"/>
          <w:lang w:val="es-ES"/>
        </w:rPr>
      </w:pPr>
      <w:r w:rsidRPr="00230262">
        <w:rPr>
          <w:rFonts w:ascii="Book Antiqua" w:hAnsi="Book Antiqua"/>
          <w:b/>
          <w:szCs w:val="24"/>
          <w:lang w:val="es-ES"/>
        </w:rPr>
        <w:t>CONCLUSIÓN</w:t>
      </w:r>
    </w:p>
    <w:p w14:paraId="22B002A8" w14:textId="77777777" w:rsidR="00415389" w:rsidRPr="00230262" w:rsidRDefault="00415389" w:rsidP="00230262">
      <w:pPr>
        <w:pStyle w:val="ColorfulList-Accent11"/>
        <w:spacing w:line="276" w:lineRule="auto"/>
        <w:ind w:left="0"/>
        <w:jc w:val="center"/>
        <w:rPr>
          <w:rFonts w:ascii="Book Antiqua" w:hAnsi="Book Antiqua"/>
          <w:b/>
          <w:szCs w:val="24"/>
          <w:lang w:val="es-ES"/>
        </w:rPr>
      </w:pPr>
    </w:p>
    <w:p w14:paraId="7A974A70" w14:textId="77777777" w:rsidR="00415389" w:rsidRDefault="00415389" w:rsidP="00415389">
      <w:pPr>
        <w:pStyle w:val="NormalWeb"/>
        <w:spacing w:before="0" w:beforeAutospacing="0" w:after="0" w:afterAutospacing="0" w:line="360" w:lineRule="auto"/>
        <w:jc w:val="both"/>
        <w:rPr>
          <w:rFonts w:ascii="Book Antiqua" w:hAnsi="Book Antiqua"/>
        </w:rPr>
      </w:pPr>
      <w:r w:rsidRPr="00415389">
        <w:rPr>
          <w:rFonts w:ascii="Book Antiqua" w:hAnsi="Book Antiqua"/>
        </w:rPr>
        <w:t>La Comisión de Trabajo y Relaciones Laborales del Senado de Puerto Rico, reconociendo la importancia del P. de la C. 585, entiende que esta medida no solo es justa, sino también necesaria para abordar las realidades obrero-patronales actuales en Puerto Rico. Esta iniciativa legislativa cuenta con el respaldo del Departamento del Trabajo y Recursos Humanos (DTRH), el cual, conforme a su Ley Orgánica, tiene la responsabilidad de proteger los derechos de los trabajadores, garantizar el cumplimiento de las leyes laborales y fomentar un balance adecuado entre patronos y empleados.</w:t>
      </w:r>
    </w:p>
    <w:p w14:paraId="45498251" w14:textId="77777777" w:rsidR="00415389" w:rsidRPr="00415389" w:rsidRDefault="00415389" w:rsidP="00415389">
      <w:pPr>
        <w:pStyle w:val="NormalWeb"/>
        <w:spacing w:before="0" w:beforeAutospacing="0" w:after="0" w:afterAutospacing="0" w:line="360" w:lineRule="auto"/>
        <w:jc w:val="both"/>
        <w:rPr>
          <w:rFonts w:ascii="Book Antiqua" w:hAnsi="Book Antiqua"/>
        </w:rPr>
      </w:pPr>
    </w:p>
    <w:p w14:paraId="190F9DDB" w14:textId="77777777" w:rsidR="00415389" w:rsidRDefault="00415389" w:rsidP="00415389">
      <w:pPr>
        <w:pStyle w:val="NormalWeb"/>
        <w:spacing w:before="0" w:beforeAutospacing="0" w:after="0" w:afterAutospacing="0" w:line="360" w:lineRule="auto"/>
        <w:jc w:val="both"/>
        <w:rPr>
          <w:rFonts w:ascii="Book Antiqua" w:hAnsi="Book Antiqua"/>
        </w:rPr>
      </w:pPr>
      <w:r w:rsidRPr="00415389">
        <w:rPr>
          <w:rFonts w:ascii="Book Antiqua" w:hAnsi="Book Antiqua"/>
        </w:rPr>
        <w:t>El DTRH ha expresado que el proyecto aclara y fortalece el marco jurídico laboral vigente, al armonizar los procedimientos de la Oficina de Mediación y Adjudicación (OMA) con la Ley Núm. 2-1961, e incorporar disposiciones que agilizan la resolución de disputas laborales, incluyendo reclamaciones por salario mínimo y solicitudes de acomodo razonable por motivos religiosos. Estas enmiendas dotan de mayor claridad y efectividad al sistema, promoviendo el acceso a la justicia laboral y facilitando el cumplimiento de la política pública en esta materia.</w:t>
      </w:r>
    </w:p>
    <w:p w14:paraId="2C9B642A" w14:textId="77777777" w:rsidR="00415389" w:rsidRPr="00415389" w:rsidRDefault="00415389" w:rsidP="00415389">
      <w:pPr>
        <w:pStyle w:val="NormalWeb"/>
        <w:spacing w:before="0" w:beforeAutospacing="0" w:after="0" w:afterAutospacing="0" w:line="360" w:lineRule="auto"/>
        <w:jc w:val="both"/>
        <w:rPr>
          <w:rFonts w:ascii="Book Antiqua" w:hAnsi="Book Antiqua"/>
        </w:rPr>
      </w:pPr>
    </w:p>
    <w:p w14:paraId="3DBF6118" w14:textId="1ACDA3E5" w:rsidR="00E36DA2" w:rsidRDefault="00E36DA2" w:rsidP="00415389">
      <w:pPr>
        <w:pStyle w:val="NormalWeb"/>
        <w:spacing w:before="0" w:beforeAutospacing="0" w:after="0" w:afterAutospacing="0" w:line="360" w:lineRule="auto"/>
        <w:jc w:val="both"/>
        <w:rPr>
          <w:rFonts w:ascii="Book Antiqua" w:hAnsi="Book Antiqua"/>
          <w:lang w:val="es-ES"/>
        </w:rPr>
      </w:pPr>
      <w:r w:rsidRPr="00230262">
        <w:rPr>
          <w:rFonts w:ascii="Book Antiqua" w:hAnsi="Book Antiqua"/>
          <w:b/>
          <w:lang w:val="es-ES"/>
        </w:rPr>
        <w:t xml:space="preserve">POR TODO LO ANTES EXPUESTO, </w:t>
      </w:r>
      <w:r w:rsidRPr="00230262">
        <w:rPr>
          <w:rFonts w:ascii="Book Antiqua" w:hAnsi="Book Antiqua"/>
          <w:lang w:val="es-ES"/>
        </w:rPr>
        <w:t>la Comisión</w:t>
      </w:r>
      <w:r w:rsidRPr="00230262">
        <w:rPr>
          <w:rFonts w:ascii="Book Antiqua" w:hAnsi="Book Antiqua"/>
          <w:spacing w:val="-3"/>
          <w:lang w:val="es-ES"/>
        </w:rPr>
        <w:t xml:space="preserve"> </w:t>
      </w:r>
      <w:r w:rsidR="005B111A">
        <w:rPr>
          <w:rFonts w:ascii="Book Antiqua" w:hAnsi="Book Antiqua"/>
          <w:lang w:val="es-ES"/>
        </w:rPr>
        <w:t xml:space="preserve">del Trabajo y Relaciones Laborales </w:t>
      </w:r>
      <w:r w:rsidRPr="00230262">
        <w:rPr>
          <w:rFonts w:ascii="Book Antiqua" w:hAnsi="Book Antiqua"/>
          <w:spacing w:val="-3"/>
          <w:lang w:val="es-ES"/>
        </w:rPr>
        <w:t xml:space="preserve">del Senado de Puerto Rico </w:t>
      </w:r>
      <w:r w:rsidRPr="00230262">
        <w:rPr>
          <w:rFonts w:ascii="Book Antiqua" w:hAnsi="Book Antiqua"/>
          <w:lang w:val="es-ES"/>
        </w:rPr>
        <w:t xml:space="preserve">previo estudio y consideración, tienen a bien presentar ante este Alto Cuerpo el Informe Positivo sobre el </w:t>
      </w:r>
      <w:r w:rsidRPr="000F63AF">
        <w:rPr>
          <w:rFonts w:ascii="Book Antiqua" w:hAnsi="Book Antiqua"/>
          <w:bCs/>
          <w:lang w:val="es-ES"/>
        </w:rPr>
        <w:t>P</w:t>
      </w:r>
      <w:r w:rsidR="000F63AF" w:rsidRPr="000F63AF">
        <w:rPr>
          <w:rFonts w:ascii="Book Antiqua" w:hAnsi="Book Antiqua"/>
          <w:bCs/>
          <w:lang w:val="es-ES"/>
        </w:rPr>
        <w:t>. de</w:t>
      </w:r>
      <w:r w:rsidR="00A15B76">
        <w:rPr>
          <w:rFonts w:ascii="Book Antiqua" w:hAnsi="Book Antiqua"/>
          <w:bCs/>
          <w:lang w:val="es-ES"/>
        </w:rPr>
        <w:t xml:space="preserve"> </w:t>
      </w:r>
      <w:r w:rsidR="000F63AF" w:rsidRPr="000F63AF">
        <w:rPr>
          <w:rFonts w:ascii="Book Antiqua" w:hAnsi="Book Antiqua"/>
          <w:bCs/>
          <w:lang w:val="es-ES"/>
        </w:rPr>
        <w:t>l</w:t>
      </w:r>
      <w:r w:rsidR="00A15B76">
        <w:rPr>
          <w:rFonts w:ascii="Book Antiqua" w:hAnsi="Book Antiqua"/>
          <w:bCs/>
          <w:lang w:val="es-ES"/>
        </w:rPr>
        <w:t>a</w:t>
      </w:r>
      <w:r w:rsidR="000F63AF" w:rsidRPr="000F63AF">
        <w:rPr>
          <w:rFonts w:ascii="Book Antiqua" w:hAnsi="Book Antiqua"/>
          <w:bCs/>
          <w:lang w:val="es-ES"/>
        </w:rPr>
        <w:t xml:space="preserve"> </w:t>
      </w:r>
      <w:r w:rsidR="00A15B76">
        <w:rPr>
          <w:rFonts w:ascii="Book Antiqua" w:hAnsi="Book Antiqua"/>
          <w:bCs/>
          <w:lang w:val="es-ES"/>
        </w:rPr>
        <w:t>C</w:t>
      </w:r>
      <w:r w:rsidR="000F63AF" w:rsidRPr="000F63AF">
        <w:rPr>
          <w:rFonts w:ascii="Book Antiqua" w:hAnsi="Book Antiqua"/>
          <w:bCs/>
          <w:lang w:val="es-ES"/>
        </w:rPr>
        <w:t xml:space="preserve">. </w:t>
      </w:r>
      <w:r w:rsidR="00827FA1">
        <w:rPr>
          <w:rFonts w:ascii="Book Antiqua" w:hAnsi="Book Antiqua"/>
          <w:bCs/>
          <w:lang w:val="es-ES"/>
        </w:rPr>
        <w:t>585</w:t>
      </w:r>
      <w:r w:rsidRPr="00230262">
        <w:rPr>
          <w:rFonts w:ascii="Book Antiqua" w:hAnsi="Book Antiqua"/>
          <w:b/>
          <w:lang w:val="es-ES"/>
        </w:rPr>
        <w:t xml:space="preserve">, </w:t>
      </w:r>
      <w:r w:rsidRPr="00230262">
        <w:rPr>
          <w:rFonts w:ascii="Book Antiqua" w:hAnsi="Book Antiqua"/>
          <w:lang w:val="es-ES"/>
        </w:rPr>
        <w:t xml:space="preserve">recomendando su aprobación </w:t>
      </w:r>
      <w:r w:rsidR="006875B2">
        <w:rPr>
          <w:rFonts w:ascii="Book Antiqua" w:hAnsi="Book Antiqua"/>
          <w:lang w:val="es-ES"/>
        </w:rPr>
        <w:t xml:space="preserve">sin </w:t>
      </w:r>
      <w:r w:rsidRPr="00230262">
        <w:rPr>
          <w:rFonts w:ascii="Book Antiqua" w:hAnsi="Book Antiqua"/>
          <w:lang w:val="es-ES"/>
        </w:rPr>
        <w:t>enmiendas</w:t>
      </w:r>
      <w:r w:rsidR="006875B2">
        <w:rPr>
          <w:rFonts w:ascii="Book Antiqua" w:hAnsi="Book Antiqua"/>
          <w:lang w:val="es-ES"/>
        </w:rPr>
        <w:t>.</w:t>
      </w:r>
    </w:p>
    <w:p w14:paraId="447DD4E3" w14:textId="77777777" w:rsidR="00160E68" w:rsidRDefault="00160E68" w:rsidP="000F63AF">
      <w:pPr>
        <w:spacing w:line="276" w:lineRule="auto"/>
        <w:ind w:firstLine="720"/>
        <w:jc w:val="both"/>
        <w:rPr>
          <w:rFonts w:ascii="Book Antiqua" w:hAnsi="Book Antiqua"/>
          <w:szCs w:val="24"/>
          <w:lang w:val="es-ES"/>
        </w:rPr>
      </w:pPr>
    </w:p>
    <w:p w14:paraId="60049751" w14:textId="77777777" w:rsidR="000C5B94" w:rsidRPr="00230262" w:rsidRDefault="000C5B94" w:rsidP="00230262">
      <w:pPr>
        <w:spacing w:line="276" w:lineRule="auto"/>
        <w:jc w:val="both"/>
        <w:rPr>
          <w:rFonts w:ascii="Book Antiqua" w:hAnsi="Book Antiqua"/>
          <w:szCs w:val="24"/>
          <w:lang w:val="es-ES"/>
        </w:rPr>
      </w:pPr>
    </w:p>
    <w:p w14:paraId="68EE1285" w14:textId="4DBFBFF1" w:rsidR="00E36DA2" w:rsidRDefault="00E36DA2" w:rsidP="00230262">
      <w:pPr>
        <w:spacing w:line="276" w:lineRule="auto"/>
        <w:jc w:val="both"/>
        <w:rPr>
          <w:rFonts w:ascii="Book Antiqua" w:hAnsi="Book Antiqua"/>
          <w:szCs w:val="24"/>
          <w:lang w:val="es-ES"/>
        </w:rPr>
      </w:pPr>
      <w:r w:rsidRPr="00230262">
        <w:rPr>
          <w:rFonts w:ascii="Book Antiqua" w:hAnsi="Book Antiqua"/>
          <w:szCs w:val="24"/>
          <w:lang w:val="es-ES"/>
        </w:rPr>
        <w:t>Respetuosamente sometido,</w:t>
      </w:r>
    </w:p>
    <w:p w14:paraId="5E594605" w14:textId="77777777" w:rsidR="00160E68" w:rsidRDefault="00160E68" w:rsidP="00230262">
      <w:pPr>
        <w:spacing w:line="276" w:lineRule="auto"/>
        <w:jc w:val="both"/>
        <w:rPr>
          <w:rFonts w:ascii="Book Antiqua" w:hAnsi="Book Antiqua"/>
          <w:szCs w:val="24"/>
          <w:lang w:val="es-ES"/>
        </w:rPr>
      </w:pPr>
    </w:p>
    <w:p w14:paraId="2E278073" w14:textId="77777777" w:rsidR="00160E68" w:rsidRPr="00230262" w:rsidRDefault="00160E68" w:rsidP="00230262">
      <w:pPr>
        <w:spacing w:line="276" w:lineRule="auto"/>
        <w:jc w:val="both"/>
        <w:rPr>
          <w:rFonts w:ascii="Book Antiqua" w:hAnsi="Book Antiqua"/>
          <w:szCs w:val="24"/>
          <w:lang w:val="es-ES"/>
        </w:rPr>
      </w:pPr>
    </w:p>
    <w:p w14:paraId="10496F4E" w14:textId="77777777" w:rsidR="00E36DA2" w:rsidRPr="00230262" w:rsidRDefault="00E36DA2" w:rsidP="00230262">
      <w:pPr>
        <w:spacing w:line="276" w:lineRule="auto"/>
        <w:jc w:val="both"/>
        <w:rPr>
          <w:rFonts w:ascii="Book Antiqua" w:hAnsi="Book Antiqua"/>
          <w:szCs w:val="24"/>
          <w:lang w:val="es-ES"/>
        </w:rPr>
      </w:pPr>
    </w:p>
    <w:p w14:paraId="6C3FC7E5" w14:textId="13262F96" w:rsidR="00E36DA2" w:rsidRPr="00230262" w:rsidRDefault="006875B2" w:rsidP="00230262">
      <w:pPr>
        <w:spacing w:line="276" w:lineRule="auto"/>
        <w:jc w:val="both"/>
        <w:outlineLvl w:val="0"/>
        <w:rPr>
          <w:rFonts w:ascii="Book Antiqua" w:hAnsi="Book Antiqua"/>
          <w:b/>
          <w:szCs w:val="24"/>
          <w:lang w:val="es-ES"/>
        </w:rPr>
      </w:pPr>
      <w:r>
        <w:rPr>
          <w:rFonts w:ascii="Book Antiqua" w:hAnsi="Book Antiqua"/>
          <w:b/>
          <w:szCs w:val="24"/>
          <w:lang w:val="es-ES"/>
        </w:rPr>
        <w:t xml:space="preserve">Luis </w:t>
      </w:r>
      <w:r w:rsidR="005B111A">
        <w:rPr>
          <w:rFonts w:ascii="Book Antiqua" w:hAnsi="Book Antiqua"/>
          <w:b/>
          <w:szCs w:val="24"/>
          <w:lang w:val="es-ES"/>
        </w:rPr>
        <w:t>Daniel</w:t>
      </w:r>
      <w:r>
        <w:rPr>
          <w:rFonts w:ascii="Book Antiqua" w:hAnsi="Book Antiqua"/>
          <w:b/>
          <w:szCs w:val="24"/>
          <w:lang w:val="es-ES"/>
        </w:rPr>
        <w:t xml:space="preserve"> </w:t>
      </w:r>
      <w:r w:rsidR="0063123F">
        <w:rPr>
          <w:rFonts w:ascii="Book Antiqua" w:hAnsi="Book Antiqua"/>
          <w:b/>
          <w:szCs w:val="24"/>
          <w:lang w:val="es-ES"/>
        </w:rPr>
        <w:t>Colón</w:t>
      </w:r>
      <w:r>
        <w:rPr>
          <w:rFonts w:ascii="Book Antiqua" w:hAnsi="Book Antiqua"/>
          <w:b/>
          <w:szCs w:val="24"/>
          <w:lang w:val="es-ES"/>
        </w:rPr>
        <w:t xml:space="preserve"> La Santa</w:t>
      </w:r>
    </w:p>
    <w:p w14:paraId="65E47DBF" w14:textId="099C59C9" w:rsidR="00E36DA2" w:rsidRPr="00230262" w:rsidRDefault="00E36DA2" w:rsidP="00230262">
      <w:pPr>
        <w:spacing w:line="276" w:lineRule="auto"/>
        <w:jc w:val="both"/>
        <w:rPr>
          <w:rFonts w:ascii="Book Antiqua" w:hAnsi="Book Antiqua"/>
          <w:szCs w:val="24"/>
          <w:lang w:val="es-ES"/>
        </w:rPr>
      </w:pPr>
      <w:r w:rsidRPr="00230262">
        <w:rPr>
          <w:rFonts w:ascii="Book Antiqua" w:hAnsi="Book Antiqua"/>
          <w:szCs w:val="24"/>
          <w:lang w:val="es-ES"/>
        </w:rPr>
        <w:t>President</w:t>
      </w:r>
      <w:r w:rsidR="006875B2">
        <w:rPr>
          <w:rFonts w:ascii="Book Antiqua" w:hAnsi="Book Antiqua"/>
          <w:szCs w:val="24"/>
          <w:lang w:val="es-ES"/>
        </w:rPr>
        <w:t>e</w:t>
      </w:r>
    </w:p>
    <w:p w14:paraId="2654EE34" w14:textId="597D2343" w:rsidR="003C49C9" w:rsidRPr="00230262" w:rsidRDefault="00E36DA2" w:rsidP="00160E68">
      <w:pPr>
        <w:spacing w:line="276" w:lineRule="auto"/>
        <w:jc w:val="both"/>
        <w:rPr>
          <w:rFonts w:ascii="Book Antiqua" w:hAnsi="Book Antiqua"/>
          <w:szCs w:val="24"/>
          <w:lang w:val="es-ES"/>
        </w:rPr>
      </w:pPr>
      <w:r w:rsidRPr="00230262">
        <w:rPr>
          <w:rFonts w:ascii="Book Antiqua" w:hAnsi="Book Antiqua"/>
          <w:szCs w:val="24"/>
          <w:lang w:val="es-ES"/>
        </w:rPr>
        <w:t>Comisión de</w:t>
      </w:r>
      <w:r w:rsidR="006875B2">
        <w:rPr>
          <w:rFonts w:ascii="Book Antiqua" w:hAnsi="Book Antiqua"/>
          <w:szCs w:val="24"/>
          <w:lang w:val="es-ES"/>
        </w:rPr>
        <w:t xml:space="preserve"> Trabajo y Relaciones Laborales</w:t>
      </w:r>
    </w:p>
    <w:sectPr w:rsidR="003C49C9" w:rsidRPr="00230262" w:rsidSect="00E36DA2">
      <w:head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E5F2F" w14:textId="77777777" w:rsidR="003A07D3" w:rsidRDefault="003A07D3" w:rsidP="00E36DA2">
      <w:r>
        <w:separator/>
      </w:r>
    </w:p>
  </w:endnote>
  <w:endnote w:type="continuationSeparator" w:id="0">
    <w:p w14:paraId="66FC35B6" w14:textId="77777777" w:rsidR="003A07D3" w:rsidRDefault="003A07D3" w:rsidP="00E36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FB8F9" w14:textId="77777777" w:rsidR="003A07D3" w:rsidRDefault="003A07D3" w:rsidP="00E36DA2">
      <w:r>
        <w:separator/>
      </w:r>
    </w:p>
  </w:footnote>
  <w:footnote w:type="continuationSeparator" w:id="0">
    <w:p w14:paraId="702335CD" w14:textId="77777777" w:rsidR="003A07D3" w:rsidRDefault="003A07D3" w:rsidP="00E36D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6E4D4" w14:textId="3754E56E" w:rsidR="00873451" w:rsidRPr="00720125" w:rsidRDefault="00873451">
    <w:pPr>
      <w:pStyle w:val="Header"/>
      <w:pBdr>
        <w:bottom w:val="single" w:sz="12" w:space="1" w:color="auto"/>
      </w:pBdr>
      <w:rPr>
        <w:rFonts w:ascii="Book Antiqua" w:hAnsi="Book Antiqua"/>
        <w:b/>
        <w:i/>
        <w:iCs/>
        <w:sz w:val="20"/>
        <w:lang w:val="es-PR"/>
      </w:rPr>
    </w:pPr>
    <w:r w:rsidRPr="00720125">
      <w:rPr>
        <w:rFonts w:ascii="Book Antiqua" w:hAnsi="Book Antiqua"/>
        <w:b/>
        <w:i/>
        <w:iCs/>
        <w:sz w:val="20"/>
        <w:lang w:val="es-PR"/>
      </w:rPr>
      <w:t>Comisión de</w:t>
    </w:r>
    <w:r w:rsidR="006875B2">
      <w:rPr>
        <w:rFonts w:ascii="Book Antiqua" w:hAnsi="Book Antiqua"/>
        <w:b/>
        <w:i/>
        <w:iCs/>
        <w:sz w:val="20"/>
        <w:lang w:val="es-PR"/>
      </w:rPr>
      <w:t xml:space="preserve"> Trabajo y Relaciones Laborales</w:t>
    </w:r>
  </w:p>
  <w:p w14:paraId="2B954753" w14:textId="42DCA556" w:rsidR="00873451" w:rsidRPr="00AA356F" w:rsidRDefault="00873451">
    <w:pPr>
      <w:pStyle w:val="Header"/>
      <w:pBdr>
        <w:bottom w:val="single" w:sz="12" w:space="1" w:color="auto"/>
      </w:pBdr>
      <w:rPr>
        <w:rFonts w:ascii="Book Antiqua" w:hAnsi="Book Antiqua"/>
        <w:b/>
        <w:sz w:val="20"/>
        <w:lang w:val="es-PR"/>
      </w:rPr>
    </w:pPr>
    <w:r w:rsidRPr="00AA356F">
      <w:rPr>
        <w:rFonts w:ascii="Book Antiqua" w:hAnsi="Book Antiqua"/>
        <w:b/>
        <w:sz w:val="20"/>
        <w:lang w:val="es-PR"/>
      </w:rPr>
      <w:t>Informe Positivo sobre el P. de</w:t>
    </w:r>
    <w:r w:rsidR="00634FC4">
      <w:rPr>
        <w:rFonts w:ascii="Book Antiqua" w:hAnsi="Book Antiqua"/>
        <w:b/>
        <w:sz w:val="20"/>
        <w:lang w:val="es-PR"/>
      </w:rPr>
      <w:t xml:space="preserve"> la C. </w:t>
    </w:r>
    <w:r w:rsidR="007D0984">
      <w:rPr>
        <w:rFonts w:ascii="Book Antiqua" w:hAnsi="Book Antiqua"/>
        <w:b/>
        <w:sz w:val="20"/>
        <w:lang w:val="es-PR"/>
      </w:rPr>
      <w:t>585</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noProof/>
        <w:sz w:val="20"/>
        <w:lang w:val="es-PR"/>
      </w:rPr>
      <w:t>14</w:t>
    </w:r>
    <w:r w:rsidRPr="00AA356F">
      <w:rPr>
        <w:rFonts w:ascii="Book Antiqua" w:hAnsi="Book Antiqua"/>
        <w:b/>
        <w:noProof/>
        <w:sz w:val="20"/>
        <w:lang w:val="es-PR"/>
      </w:rPr>
      <w:fldChar w:fldCharType="end"/>
    </w:r>
  </w:p>
  <w:p w14:paraId="18DDF85F" w14:textId="77777777" w:rsidR="00873451" w:rsidRPr="00AA356F" w:rsidRDefault="00873451">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3C2A84"/>
    <w:multiLevelType w:val="hybridMultilevel"/>
    <w:tmpl w:val="822679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709232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DA2"/>
    <w:rsid w:val="000436EB"/>
    <w:rsid w:val="00052B6F"/>
    <w:rsid w:val="000A6CA8"/>
    <w:rsid w:val="000C5B94"/>
    <w:rsid w:val="000F3F6C"/>
    <w:rsid w:val="000F617A"/>
    <w:rsid w:val="000F63AF"/>
    <w:rsid w:val="00160E68"/>
    <w:rsid w:val="00163361"/>
    <w:rsid w:val="001718A1"/>
    <w:rsid w:val="001A40DE"/>
    <w:rsid w:val="001A7F6C"/>
    <w:rsid w:val="001D69C8"/>
    <w:rsid w:val="002257F1"/>
    <w:rsid w:val="00230262"/>
    <w:rsid w:val="00277BBF"/>
    <w:rsid w:val="00295B22"/>
    <w:rsid w:val="002B478C"/>
    <w:rsid w:val="002C602A"/>
    <w:rsid w:val="00315C32"/>
    <w:rsid w:val="00326036"/>
    <w:rsid w:val="00384EC3"/>
    <w:rsid w:val="003A07D3"/>
    <w:rsid w:val="003A1CB5"/>
    <w:rsid w:val="003C49C9"/>
    <w:rsid w:val="00415389"/>
    <w:rsid w:val="004226D3"/>
    <w:rsid w:val="00436189"/>
    <w:rsid w:val="004674F5"/>
    <w:rsid w:val="00482881"/>
    <w:rsid w:val="004868CB"/>
    <w:rsid w:val="00495D94"/>
    <w:rsid w:val="004C464B"/>
    <w:rsid w:val="00541AB3"/>
    <w:rsid w:val="005775B7"/>
    <w:rsid w:val="005B111A"/>
    <w:rsid w:val="005B3067"/>
    <w:rsid w:val="005B7CAB"/>
    <w:rsid w:val="006239B8"/>
    <w:rsid w:val="0063123F"/>
    <w:rsid w:val="00634FC4"/>
    <w:rsid w:val="00643D63"/>
    <w:rsid w:val="00654104"/>
    <w:rsid w:val="00664464"/>
    <w:rsid w:val="006875B2"/>
    <w:rsid w:val="006A551F"/>
    <w:rsid w:val="006C07BA"/>
    <w:rsid w:val="006E23E9"/>
    <w:rsid w:val="00700056"/>
    <w:rsid w:val="00720125"/>
    <w:rsid w:val="007563E0"/>
    <w:rsid w:val="00777DB8"/>
    <w:rsid w:val="00786E57"/>
    <w:rsid w:val="007910F5"/>
    <w:rsid w:val="007D0984"/>
    <w:rsid w:val="007E42E8"/>
    <w:rsid w:val="007E641D"/>
    <w:rsid w:val="00827FA1"/>
    <w:rsid w:val="0086259F"/>
    <w:rsid w:val="00873451"/>
    <w:rsid w:val="008B71A9"/>
    <w:rsid w:val="008D0B77"/>
    <w:rsid w:val="008D293D"/>
    <w:rsid w:val="008E3F2D"/>
    <w:rsid w:val="008F65FA"/>
    <w:rsid w:val="008F6628"/>
    <w:rsid w:val="00924497"/>
    <w:rsid w:val="00975ED2"/>
    <w:rsid w:val="009C1EBC"/>
    <w:rsid w:val="009C4B80"/>
    <w:rsid w:val="009C78DB"/>
    <w:rsid w:val="009D4489"/>
    <w:rsid w:val="00A15B76"/>
    <w:rsid w:val="00A63F9B"/>
    <w:rsid w:val="00B11F41"/>
    <w:rsid w:val="00B269EB"/>
    <w:rsid w:val="00B40185"/>
    <w:rsid w:val="00B50F85"/>
    <w:rsid w:val="00B672C0"/>
    <w:rsid w:val="00B73B80"/>
    <w:rsid w:val="00BD0D61"/>
    <w:rsid w:val="00BD176C"/>
    <w:rsid w:val="00BE5441"/>
    <w:rsid w:val="00C02B80"/>
    <w:rsid w:val="00C362B5"/>
    <w:rsid w:val="00C50C39"/>
    <w:rsid w:val="00C53EAC"/>
    <w:rsid w:val="00C8464F"/>
    <w:rsid w:val="00CD39DF"/>
    <w:rsid w:val="00CE7A06"/>
    <w:rsid w:val="00D26238"/>
    <w:rsid w:val="00D907BB"/>
    <w:rsid w:val="00D91DD6"/>
    <w:rsid w:val="00E233BB"/>
    <w:rsid w:val="00E36DA2"/>
    <w:rsid w:val="00E6524A"/>
    <w:rsid w:val="00E705BC"/>
    <w:rsid w:val="00E9775E"/>
    <w:rsid w:val="00EA1B09"/>
    <w:rsid w:val="00EA60A2"/>
    <w:rsid w:val="00EA6442"/>
    <w:rsid w:val="00EB3DC9"/>
    <w:rsid w:val="00EC40E5"/>
    <w:rsid w:val="00EC77CE"/>
    <w:rsid w:val="00ED3930"/>
    <w:rsid w:val="00F05630"/>
    <w:rsid w:val="00FF57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0DA6BF"/>
  <w15:chartTrackingRefBased/>
  <w15:docId w15:val="{DB64AF3F-0F2E-4E70-803A-D39308ABE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DA2"/>
    <w:pPr>
      <w:spacing w:after="0" w:line="240" w:lineRule="auto"/>
    </w:pPr>
    <w:rPr>
      <w:rFonts w:ascii="Times New Roman" w:eastAsia="Batang" w:hAnsi="Times New Roman" w:cs="Times New Roman"/>
      <w:kern w:val="0"/>
      <w:szCs w:val="20"/>
      <w14:ligatures w14:val="none"/>
    </w:rPr>
  </w:style>
  <w:style w:type="paragraph" w:styleId="Heading1">
    <w:name w:val="heading 1"/>
    <w:basedOn w:val="Normal"/>
    <w:next w:val="Normal"/>
    <w:link w:val="Heading1Char"/>
    <w:uiPriority w:val="9"/>
    <w:qFormat/>
    <w:rsid w:val="00E36D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6D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6D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6D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6D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6DA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6DA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6DA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6DA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D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6D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6D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6D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6D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6D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6D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6D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6DA2"/>
    <w:rPr>
      <w:rFonts w:eastAsiaTheme="majorEastAsia" w:cstheme="majorBidi"/>
      <w:color w:val="272727" w:themeColor="text1" w:themeTint="D8"/>
    </w:rPr>
  </w:style>
  <w:style w:type="paragraph" w:styleId="Title">
    <w:name w:val="Title"/>
    <w:basedOn w:val="Normal"/>
    <w:next w:val="Normal"/>
    <w:link w:val="TitleChar"/>
    <w:uiPriority w:val="10"/>
    <w:qFormat/>
    <w:rsid w:val="00E36DA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6D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6D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6D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6DA2"/>
    <w:pPr>
      <w:spacing w:before="160"/>
      <w:jc w:val="center"/>
    </w:pPr>
    <w:rPr>
      <w:i/>
      <w:iCs/>
      <w:color w:val="404040" w:themeColor="text1" w:themeTint="BF"/>
    </w:rPr>
  </w:style>
  <w:style w:type="character" w:customStyle="1" w:styleId="QuoteChar">
    <w:name w:val="Quote Char"/>
    <w:basedOn w:val="DefaultParagraphFont"/>
    <w:link w:val="Quote"/>
    <w:uiPriority w:val="29"/>
    <w:rsid w:val="00E36DA2"/>
    <w:rPr>
      <w:i/>
      <w:iCs/>
      <w:color w:val="404040" w:themeColor="text1" w:themeTint="BF"/>
    </w:rPr>
  </w:style>
  <w:style w:type="paragraph" w:styleId="ListParagraph">
    <w:name w:val="List Paragraph"/>
    <w:basedOn w:val="Normal"/>
    <w:uiPriority w:val="34"/>
    <w:qFormat/>
    <w:rsid w:val="00E36DA2"/>
    <w:pPr>
      <w:ind w:left="720"/>
      <w:contextualSpacing/>
    </w:pPr>
  </w:style>
  <w:style w:type="character" w:styleId="IntenseEmphasis">
    <w:name w:val="Intense Emphasis"/>
    <w:basedOn w:val="DefaultParagraphFont"/>
    <w:uiPriority w:val="21"/>
    <w:qFormat/>
    <w:rsid w:val="00E36DA2"/>
    <w:rPr>
      <w:i/>
      <w:iCs/>
      <w:color w:val="0F4761" w:themeColor="accent1" w:themeShade="BF"/>
    </w:rPr>
  </w:style>
  <w:style w:type="paragraph" w:styleId="IntenseQuote">
    <w:name w:val="Intense Quote"/>
    <w:basedOn w:val="Normal"/>
    <w:next w:val="Normal"/>
    <w:link w:val="IntenseQuoteChar"/>
    <w:uiPriority w:val="30"/>
    <w:qFormat/>
    <w:rsid w:val="00E36D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6DA2"/>
    <w:rPr>
      <w:i/>
      <w:iCs/>
      <w:color w:val="0F4761" w:themeColor="accent1" w:themeShade="BF"/>
    </w:rPr>
  </w:style>
  <w:style w:type="character" w:styleId="IntenseReference">
    <w:name w:val="Intense Reference"/>
    <w:basedOn w:val="DefaultParagraphFont"/>
    <w:uiPriority w:val="32"/>
    <w:qFormat/>
    <w:rsid w:val="00E36DA2"/>
    <w:rPr>
      <w:b/>
      <w:bCs/>
      <w:smallCaps/>
      <w:color w:val="0F4761" w:themeColor="accent1" w:themeShade="BF"/>
      <w:spacing w:val="5"/>
    </w:rPr>
  </w:style>
  <w:style w:type="paragraph" w:customStyle="1" w:styleId="ColorfulList-Accent11">
    <w:name w:val="Colorful List - Accent 11"/>
    <w:basedOn w:val="Normal"/>
    <w:uiPriority w:val="34"/>
    <w:qFormat/>
    <w:rsid w:val="00E36DA2"/>
    <w:pPr>
      <w:ind w:left="720"/>
      <w:contextualSpacing/>
    </w:pPr>
  </w:style>
  <w:style w:type="paragraph" w:styleId="Header">
    <w:name w:val="header"/>
    <w:basedOn w:val="Normal"/>
    <w:link w:val="HeaderChar"/>
    <w:uiPriority w:val="99"/>
    <w:unhideWhenUsed/>
    <w:rsid w:val="00E36DA2"/>
    <w:pPr>
      <w:tabs>
        <w:tab w:val="center" w:pos="4680"/>
        <w:tab w:val="right" w:pos="9360"/>
      </w:tabs>
    </w:pPr>
  </w:style>
  <w:style w:type="character" w:customStyle="1" w:styleId="HeaderChar">
    <w:name w:val="Header Char"/>
    <w:basedOn w:val="DefaultParagraphFont"/>
    <w:link w:val="Header"/>
    <w:uiPriority w:val="99"/>
    <w:rsid w:val="00E36DA2"/>
    <w:rPr>
      <w:rFonts w:ascii="Times New Roman" w:eastAsia="Batang" w:hAnsi="Times New Roman" w:cs="Times New Roman"/>
      <w:kern w:val="0"/>
      <w:szCs w:val="20"/>
      <w14:ligatures w14:val="none"/>
    </w:rPr>
  </w:style>
  <w:style w:type="paragraph" w:styleId="FootnoteText">
    <w:name w:val="footnote text"/>
    <w:basedOn w:val="Normal"/>
    <w:link w:val="FootnoteTextChar"/>
    <w:uiPriority w:val="99"/>
    <w:unhideWhenUsed/>
    <w:rsid w:val="00E36DA2"/>
    <w:rPr>
      <w:sz w:val="20"/>
    </w:rPr>
  </w:style>
  <w:style w:type="character" w:customStyle="1" w:styleId="FootnoteTextChar">
    <w:name w:val="Footnote Text Char"/>
    <w:basedOn w:val="DefaultParagraphFont"/>
    <w:link w:val="FootnoteText"/>
    <w:uiPriority w:val="99"/>
    <w:rsid w:val="00E36DA2"/>
    <w:rPr>
      <w:rFonts w:ascii="Times New Roman" w:eastAsia="Batang" w:hAnsi="Times New Roman" w:cs="Times New Roman"/>
      <w:kern w:val="0"/>
      <w:sz w:val="20"/>
      <w:szCs w:val="20"/>
      <w14:ligatures w14:val="none"/>
    </w:rPr>
  </w:style>
  <w:style w:type="character" w:styleId="FootnoteReference">
    <w:name w:val="footnote reference"/>
    <w:uiPriority w:val="99"/>
    <w:unhideWhenUsed/>
    <w:rsid w:val="00E36DA2"/>
    <w:rPr>
      <w:vertAlign w:val="superscript"/>
    </w:rPr>
  </w:style>
  <w:style w:type="paragraph" w:styleId="NoSpacing">
    <w:name w:val="No Spacing"/>
    <w:uiPriority w:val="1"/>
    <w:qFormat/>
    <w:rsid w:val="00E36DA2"/>
    <w:pPr>
      <w:spacing w:after="0" w:line="240" w:lineRule="auto"/>
    </w:pPr>
    <w:rPr>
      <w:rFonts w:ascii="Times New Roman" w:eastAsia="Batang" w:hAnsi="Times New Roman" w:cs="Times New Roman"/>
      <w:kern w:val="0"/>
      <w:szCs w:val="20"/>
      <w14:ligatures w14:val="none"/>
    </w:rPr>
  </w:style>
  <w:style w:type="paragraph" w:styleId="Footer">
    <w:name w:val="footer"/>
    <w:basedOn w:val="Normal"/>
    <w:link w:val="FooterChar"/>
    <w:uiPriority w:val="99"/>
    <w:unhideWhenUsed/>
    <w:rsid w:val="00720125"/>
    <w:pPr>
      <w:tabs>
        <w:tab w:val="center" w:pos="4680"/>
        <w:tab w:val="right" w:pos="9360"/>
      </w:tabs>
    </w:pPr>
  </w:style>
  <w:style w:type="character" w:customStyle="1" w:styleId="FooterChar">
    <w:name w:val="Footer Char"/>
    <w:basedOn w:val="DefaultParagraphFont"/>
    <w:link w:val="Footer"/>
    <w:uiPriority w:val="99"/>
    <w:rsid w:val="00720125"/>
    <w:rPr>
      <w:rFonts w:ascii="Times New Roman" w:eastAsia="Batang" w:hAnsi="Times New Roman" w:cs="Times New Roman"/>
      <w:kern w:val="0"/>
      <w:szCs w:val="20"/>
      <w14:ligatures w14:val="none"/>
    </w:rPr>
  </w:style>
  <w:style w:type="character" w:styleId="PlaceholderText">
    <w:name w:val="Placeholder Text"/>
    <w:basedOn w:val="DefaultParagraphFont"/>
    <w:uiPriority w:val="99"/>
    <w:semiHidden/>
    <w:rsid w:val="005B3067"/>
    <w:rPr>
      <w:color w:val="666666"/>
    </w:rPr>
  </w:style>
  <w:style w:type="paragraph" w:styleId="NormalWeb">
    <w:name w:val="Normal (Web)"/>
    <w:basedOn w:val="Normal"/>
    <w:uiPriority w:val="99"/>
    <w:unhideWhenUsed/>
    <w:rsid w:val="00A15B76"/>
    <w:pPr>
      <w:spacing w:before="100" w:beforeAutospacing="1" w:after="100" w:afterAutospacing="1"/>
    </w:pPr>
    <w:rPr>
      <w:rFonts w:eastAsia="Times New Roman"/>
      <w:szCs w:val="24"/>
      <w:lang w:val="es-PR" w:eastAsia="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4833">
      <w:bodyDiv w:val="1"/>
      <w:marLeft w:val="0"/>
      <w:marRight w:val="0"/>
      <w:marTop w:val="0"/>
      <w:marBottom w:val="0"/>
      <w:divBdr>
        <w:top w:val="none" w:sz="0" w:space="0" w:color="auto"/>
        <w:left w:val="none" w:sz="0" w:space="0" w:color="auto"/>
        <w:bottom w:val="none" w:sz="0" w:space="0" w:color="auto"/>
        <w:right w:val="none" w:sz="0" w:space="0" w:color="auto"/>
      </w:divBdr>
    </w:div>
    <w:div w:id="21177359">
      <w:bodyDiv w:val="1"/>
      <w:marLeft w:val="0"/>
      <w:marRight w:val="0"/>
      <w:marTop w:val="0"/>
      <w:marBottom w:val="0"/>
      <w:divBdr>
        <w:top w:val="none" w:sz="0" w:space="0" w:color="auto"/>
        <w:left w:val="none" w:sz="0" w:space="0" w:color="auto"/>
        <w:bottom w:val="none" w:sz="0" w:space="0" w:color="auto"/>
        <w:right w:val="none" w:sz="0" w:space="0" w:color="auto"/>
      </w:divBdr>
    </w:div>
    <w:div w:id="30107792">
      <w:bodyDiv w:val="1"/>
      <w:marLeft w:val="0"/>
      <w:marRight w:val="0"/>
      <w:marTop w:val="0"/>
      <w:marBottom w:val="0"/>
      <w:divBdr>
        <w:top w:val="none" w:sz="0" w:space="0" w:color="auto"/>
        <w:left w:val="none" w:sz="0" w:space="0" w:color="auto"/>
        <w:bottom w:val="none" w:sz="0" w:space="0" w:color="auto"/>
        <w:right w:val="none" w:sz="0" w:space="0" w:color="auto"/>
      </w:divBdr>
    </w:div>
    <w:div w:id="151066704">
      <w:bodyDiv w:val="1"/>
      <w:marLeft w:val="0"/>
      <w:marRight w:val="0"/>
      <w:marTop w:val="0"/>
      <w:marBottom w:val="0"/>
      <w:divBdr>
        <w:top w:val="none" w:sz="0" w:space="0" w:color="auto"/>
        <w:left w:val="none" w:sz="0" w:space="0" w:color="auto"/>
        <w:bottom w:val="none" w:sz="0" w:space="0" w:color="auto"/>
        <w:right w:val="none" w:sz="0" w:space="0" w:color="auto"/>
      </w:divBdr>
    </w:div>
    <w:div w:id="204487045">
      <w:bodyDiv w:val="1"/>
      <w:marLeft w:val="0"/>
      <w:marRight w:val="0"/>
      <w:marTop w:val="0"/>
      <w:marBottom w:val="0"/>
      <w:divBdr>
        <w:top w:val="none" w:sz="0" w:space="0" w:color="auto"/>
        <w:left w:val="none" w:sz="0" w:space="0" w:color="auto"/>
        <w:bottom w:val="none" w:sz="0" w:space="0" w:color="auto"/>
        <w:right w:val="none" w:sz="0" w:space="0" w:color="auto"/>
      </w:divBdr>
    </w:div>
    <w:div w:id="205337900">
      <w:bodyDiv w:val="1"/>
      <w:marLeft w:val="0"/>
      <w:marRight w:val="0"/>
      <w:marTop w:val="0"/>
      <w:marBottom w:val="0"/>
      <w:divBdr>
        <w:top w:val="none" w:sz="0" w:space="0" w:color="auto"/>
        <w:left w:val="none" w:sz="0" w:space="0" w:color="auto"/>
        <w:bottom w:val="none" w:sz="0" w:space="0" w:color="auto"/>
        <w:right w:val="none" w:sz="0" w:space="0" w:color="auto"/>
      </w:divBdr>
    </w:div>
    <w:div w:id="206601881">
      <w:bodyDiv w:val="1"/>
      <w:marLeft w:val="0"/>
      <w:marRight w:val="0"/>
      <w:marTop w:val="0"/>
      <w:marBottom w:val="0"/>
      <w:divBdr>
        <w:top w:val="none" w:sz="0" w:space="0" w:color="auto"/>
        <w:left w:val="none" w:sz="0" w:space="0" w:color="auto"/>
        <w:bottom w:val="none" w:sz="0" w:space="0" w:color="auto"/>
        <w:right w:val="none" w:sz="0" w:space="0" w:color="auto"/>
      </w:divBdr>
    </w:div>
    <w:div w:id="245967678">
      <w:bodyDiv w:val="1"/>
      <w:marLeft w:val="0"/>
      <w:marRight w:val="0"/>
      <w:marTop w:val="0"/>
      <w:marBottom w:val="0"/>
      <w:divBdr>
        <w:top w:val="none" w:sz="0" w:space="0" w:color="auto"/>
        <w:left w:val="none" w:sz="0" w:space="0" w:color="auto"/>
        <w:bottom w:val="none" w:sz="0" w:space="0" w:color="auto"/>
        <w:right w:val="none" w:sz="0" w:space="0" w:color="auto"/>
      </w:divBdr>
    </w:div>
    <w:div w:id="296107494">
      <w:bodyDiv w:val="1"/>
      <w:marLeft w:val="0"/>
      <w:marRight w:val="0"/>
      <w:marTop w:val="0"/>
      <w:marBottom w:val="0"/>
      <w:divBdr>
        <w:top w:val="none" w:sz="0" w:space="0" w:color="auto"/>
        <w:left w:val="none" w:sz="0" w:space="0" w:color="auto"/>
        <w:bottom w:val="none" w:sz="0" w:space="0" w:color="auto"/>
        <w:right w:val="none" w:sz="0" w:space="0" w:color="auto"/>
      </w:divBdr>
    </w:div>
    <w:div w:id="330721694">
      <w:bodyDiv w:val="1"/>
      <w:marLeft w:val="0"/>
      <w:marRight w:val="0"/>
      <w:marTop w:val="0"/>
      <w:marBottom w:val="0"/>
      <w:divBdr>
        <w:top w:val="none" w:sz="0" w:space="0" w:color="auto"/>
        <w:left w:val="none" w:sz="0" w:space="0" w:color="auto"/>
        <w:bottom w:val="none" w:sz="0" w:space="0" w:color="auto"/>
        <w:right w:val="none" w:sz="0" w:space="0" w:color="auto"/>
      </w:divBdr>
    </w:div>
    <w:div w:id="358240013">
      <w:bodyDiv w:val="1"/>
      <w:marLeft w:val="0"/>
      <w:marRight w:val="0"/>
      <w:marTop w:val="0"/>
      <w:marBottom w:val="0"/>
      <w:divBdr>
        <w:top w:val="none" w:sz="0" w:space="0" w:color="auto"/>
        <w:left w:val="none" w:sz="0" w:space="0" w:color="auto"/>
        <w:bottom w:val="none" w:sz="0" w:space="0" w:color="auto"/>
        <w:right w:val="none" w:sz="0" w:space="0" w:color="auto"/>
      </w:divBdr>
    </w:div>
    <w:div w:id="462966389">
      <w:bodyDiv w:val="1"/>
      <w:marLeft w:val="0"/>
      <w:marRight w:val="0"/>
      <w:marTop w:val="0"/>
      <w:marBottom w:val="0"/>
      <w:divBdr>
        <w:top w:val="none" w:sz="0" w:space="0" w:color="auto"/>
        <w:left w:val="none" w:sz="0" w:space="0" w:color="auto"/>
        <w:bottom w:val="none" w:sz="0" w:space="0" w:color="auto"/>
        <w:right w:val="none" w:sz="0" w:space="0" w:color="auto"/>
      </w:divBdr>
    </w:div>
    <w:div w:id="667829774">
      <w:bodyDiv w:val="1"/>
      <w:marLeft w:val="0"/>
      <w:marRight w:val="0"/>
      <w:marTop w:val="0"/>
      <w:marBottom w:val="0"/>
      <w:divBdr>
        <w:top w:val="none" w:sz="0" w:space="0" w:color="auto"/>
        <w:left w:val="none" w:sz="0" w:space="0" w:color="auto"/>
        <w:bottom w:val="none" w:sz="0" w:space="0" w:color="auto"/>
        <w:right w:val="none" w:sz="0" w:space="0" w:color="auto"/>
      </w:divBdr>
    </w:div>
    <w:div w:id="758722201">
      <w:bodyDiv w:val="1"/>
      <w:marLeft w:val="0"/>
      <w:marRight w:val="0"/>
      <w:marTop w:val="0"/>
      <w:marBottom w:val="0"/>
      <w:divBdr>
        <w:top w:val="none" w:sz="0" w:space="0" w:color="auto"/>
        <w:left w:val="none" w:sz="0" w:space="0" w:color="auto"/>
        <w:bottom w:val="none" w:sz="0" w:space="0" w:color="auto"/>
        <w:right w:val="none" w:sz="0" w:space="0" w:color="auto"/>
      </w:divBdr>
    </w:div>
    <w:div w:id="762997843">
      <w:bodyDiv w:val="1"/>
      <w:marLeft w:val="0"/>
      <w:marRight w:val="0"/>
      <w:marTop w:val="0"/>
      <w:marBottom w:val="0"/>
      <w:divBdr>
        <w:top w:val="none" w:sz="0" w:space="0" w:color="auto"/>
        <w:left w:val="none" w:sz="0" w:space="0" w:color="auto"/>
        <w:bottom w:val="none" w:sz="0" w:space="0" w:color="auto"/>
        <w:right w:val="none" w:sz="0" w:space="0" w:color="auto"/>
      </w:divBdr>
    </w:div>
    <w:div w:id="814875211">
      <w:bodyDiv w:val="1"/>
      <w:marLeft w:val="0"/>
      <w:marRight w:val="0"/>
      <w:marTop w:val="0"/>
      <w:marBottom w:val="0"/>
      <w:divBdr>
        <w:top w:val="none" w:sz="0" w:space="0" w:color="auto"/>
        <w:left w:val="none" w:sz="0" w:space="0" w:color="auto"/>
        <w:bottom w:val="none" w:sz="0" w:space="0" w:color="auto"/>
        <w:right w:val="none" w:sz="0" w:space="0" w:color="auto"/>
      </w:divBdr>
    </w:div>
    <w:div w:id="864294791">
      <w:bodyDiv w:val="1"/>
      <w:marLeft w:val="0"/>
      <w:marRight w:val="0"/>
      <w:marTop w:val="0"/>
      <w:marBottom w:val="0"/>
      <w:divBdr>
        <w:top w:val="none" w:sz="0" w:space="0" w:color="auto"/>
        <w:left w:val="none" w:sz="0" w:space="0" w:color="auto"/>
        <w:bottom w:val="none" w:sz="0" w:space="0" w:color="auto"/>
        <w:right w:val="none" w:sz="0" w:space="0" w:color="auto"/>
      </w:divBdr>
    </w:div>
    <w:div w:id="864826158">
      <w:bodyDiv w:val="1"/>
      <w:marLeft w:val="0"/>
      <w:marRight w:val="0"/>
      <w:marTop w:val="0"/>
      <w:marBottom w:val="0"/>
      <w:divBdr>
        <w:top w:val="none" w:sz="0" w:space="0" w:color="auto"/>
        <w:left w:val="none" w:sz="0" w:space="0" w:color="auto"/>
        <w:bottom w:val="none" w:sz="0" w:space="0" w:color="auto"/>
        <w:right w:val="none" w:sz="0" w:space="0" w:color="auto"/>
      </w:divBdr>
    </w:div>
    <w:div w:id="915553922">
      <w:bodyDiv w:val="1"/>
      <w:marLeft w:val="0"/>
      <w:marRight w:val="0"/>
      <w:marTop w:val="0"/>
      <w:marBottom w:val="0"/>
      <w:divBdr>
        <w:top w:val="none" w:sz="0" w:space="0" w:color="auto"/>
        <w:left w:val="none" w:sz="0" w:space="0" w:color="auto"/>
        <w:bottom w:val="none" w:sz="0" w:space="0" w:color="auto"/>
        <w:right w:val="none" w:sz="0" w:space="0" w:color="auto"/>
      </w:divBdr>
    </w:div>
    <w:div w:id="955723054">
      <w:bodyDiv w:val="1"/>
      <w:marLeft w:val="0"/>
      <w:marRight w:val="0"/>
      <w:marTop w:val="0"/>
      <w:marBottom w:val="0"/>
      <w:divBdr>
        <w:top w:val="none" w:sz="0" w:space="0" w:color="auto"/>
        <w:left w:val="none" w:sz="0" w:space="0" w:color="auto"/>
        <w:bottom w:val="none" w:sz="0" w:space="0" w:color="auto"/>
        <w:right w:val="none" w:sz="0" w:space="0" w:color="auto"/>
      </w:divBdr>
    </w:div>
    <w:div w:id="1008942409">
      <w:bodyDiv w:val="1"/>
      <w:marLeft w:val="0"/>
      <w:marRight w:val="0"/>
      <w:marTop w:val="0"/>
      <w:marBottom w:val="0"/>
      <w:divBdr>
        <w:top w:val="none" w:sz="0" w:space="0" w:color="auto"/>
        <w:left w:val="none" w:sz="0" w:space="0" w:color="auto"/>
        <w:bottom w:val="none" w:sz="0" w:space="0" w:color="auto"/>
        <w:right w:val="none" w:sz="0" w:space="0" w:color="auto"/>
      </w:divBdr>
    </w:div>
    <w:div w:id="1246454977">
      <w:bodyDiv w:val="1"/>
      <w:marLeft w:val="0"/>
      <w:marRight w:val="0"/>
      <w:marTop w:val="0"/>
      <w:marBottom w:val="0"/>
      <w:divBdr>
        <w:top w:val="none" w:sz="0" w:space="0" w:color="auto"/>
        <w:left w:val="none" w:sz="0" w:space="0" w:color="auto"/>
        <w:bottom w:val="none" w:sz="0" w:space="0" w:color="auto"/>
        <w:right w:val="none" w:sz="0" w:space="0" w:color="auto"/>
      </w:divBdr>
    </w:div>
    <w:div w:id="1254243721">
      <w:bodyDiv w:val="1"/>
      <w:marLeft w:val="0"/>
      <w:marRight w:val="0"/>
      <w:marTop w:val="0"/>
      <w:marBottom w:val="0"/>
      <w:divBdr>
        <w:top w:val="none" w:sz="0" w:space="0" w:color="auto"/>
        <w:left w:val="none" w:sz="0" w:space="0" w:color="auto"/>
        <w:bottom w:val="none" w:sz="0" w:space="0" w:color="auto"/>
        <w:right w:val="none" w:sz="0" w:space="0" w:color="auto"/>
      </w:divBdr>
    </w:div>
    <w:div w:id="1396197351">
      <w:bodyDiv w:val="1"/>
      <w:marLeft w:val="0"/>
      <w:marRight w:val="0"/>
      <w:marTop w:val="0"/>
      <w:marBottom w:val="0"/>
      <w:divBdr>
        <w:top w:val="none" w:sz="0" w:space="0" w:color="auto"/>
        <w:left w:val="none" w:sz="0" w:space="0" w:color="auto"/>
        <w:bottom w:val="none" w:sz="0" w:space="0" w:color="auto"/>
        <w:right w:val="none" w:sz="0" w:space="0" w:color="auto"/>
      </w:divBdr>
    </w:div>
    <w:div w:id="1447654168">
      <w:bodyDiv w:val="1"/>
      <w:marLeft w:val="0"/>
      <w:marRight w:val="0"/>
      <w:marTop w:val="0"/>
      <w:marBottom w:val="0"/>
      <w:divBdr>
        <w:top w:val="none" w:sz="0" w:space="0" w:color="auto"/>
        <w:left w:val="none" w:sz="0" w:space="0" w:color="auto"/>
        <w:bottom w:val="none" w:sz="0" w:space="0" w:color="auto"/>
        <w:right w:val="none" w:sz="0" w:space="0" w:color="auto"/>
      </w:divBdr>
    </w:div>
    <w:div w:id="1476989319">
      <w:bodyDiv w:val="1"/>
      <w:marLeft w:val="0"/>
      <w:marRight w:val="0"/>
      <w:marTop w:val="0"/>
      <w:marBottom w:val="0"/>
      <w:divBdr>
        <w:top w:val="none" w:sz="0" w:space="0" w:color="auto"/>
        <w:left w:val="none" w:sz="0" w:space="0" w:color="auto"/>
        <w:bottom w:val="none" w:sz="0" w:space="0" w:color="auto"/>
        <w:right w:val="none" w:sz="0" w:space="0" w:color="auto"/>
      </w:divBdr>
    </w:div>
    <w:div w:id="1531843402">
      <w:bodyDiv w:val="1"/>
      <w:marLeft w:val="0"/>
      <w:marRight w:val="0"/>
      <w:marTop w:val="0"/>
      <w:marBottom w:val="0"/>
      <w:divBdr>
        <w:top w:val="none" w:sz="0" w:space="0" w:color="auto"/>
        <w:left w:val="none" w:sz="0" w:space="0" w:color="auto"/>
        <w:bottom w:val="none" w:sz="0" w:space="0" w:color="auto"/>
        <w:right w:val="none" w:sz="0" w:space="0" w:color="auto"/>
      </w:divBdr>
    </w:div>
    <w:div w:id="1598053240">
      <w:bodyDiv w:val="1"/>
      <w:marLeft w:val="0"/>
      <w:marRight w:val="0"/>
      <w:marTop w:val="0"/>
      <w:marBottom w:val="0"/>
      <w:divBdr>
        <w:top w:val="none" w:sz="0" w:space="0" w:color="auto"/>
        <w:left w:val="none" w:sz="0" w:space="0" w:color="auto"/>
        <w:bottom w:val="none" w:sz="0" w:space="0" w:color="auto"/>
        <w:right w:val="none" w:sz="0" w:space="0" w:color="auto"/>
      </w:divBdr>
    </w:div>
    <w:div w:id="1606576653">
      <w:bodyDiv w:val="1"/>
      <w:marLeft w:val="0"/>
      <w:marRight w:val="0"/>
      <w:marTop w:val="0"/>
      <w:marBottom w:val="0"/>
      <w:divBdr>
        <w:top w:val="none" w:sz="0" w:space="0" w:color="auto"/>
        <w:left w:val="none" w:sz="0" w:space="0" w:color="auto"/>
        <w:bottom w:val="none" w:sz="0" w:space="0" w:color="auto"/>
        <w:right w:val="none" w:sz="0" w:space="0" w:color="auto"/>
      </w:divBdr>
    </w:div>
    <w:div w:id="1760367348">
      <w:bodyDiv w:val="1"/>
      <w:marLeft w:val="0"/>
      <w:marRight w:val="0"/>
      <w:marTop w:val="0"/>
      <w:marBottom w:val="0"/>
      <w:divBdr>
        <w:top w:val="none" w:sz="0" w:space="0" w:color="auto"/>
        <w:left w:val="none" w:sz="0" w:space="0" w:color="auto"/>
        <w:bottom w:val="none" w:sz="0" w:space="0" w:color="auto"/>
        <w:right w:val="none" w:sz="0" w:space="0" w:color="auto"/>
      </w:divBdr>
    </w:div>
    <w:div w:id="1817260937">
      <w:bodyDiv w:val="1"/>
      <w:marLeft w:val="0"/>
      <w:marRight w:val="0"/>
      <w:marTop w:val="0"/>
      <w:marBottom w:val="0"/>
      <w:divBdr>
        <w:top w:val="none" w:sz="0" w:space="0" w:color="auto"/>
        <w:left w:val="none" w:sz="0" w:space="0" w:color="auto"/>
        <w:bottom w:val="none" w:sz="0" w:space="0" w:color="auto"/>
        <w:right w:val="none" w:sz="0" w:space="0" w:color="auto"/>
      </w:divBdr>
    </w:div>
    <w:div w:id="1917085172">
      <w:bodyDiv w:val="1"/>
      <w:marLeft w:val="0"/>
      <w:marRight w:val="0"/>
      <w:marTop w:val="0"/>
      <w:marBottom w:val="0"/>
      <w:divBdr>
        <w:top w:val="none" w:sz="0" w:space="0" w:color="auto"/>
        <w:left w:val="none" w:sz="0" w:space="0" w:color="auto"/>
        <w:bottom w:val="none" w:sz="0" w:space="0" w:color="auto"/>
        <w:right w:val="none" w:sz="0" w:space="0" w:color="auto"/>
      </w:divBdr>
    </w:div>
    <w:div w:id="1933120526">
      <w:bodyDiv w:val="1"/>
      <w:marLeft w:val="0"/>
      <w:marRight w:val="0"/>
      <w:marTop w:val="0"/>
      <w:marBottom w:val="0"/>
      <w:divBdr>
        <w:top w:val="none" w:sz="0" w:space="0" w:color="auto"/>
        <w:left w:val="none" w:sz="0" w:space="0" w:color="auto"/>
        <w:bottom w:val="none" w:sz="0" w:space="0" w:color="auto"/>
        <w:right w:val="none" w:sz="0" w:space="0" w:color="auto"/>
      </w:divBdr>
    </w:div>
    <w:div w:id="1933538806">
      <w:bodyDiv w:val="1"/>
      <w:marLeft w:val="0"/>
      <w:marRight w:val="0"/>
      <w:marTop w:val="0"/>
      <w:marBottom w:val="0"/>
      <w:divBdr>
        <w:top w:val="none" w:sz="0" w:space="0" w:color="auto"/>
        <w:left w:val="none" w:sz="0" w:space="0" w:color="auto"/>
        <w:bottom w:val="none" w:sz="0" w:space="0" w:color="auto"/>
        <w:right w:val="none" w:sz="0" w:space="0" w:color="auto"/>
      </w:divBdr>
    </w:div>
    <w:div w:id="1959337196">
      <w:bodyDiv w:val="1"/>
      <w:marLeft w:val="0"/>
      <w:marRight w:val="0"/>
      <w:marTop w:val="0"/>
      <w:marBottom w:val="0"/>
      <w:divBdr>
        <w:top w:val="none" w:sz="0" w:space="0" w:color="auto"/>
        <w:left w:val="none" w:sz="0" w:space="0" w:color="auto"/>
        <w:bottom w:val="none" w:sz="0" w:space="0" w:color="auto"/>
        <w:right w:val="none" w:sz="0" w:space="0" w:color="auto"/>
      </w:divBdr>
    </w:div>
    <w:div w:id="2090468186">
      <w:bodyDiv w:val="1"/>
      <w:marLeft w:val="0"/>
      <w:marRight w:val="0"/>
      <w:marTop w:val="0"/>
      <w:marBottom w:val="0"/>
      <w:divBdr>
        <w:top w:val="none" w:sz="0" w:space="0" w:color="auto"/>
        <w:left w:val="none" w:sz="0" w:space="0" w:color="auto"/>
        <w:bottom w:val="none" w:sz="0" w:space="0" w:color="auto"/>
        <w:right w:val="none" w:sz="0" w:space="0" w:color="auto"/>
      </w:divBdr>
    </w:div>
    <w:div w:id="2093502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4SQX5P7U7WPY-958212181-816235</_dlc_DocId>
    <_dlc_DocIdUrl xmlns="c890fddd-4e87-4e08-8b51-545f2a3f7b06">
      <Url>https://senpr.sharepoint.com/sites/obralegislativa/_layouts/15/DocIdRedir.aspx?ID=4SQX5P7U7WPY-958212181-816235</Url>
      <Description>4SQX5P7U7WPY-958212181-816235</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C4855F-5164-4576-89CC-E166AA490F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2D6622-C063-4855-9A09-8E2015C86C2F}">
  <ds:schemaRefs>
    <ds:schemaRef ds:uri="http://schemas.microsoft.com/sharepoint/events"/>
  </ds:schemaRefs>
</ds:datastoreItem>
</file>

<file path=customXml/itemProps3.xml><?xml version="1.0" encoding="utf-8"?>
<ds:datastoreItem xmlns:ds="http://schemas.openxmlformats.org/officeDocument/2006/customXml" ds:itemID="{4FBFD12C-3781-4DA3-8DA6-DD792ADA3BA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8AB90E57-A1AA-4D81-AF49-B32504095F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1050</Words>
  <Characters>5985</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J. López Millán (Sen. Wanda Soto)</dc:creator>
  <cp:keywords/>
  <dc:description/>
  <cp:lastModifiedBy>Monica Maldonado Gonzalez (Secretaria)</cp:lastModifiedBy>
  <cp:revision>2</cp:revision>
  <cp:lastPrinted>2025-06-23T13:46:00Z</cp:lastPrinted>
  <dcterms:created xsi:type="dcterms:W3CDTF">2025-06-24T19:16:00Z</dcterms:created>
  <dcterms:modified xsi:type="dcterms:W3CDTF">2025-06-24T19:16:00Z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87555fc0-8496-407c-a48a-7ea12a812673</vt:lpwstr>
  </property>
  <property fmtid="{D5CDD505-2E9C-101B-9397-08002B2CF9AE}" pid="4" name="MediaServiceImageTags">
    <vt:lpwstr/>
  </property>
</Properties>
</file>