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6E84B" w14:textId="075FDA5C" w:rsidR="00950505" w:rsidRPr="00DE2482" w:rsidRDefault="00DE2482" w:rsidP="00DE2482">
      <w:pPr>
        <w:rPr>
          <w:rFonts w:ascii="Book Antiqua" w:hAnsi="Book Antiqua"/>
          <w:b/>
          <w:color w:val="000000" w:themeColor="text1"/>
          <w:lang w:val="es-PR"/>
        </w:rPr>
      </w:pPr>
      <w:r w:rsidRPr="00DE2482">
        <w:rPr>
          <w:rFonts w:ascii="Book Antiqua" w:eastAsia="Book Antiqua" w:hAnsi="Book Antiqua" w:cs="Book Antiqua"/>
          <w:b/>
          <w:bCs/>
          <w:color w:val="000000" w:themeColor="text1"/>
          <w:lang w:val="es-PR"/>
        </w:rPr>
        <w:t>(</w:t>
      </w:r>
      <w:r w:rsidR="00950505" w:rsidRPr="00DE2482">
        <w:rPr>
          <w:rFonts w:ascii="Book Antiqua" w:hAnsi="Book Antiqua"/>
          <w:b/>
          <w:color w:val="000000" w:themeColor="text1"/>
          <w:lang w:val="es-PR"/>
        </w:rPr>
        <w:t>P. de la C.</w:t>
      </w:r>
      <w:r w:rsidR="00F825DD" w:rsidRPr="00DE2482">
        <w:rPr>
          <w:rFonts w:ascii="Book Antiqua" w:hAnsi="Book Antiqua"/>
          <w:b/>
          <w:color w:val="000000" w:themeColor="text1"/>
          <w:lang w:val="es-PR"/>
        </w:rPr>
        <w:t xml:space="preserve"> 587</w:t>
      </w:r>
      <w:r w:rsidRPr="00DE2482">
        <w:rPr>
          <w:rFonts w:ascii="Book Antiqua" w:hAnsi="Book Antiqua"/>
          <w:b/>
          <w:color w:val="000000" w:themeColor="text1"/>
          <w:lang w:val="es-PR"/>
        </w:rPr>
        <w:t>)</w:t>
      </w:r>
    </w:p>
    <w:p w14:paraId="4A8A7A6F" w14:textId="77777777" w:rsidR="00950505" w:rsidRPr="00930E48" w:rsidRDefault="00950505" w:rsidP="00950505">
      <w:pPr>
        <w:jc w:val="center"/>
        <w:rPr>
          <w:rFonts w:ascii="Book Antiqua" w:hAnsi="Book Antiqua"/>
          <w:color w:val="000000" w:themeColor="text1"/>
          <w:lang w:val="es-PR"/>
        </w:rPr>
      </w:pPr>
    </w:p>
    <w:p w14:paraId="43228070" w14:textId="77777777" w:rsidR="00950505" w:rsidRDefault="00950505" w:rsidP="00DE2482">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67676DA8" w14:textId="77777777" w:rsidR="00736340" w:rsidRPr="00B630C9" w:rsidRDefault="00736340" w:rsidP="00DE2482">
      <w:pPr>
        <w:jc w:val="center"/>
        <w:rPr>
          <w:rFonts w:ascii="Book Antiqua" w:hAnsi="Book Antiqua"/>
          <w:b/>
          <w:color w:val="000000" w:themeColor="text1"/>
          <w:szCs w:val="22"/>
          <w:lang w:val="es-PR"/>
        </w:rPr>
      </w:pPr>
    </w:p>
    <w:p w14:paraId="1711CD2B" w14:textId="77777777" w:rsidR="00736340" w:rsidRPr="00B630C9" w:rsidRDefault="00736340" w:rsidP="00DE2482">
      <w:pPr>
        <w:jc w:val="center"/>
        <w:rPr>
          <w:rFonts w:ascii="Book Antiqua" w:hAnsi="Book Antiqua"/>
          <w:b/>
          <w:color w:val="000000" w:themeColor="text1"/>
          <w:szCs w:val="22"/>
          <w:lang w:val="es-PR"/>
        </w:rPr>
      </w:pP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09B75864" w14:textId="5BA567B8" w:rsidR="00131A4A" w:rsidRPr="00885237" w:rsidRDefault="00A057C5" w:rsidP="00885237">
      <w:pPr>
        <w:ind w:left="720" w:hanging="720"/>
        <w:contextualSpacing/>
        <w:jc w:val="both"/>
        <w:rPr>
          <w:rFonts w:ascii="Book Antiqua" w:eastAsia="Book Antiqua" w:hAnsi="Book Antiqua" w:cs="Book Antiqua"/>
          <w:color w:val="000000" w:themeColor="text1"/>
          <w:lang w:val="es-PR"/>
        </w:rPr>
      </w:pPr>
      <w:r w:rsidRPr="00885237">
        <w:rPr>
          <w:rFonts w:ascii="Book Antiqua" w:eastAsia="Book Antiqua" w:hAnsi="Book Antiqua" w:cs="Book Antiqua"/>
          <w:color w:val="000000" w:themeColor="text1"/>
          <w:lang w:val="es-PR"/>
        </w:rPr>
        <w:t xml:space="preserve">Para </w:t>
      </w:r>
      <w:r w:rsidR="00131A4A" w:rsidRPr="00885237">
        <w:rPr>
          <w:rFonts w:ascii="Book Antiqua" w:eastAsia="Book Antiqua" w:hAnsi="Book Antiqua" w:cs="Book Antiqua"/>
          <w:color w:val="000000" w:themeColor="text1"/>
          <w:lang w:val="es-PR"/>
        </w:rPr>
        <w:t xml:space="preserve">enmendar el </w:t>
      </w:r>
      <w:r w:rsidR="00131A4A" w:rsidRPr="00885237">
        <w:rPr>
          <w:rFonts w:ascii="Book Antiqua" w:hAnsi="Book Antiqua"/>
          <w:color w:val="000000" w:themeColor="text1"/>
          <w:lang w:val="es-PR"/>
        </w:rPr>
        <w:t>Artículo 18.1</w:t>
      </w:r>
      <w:r w:rsidR="00413BAE" w:rsidRPr="00885237">
        <w:rPr>
          <w:rFonts w:ascii="Book Antiqua" w:hAnsi="Book Antiqua"/>
          <w:color w:val="000000" w:themeColor="text1"/>
          <w:lang w:val="es-PR"/>
        </w:rPr>
        <w:t xml:space="preserve">, </w:t>
      </w:r>
      <w:r w:rsidR="009E3D2B" w:rsidRPr="00885237">
        <w:rPr>
          <w:rFonts w:ascii="Book Antiqua" w:hAnsi="Book Antiqua"/>
          <w:color w:val="000000" w:themeColor="text1"/>
          <w:lang w:val="es-PR"/>
        </w:rPr>
        <w:t>Artículo 8, Artículo 17 y Artículo 18</w:t>
      </w:r>
      <w:r w:rsidR="00131A4A" w:rsidRPr="00885237">
        <w:rPr>
          <w:rFonts w:ascii="Book Antiqua" w:hAnsi="Book Antiqua"/>
          <w:color w:val="000000" w:themeColor="text1"/>
          <w:lang w:val="es-PR"/>
        </w:rPr>
        <w:t xml:space="preserve"> de la Ley 121-2019, según enmendada, conocida como “Carta de Derechos y la Política Pública del Gobierno de Puerto Rico a Favor de los Adultos Mayores”, a los fines de añadir al Negociado de Investigaciones Especiales de Puerto Rico, como una de las instituciones a las que se le podrá hacer un referido en casos de explotación financiera de adultos mayores</w:t>
      </w:r>
      <w:r w:rsidR="00131A4A" w:rsidRPr="00885237">
        <w:rPr>
          <w:rFonts w:ascii="Book Antiqua" w:eastAsia="Book Antiqua" w:hAnsi="Book Antiqua" w:cs="Book Antiqua"/>
          <w:color w:val="000000" w:themeColor="text1"/>
          <w:lang w:val="es-PR"/>
        </w:rPr>
        <w:t xml:space="preserve"> y para otros fines relacionados</w:t>
      </w:r>
      <w:r w:rsidR="00413BAE" w:rsidRPr="00885237">
        <w:rPr>
          <w:rFonts w:ascii="Book Antiqua" w:eastAsia="Book Antiqua" w:hAnsi="Book Antiqua" w:cs="Book Antiqua"/>
          <w:color w:val="000000" w:themeColor="text1"/>
          <w:lang w:val="es-PR"/>
        </w:rPr>
        <w:t xml:space="preserve">. </w:t>
      </w:r>
    </w:p>
    <w:p w14:paraId="6807A0A6" w14:textId="59C6B763" w:rsidR="00DB5D20" w:rsidRDefault="00DB5D20" w:rsidP="00131A4A">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5498E0F4" w14:textId="77777777" w:rsidR="00131A4A" w:rsidRPr="00DE2482" w:rsidRDefault="00131A4A" w:rsidP="00131A4A">
      <w:pPr>
        <w:jc w:val="both"/>
        <w:rPr>
          <w:rFonts w:ascii="Book Antiqua" w:hAnsi="Book Antiqua"/>
          <w:color w:val="000000" w:themeColor="text1"/>
          <w:lang w:val="es-PR"/>
        </w:rPr>
      </w:pPr>
      <w:r w:rsidRPr="00DE2482">
        <w:rPr>
          <w:rFonts w:ascii="Book Antiqua" w:hAnsi="Book Antiqua"/>
          <w:color w:val="000000" w:themeColor="text1"/>
          <w:lang w:val="es-PR"/>
        </w:rPr>
        <w:t>Como resultado del aumento en la expectativa de vida promedio de las personas, la población mundial está envejeciendo, lo que se ha reflejado en un crecimiento mundial, en el número y la proporción de personas mayores en su población. Entre el 2010 y el 2020, la expectativa de vida de los puertorriqueños aumentó 2 años: de 79 años a 81 años. Según el Censo, Puerto Rico ha atravesado por un descenso alarmante en la tasa de natalidad, de 11.3 nacimientos por cada mil habitantes en el 2010 a 7.9 nacimientos por cada mil habitantes en el 2020; y se proyecta que ese número baje a 6.6 nacimientos vivos por cada mil habitantes para el 2050.</w:t>
      </w:r>
    </w:p>
    <w:p w14:paraId="07FAC324" w14:textId="77777777" w:rsidR="00131A4A" w:rsidRPr="00DE2482" w:rsidRDefault="00131A4A" w:rsidP="00131A4A">
      <w:pPr>
        <w:jc w:val="both"/>
        <w:rPr>
          <w:rFonts w:ascii="Book Antiqua" w:hAnsi="Book Antiqua"/>
          <w:color w:val="000000" w:themeColor="text1"/>
          <w:lang w:val="es-PR"/>
        </w:rPr>
      </w:pPr>
    </w:p>
    <w:p w14:paraId="3A1CEF08" w14:textId="77777777" w:rsidR="00131A4A" w:rsidRPr="00DE2482" w:rsidRDefault="00131A4A" w:rsidP="00131A4A">
      <w:pPr>
        <w:jc w:val="both"/>
        <w:rPr>
          <w:rFonts w:ascii="Book Antiqua" w:hAnsi="Book Antiqua"/>
          <w:color w:val="000000" w:themeColor="text1"/>
          <w:lang w:val="es-PR"/>
        </w:rPr>
      </w:pPr>
      <w:r w:rsidRPr="00DE2482">
        <w:rPr>
          <w:rFonts w:ascii="Book Antiqua" w:hAnsi="Book Antiqua"/>
          <w:color w:val="000000" w:themeColor="text1"/>
          <w:lang w:val="es-PR"/>
        </w:rPr>
        <w:t xml:space="preserve">Para nuestro Gobierno, es medular el fortalecer los mecanismos de protección contra fraudes y abusos financieros, así como programas educativos para adultos mayores sobre gestión financiera. Esto incluye el desarrollo de campañas y alianzas para la protección de los activos y prevención del fraude, aumentando la colaboración entre las agencias de ley y orden (estatales y federales), las instituciones financieras y otras entidades. </w:t>
      </w:r>
    </w:p>
    <w:p w14:paraId="030ACD2B" w14:textId="77777777" w:rsidR="00131A4A" w:rsidRPr="00DE2482" w:rsidRDefault="00131A4A" w:rsidP="00131A4A">
      <w:pPr>
        <w:jc w:val="both"/>
        <w:rPr>
          <w:rFonts w:ascii="Book Antiqua" w:hAnsi="Book Antiqua"/>
          <w:color w:val="000000" w:themeColor="text1"/>
          <w:lang w:val="es-PR"/>
        </w:rPr>
      </w:pPr>
    </w:p>
    <w:p w14:paraId="506D9421" w14:textId="77777777" w:rsidR="00131A4A" w:rsidRPr="00DE2482" w:rsidRDefault="00131A4A" w:rsidP="00131A4A">
      <w:pPr>
        <w:jc w:val="both"/>
        <w:rPr>
          <w:rFonts w:ascii="Book Antiqua" w:hAnsi="Book Antiqua"/>
          <w:color w:val="000000" w:themeColor="text1"/>
          <w:lang w:val="es-PR"/>
        </w:rPr>
      </w:pPr>
      <w:r w:rsidRPr="00DE2482">
        <w:rPr>
          <w:rFonts w:ascii="Book Antiqua" w:hAnsi="Book Antiqua"/>
          <w:color w:val="000000" w:themeColor="text1"/>
          <w:lang w:val="es-PR"/>
        </w:rPr>
        <w:t>En nuestra jurisdicción, existen diferentes leyes que condenan la explotación financiera de adultos mayores, como lo es el Artículo 127-C, del Código Penal de Puerto Rico, el cual tipifica como delito menos grave, la explotación financiera de fondos o bienes que no sobrepasen los dos mil quinientos dólares ($2,500). No obstante, cuando los fondos, activos o propiedad objeto de la explotación sobrepasan dicha cantidad, esta conducta es tipificada como delito grave.</w:t>
      </w:r>
      <w:r w:rsidRPr="00DE2482">
        <w:rPr>
          <w:rStyle w:val="FootnoteReference"/>
          <w:rFonts w:ascii="Book Antiqua" w:hAnsi="Book Antiqua"/>
          <w:color w:val="000000" w:themeColor="text1"/>
          <w:lang w:val="es-PR"/>
        </w:rPr>
        <w:footnoteReference w:id="2"/>
      </w:r>
      <w:r w:rsidRPr="00DE2482">
        <w:rPr>
          <w:rFonts w:ascii="Book Antiqua" w:hAnsi="Book Antiqua"/>
          <w:color w:val="000000" w:themeColor="text1"/>
          <w:lang w:val="es-PR"/>
        </w:rPr>
        <w:t xml:space="preserve"> Además, la explotación financiera es considerada como una modalidad de abuso y maltrato a personas de edad avanzada.</w:t>
      </w:r>
      <w:r w:rsidRPr="00DE2482">
        <w:rPr>
          <w:rStyle w:val="FootnoteReference"/>
          <w:rFonts w:ascii="Book Antiqua" w:hAnsi="Book Antiqua"/>
          <w:color w:val="000000" w:themeColor="text1"/>
          <w:lang w:val="es-PR"/>
        </w:rPr>
        <w:footnoteReference w:id="3"/>
      </w:r>
      <w:r w:rsidRPr="00DE2482">
        <w:rPr>
          <w:rFonts w:ascii="Book Antiqua" w:hAnsi="Book Antiqua"/>
          <w:color w:val="000000" w:themeColor="text1"/>
          <w:lang w:val="es-PR"/>
        </w:rPr>
        <w:t xml:space="preserve"> Dicho acto delictivo en contra de un envejeciente puede ser llevado a cabo por cualquier persona, incluyendo familiares, cuidadores, personas de confianza de la víctima, entre otros. </w:t>
      </w:r>
    </w:p>
    <w:p w14:paraId="16D8A7F6" w14:textId="77777777" w:rsidR="00131A4A" w:rsidRPr="00DE2482" w:rsidRDefault="00131A4A" w:rsidP="00131A4A">
      <w:pPr>
        <w:ind w:left="21" w:right="35"/>
        <w:jc w:val="both"/>
        <w:rPr>
          <w:rFonts w:ascii="Book Antiqua" w:eastAsia="Book Antiqua" w:hAnsi="Book Antiqua" w:cs="Book Antiqua"/>
          <w:color w:val="000000" w:themeColor="text1"/>
          <w:lang w:val="es-PR"/>
        </w:rPr>
      </w:pPr>
    </w:p>
    <w:p w14:paraId="10B0370D" w14:textId="3C1DAB16" w:rsidR="00131A4A" w:rsidRPr="00DE2482" w:rsidRDefault="00131A4A" w:rsidP="00131A4A">
      <w:pPr>
        <w:ind w:left="21" w:right="35"/>
        <w:jc w:val="both"/>
        <w:rPr>
          <w:rFonts w:ascii="Book Antiqua" w:eastAsia="Book Antiqua" w:hAnsi="Book Antiqua" w:cs="Book Antiqua"/>
          <w:color w:val="000000" w:themeColor="text1"/>
          <w:lang w:val="es-PR"/>
        </w:rPr>
      </w:pPr>
      <w:r w:rsidRPr="00DE2482">
        <w:rPr>
          <w:rFonts w:ascii="Book Antiqua" w:eastAsia="Book Antiqua" w:hAnsi="Book Antiqua" w:cs="Book Antiqua"/>
          <w:color w:val="000000" w:themeColor="text1"/>
          <w:lang w:val="es-PR"/>
        </w:rPr>
        <w:lastRenderedPageBreak/>
        <w:t xml:space="preserve">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w:t>
      </w:r>
      <w:r w:rsidR="00DE2482">
        <w:rPr>
          <w:rFonts w:ascii="Book Antiqua" w:eastAsia="Book Antiqua" w:hAnsi="Book Antiqua" w:cs="Book Antiqua"/>
          <w:color w:val="000000" w:themeColor="text1"/>
          <w:lang w:val="es-PR"/>
        </w:rPr>
        <w:t>E</w:t>
      </w:r>
      <w:r w:rsidRPr="00DE2482">
        <w:rPr>
          <w:rFonts w:ascii="Book Antiqua" w:eastAsia="Book Antiqua" w:hAnsi="Book Antiqua" w:cs="Book Antiqua"/>
          <w:color w:val="000000" w:themeColor="text1"/>
          <w:lang w:val="es-PR"/>
        </w:rPr>
        <w:t>stado que puedan sumarse en los procesos investigativos, en aquellos casos de explotación financiera de adultos mayores.</w:t>
      </w:r>
    </w:p>
    <w:p w14:paraId="718C9E6C" w14:textId="64F7C54E" w:rsidR="00787224" w:rsidRPr="00E42EB8" w:rsidRDefault="00392845" w:rsidP="00E42EB8">
      <w:pPr>
        <w:jc w:val="both"/>
        <w:textAlignment w:val="baseline"/>
        <w:rPr>
          <w:rFonts w:ascii="Segoe UI" w:hAnsi="Segoe UI" w:cs="Segoe UI"/>
          <w:sz w:val="18"/>
          <w:szCs w:val="18"/>
          <w:lang w:val="es-PR"/>
        </w:rPr>
      </w:pPr>
      <w:r w:rsidRPr="006C5DE4">
        <w:rPr>
          <w:rFonts w:ascii="Book Antiqua" w:hAnsi="Book Antiqua" w:cs="Segoe UI"/>
          <w:lang w:val="es-PR"/>
        </w:rPr>
        <w:t>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BB0C07C" w14:textId="77777777" w:rsidR="00131A4A" w:rsidRDefault="00131A4A" w:rsidP="00DE2482">
      <w:pPr>
        <w:pStyle w:val="BodyText"/>
        <w:ind w:firstLine="720"/>
        <w:rPr>
          <w:rFonts w:ascii="Book Antiqua" w:hAnsi="Book Antiqua"/>
          <w:color w:val="000000" w:themeColor="text1"/>
        </w:rPr>
      </w:pPr>
      <w:bookmarkStart w:id="0" w:name="{20D8}"/>
      <w:bookmarkStart w:id="1" w:name="_Hlk189832381"/>
      <w:r w:rsidRPr="00871C0E">
        <w:rPr>
          <w:rFonts w:ascii="Book Antiqua" w:hAnsi="Book Antiqua"/>
          <w:color w:val="000000" w:themeColor="text1"/>
        </w:rPr>
        <w:t>Sección 1.— Se enmienda el Artículo 18.1 de la Ley 121-2019, según enmendada, para que se lea como sigue:</w:t>
      </w:r>
    </w:p>
    <w:p w14:paraId="2D85CD44" w14:textId="77777777" w:rsidR="00DE2482" w:rsidRPr="00871C0E" w:rsidRDefault="00DE2482" w:rsidP="00DE2482">
      <w:pPr>
        <w:pStyle w:val="BodyText"/>
        <w:ind w:firstLine="720"/>
        <w:rPr>
          <w:rFonts w:ascii="Book Antiqua" w:hAnsi="Book Antiqua"/>
          <w:color w:val="000000" w:themeColor="text1"/>
        </w:rPr>
      </w:pPr>
    </w:p>
    <w:p w14:paraId="36D51FC0" w14:textId="77777777" w:rsidR="00131A4A" w:rsidRDefault="00131A4A" w:rsidP="00DE2482">
      <w:pPr>
        <w:pStyle w:val="BodyText"/>
        <w:ind w:firstLine="720"/>
        <w:rPr>
          <w:rFonts w:ascii="Book Antiqua" w:hAnsi="Book Antiqua" w:cs="Poppins"/>
          <w:color w:val="000000" w:themeColor="text1"/>
        </w:rPr>
      </w:pPr>
      <w:r w:rsidRPr="00871C0E">
        <w:rPr>
          <w:rFonts w:ascii="Book Antiqua" w:hAnsi="Book Antiqua"/>
          <w:color w:val="000000" w:themeColor="text1"/>
        </w:rPr>
        <w:t>“</w:t>
      </w:r>
      <w:bookmarkEnd w:id="0"/>
      <w:bookmarkEnd w:id="1"/>
      <w:r w:rsidRPr="00871C0E">
        <w:rPr>
          <w:rFonts w:ascii="Book Antiqua" w:hAnsi="Book Antiqua"/>
          <w:color w:val="000000" w:themeColor="text1"/>
        </w:rPr>
        <w:t xml:space="preserve">Artículo 18.1. </w:t>
      </w:r>
      <w:r w:rsidRPr="00871C0E">
        <w:rPr>
          <w:rFonts w:ascii="Book Antiqua" w:hAnsi="Book Antiqua" w:cs="Poppins"/>
          <w:color w:val="000000" w:themeColor="text1"/>
        </w:rPr>
        <w:t>— Otras Personas que Informarán – Instituciones Financieras, Cooperativas y Compañías de Seguros.</w:t>
      </w:r>
    </w:p>
    <w:p w14:paraId="54134351" w14:textId="77777777" w:rsidR="00DE2482" w:rsidRPr="00871C0E" w:rsidRDefault="00DE2482" w:rsidP="00DE2482">
      <w:pPr>
        <w:pStyle w:val="BodyText"/>
        <w:ind w:firstLine="720"/>
        <w:rPr>
          <w:rFonts w:ascii="Book Antiqua" w:hAnsi="Book Antiqua" w:cs="Poppins"/>
          <w:color w:val="000000" w:themeColor="text1"/>
        </w:rPr>
      </w:pPr>
    </w:p>
    <w:p w14:paraId="292FE643" w14:textId="77777777" w:rsidR="00131A4A"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653504F6" w14:textId="77777777" w:rsidR="00DE2482" w:rsidRPr="00871C0E" w:rsidRDefault="00DE2482" w:rsidP="00DE2482">
      <w:pPr>
        <w:ind w:left="720"/>
        <w:jc w:val="both"/>
        <w:rPr>
          <w:rFonts w:ascii="Book Antiqua" w:eastAsiaTheme="minorHAnsi" w:hAnsi="Book Antiqua" w:cs="Poppins"/>
          <w:color w:val="000000" w:themeColor="text1"/>
          <w:kern w:val="2"/>
          <w:lang w:val="es-PR"/>
          <w14:ligatures w14:val="standardContextual"/>
        </w:rPr>
      </w:pPr>
    </w:p>
    <w:p w14:paraId="2DA16631" w14:textId="77777777" w:rsidR="00131A4A"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Para propósitos de este Artículo, se entenderá que sospecha razonable es la creencia de una persona prudente y razonable de que un tercero que acude a solicitar el desembolso de fondos lo está haciendo de forma impropia, sin consentimiento del dueño de la cuenta, mediante falsas pretensiones, engaño, intimidación, coerción y/o con fines de malversar los mismos en posible detrimento de los intereses económicos del adulto mayor. De retener provisionalmente los fondos deberá, en un término no mayor de cinco (5) días laborables:</w:t>
      </w:r>
    </w:p>
    <w:p w14:paraId="76C8178F" w14:textId="77777777" w:rsidR="00DE2482" w:rsidRPr="00871C0E" w:rsidRDefault="00DE2482" w:rsidP="00DE2482">
      <w:pPr>
        <w:ind w:left="720"/>
        <w:jc w:val="both"/>
        <w:rPr>
          <w:rFonts w:ascii="Book Antiqua" w:eastAsiaTheme="minorHAnsi" w:hAnsi="Book Antiqua" w:cs="Poppins"/>
          <w:color w:val="000000" w:themeColor="text1"/>
          <w:kern w:val="2"/>
          <w:lang w:val="es-PR"/>
          <w14:ligatures w14:val="standardContextual"/>
        </w:rPr>
      </w:pPr>
    </w:p>
    <w:p w14:paraId="23DA3514" w14:textId="4968E33C" w:rsidR="00131A4A" w:rsidRPr="00DE2482" w:rsidRDefault="00131A4A" w:rsidP="00DE2482">
      <w:pPr>
        <w:pStyle w:val="ListParagraph"/>
        <w:numPr>
          <w:ilvl w:val="0"/>
          <w:numId w:val="31"/>
        </w:numPr>
        <w:jc w:val="both"/>
        <w:rPr>
          <w:rFonts w:ascii="Book Antiqua" w:eastAsiaTheme="minorHAnsi" w:hAnsi="Book Antiqua" w:cs="Poppins"/>
          <w:color w:val="000000" w:themeColor="text1"/>
          <w:kern w:val="2"/>
          <w:lang w:val="es-PR"/>
          <w14:ligatures w14:val="standardContextual"/>
        </w:rPr>
      </w:pPr>
      <w:r w:rsidRPr="00DE2482">
        <w:rPr>
          <w:rFonts w:ascii="Book Antiqua" w:eastAsiaTheme="minorHAnsi" w:hAnsi="Book Antiqua" w:cs="Poppins"/>
          <w:color w:val="000000" w:themeColor="text1"/>
          <w:kern w:val="2"/>
          <w:lang w:val="es-PR"/>
          <w14:ligatures w14:val="standardContextual"/>
        </w:rPr>
        <w:t>…</w:t>
      </w:r>
    </w:p>
    <w:p w14:paraId="38344C89" w14:textId="77777777" w:rsidR="00DE2482" w:rsidRPr="00DE2482" w:rsidRDefault="00DE2482" w:rsidP="00DE2482">
      <w:pPr>
        <w:pStyle w:val="ListParagraph"/>
        <w:ind w:left="1080"/>
        <w:jc w:val="both"/>
        <w:rPr>
          <w:rFonts w:ascii="Book Antiqua" w:eastAsiaTheme="minorHAnsi" w:hAnsi="Book Antiqua" w:cs="Poppins"/>
          <w:color w:val="000000" w:themeColor="text1"/>
          <w:kern w:val="2"/>
          <w:lang w:val="es-PR"/>
          <w14:ligatures w14:val="standardContextual"/>
        </w:rPr>
      </w:pPr>
    </w:p>
    <w:p w14:paraId="0532FA7D" w14:textId="693D1235" w:rsidR="00131A4A" w:rsidRPr="00DE2482" w:rsidRDefault="00131A4A" w:rsidP="00DE2482">
      <w:pPr>
        <w:pStyle w:val="ListParagraph"/>
        <w:numPr>
          <w:ilvl w:val="0"/>
          <w:numId w:val="31"/>
        </w:numPr>
        <w:jc w:val="both"/>
        <w:rPr>
          <w:rFonts w:ascii="Book Antiqua" w:eastAsiaTheme="minorHAnsi" w:hAnsi="Book Antiqua" w:cs="Poppins"/>
          <w:color w:val="000000" w:themeColor="text1"/>
          <w:kern w:val="2"/>
          <w:lang w:val="es-PR"/>
          <w14:ligatures w14:val="standardContextual"/>
        </w:rPr>
      </w:pPr>
      <w:r w:rsidRPr="00DE2482">
        <w:rPr>
          <w:rFonts w:ascii="Book Antiqua" w:eastAsiaTheme="minorHAnsi" w:hAnsi="Book Antiqua" w:cs="Poppins"/>
          <w:color w:val="000000" w:themeColor="text1"/>
          <w:kern w:val="2"/>
          <w:lang w:val="es-PR"/>
          <w14:ligatures w14:val="standardContextual"/>
        </w:rPr>
        <w:t xml:space="preserve">hacer un referido al </w:t>
      </w:r>
      <w:r w:rsidRPr="00DE2482">
        <w:rPr>
          <w:rFonts w:ascii="Book Antiqua" w:eastAsiaTheme="minorHAnsi" w:hAnsi="Book Antiqua" w:cs="Poppins"/>
          <w:iCs/>
          <w:color w:val="000000" w:themeColor="text1"/>
          <w:kern w:val="2"/>
          <w:lang w:val="es-PR"/>
          <w14:ligatures w14:val="standardContextual"/>
        </w:rPr>
        <w:t>Negociado de Investigaciones Especiales,</w:t>
      </w:r>
      <w:r w:rsidRPr="00DE2482">
        <w:rPr>
          <w:rFonts w:ascii="Book Antiqua" w:eastAsiaTheme="minorHAnsi" w:hAnsi="Book Antiqua" w:cs="Poppins"/>
          <w:i/>
          <w:color w:val="000000" w:themeColor="text1"/>
          <w:kern w:val="2"/>
          <w:lang w:val="es-PR"/>
          <w14:ligatures w14:val="standardContextual"/>
        </w:rPr>
        <w:t xml:space="preserve"> </w:t>
      </w:r>
      <w:r w:rsidR="00DE2482">
        <w:rPr>
          <w:rFonts w:ascii="Book Antiqua" w:eastAsiaTheme="minorHAnsi" w:hAnsi="Book Antiqua" w:cs="Poppins"/>
          <w:color w:val="000000" w:themeColor="text1"/>
          <w:kern w:val="2"/>
          <w:lang w:val="es-PR"/>
          <w14:ligatures w14:val="standardContextual"/>
        </w:rPr>
        <w:t xml:space="preserve">a </w:t>
      </w:r>
      <w:r w:rsidRPr="00DE2482">
        <w:rPr>
          <w:rFonts w:ascii="Book Antiqua" w:eastAsiaTheme="minorHAnsi" w:hAnsi="Book Antiqua" w:cs="Poppins"/>
          <w:color w:val="000000" w:themeColor="text1"/>
          <w:kern w:val="2"/>
          <w:lang w:val="es-PR"/>
          <w14:ligatures w14:val="standardContextual"/>
        </w:rPr>
        <w:t>la Policía de Puerto Rico, al Departamento de la Familia y a la Oficina de la Procuradora de las Personas de Edad Avanzada…</w:t>
      </w:r>
    </w:p>
    <w:p w14:paraId="0986AEDF" w14:textId="77777777" w:rsidR="00DE2482" w:rsidRPr="00DE2482" w:rsidRDefault="00DE2482" w:rsidP="00DE2482">
      <w:pPr>
        <w:jc w:val="both"/>
        <w:rPr>
          <w:rFonts w:ascii="Book Antiqua" w:eastAsiaTheme="minorHAnsi" w:hAnsi="Book Antiqua" w:cs="Poppins"/>
          <w:color w:val="000000" w:themeColor="text1"/>
          <w:kern w:val="2"/>
          <w:lang w:val="es-PR"/>
          <w14:ligatures w14:val="standardContextual"/>
        </w:rPr>
      </w:pPr>
    </w:p>
    <w:p w14:paraId="0FC0460F" w14:textId="77777777" w:rsidR="00131A4A" w:rsidRPr="00871C0E"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theme="minorBidi"/>
          <w:color w:val="000000" w:themeColor="text1"/>
          <w:kern w:val="2"/>
          <w:lang w:val="es-PR"/>
          <w14:ligatures w14:val="standardContextual"/>
        </w:rPr>
        <w:t>Cualquier retención de un desembolso, según autorizado en este Artículo no podrá extenderse por más de quince (15) días, contados a partir de la fecha en que se solicitó el desembolso, a menos que una de las agencias notificadas, según requiere esta Ley, solicite extender el término por diez (10) días adicionales o un tribunal con competencia lo extienda.</w:t>
      </w:r>
    </w:p>
    <w:p w14:paraId="0EA94B4A" w14:textId="77777777" w:rsidR="00DE2482" w:rsidRDefault="00DE2482" w:rsidP="00DE2482">
      <w:pPr>
        <w:ind w:left="720"/>
        <w:jc w:val="both"/>
        <w:rPr>
          <w:rFonts w:ascii="Book Antiqua" w:eastAsiaTheme="minorHAnsi" w:hAnsi="Book Antiqua" w:cs="Poppins"/>
          <w:color w:val="000000" w:themeColor="text1"/>
          <w:kern w:val="2"/>
          <w:lang w:val="es-PR"/>
          <w14:ligatures w14:val="standardContextual"/>
        </w:rPr>
      </w:pPr>
    </w:p>
    <w:p w14:paraId="5E4C6D36" w14:textId="6B7F533D" w:rsidR="00131A4A" w:rsidRPr="00871C0E"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7286B7BE" w14:textId="77777777" w:rsidR="00DE2482" w:rsidRDefault="00DE2482" w:rsidP="00DE2482">
      <w:pPr>
        <w:ind w:left="720"/>
        <w:jc w:val="both"/>
        <w:rPr>
          <w:rFonts w:ascii="Book Antiqua" w:eastAsiaTheme="minorHAnsi" w:hAnsi="Book Antiqua" w:cs="Poppins"/>
          <w:color w:val="000000" w:themeColor="text1"/>
          <w:kern w:val="2"/>
          <w:lang w:val="es-PR"/>
          <w14:ligatures w14:val="standardContextual"/>
        </w:rPr>
      </w:pPr>
    </w:p>
    <w:p w14:paraId="3506A090" w14:textId="0FBA20BD" w:rsidR="00131A4A" w:rsidRPr="00871C0E"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07F509BD" w14:textId="77777777" w:rsidR="00DE2482" w:rsidRDefault="00DE2482" w:rsidP="00DE2482">
      <w:pPr>
        <w:ind w:left="720"/>
        <w:jc w:val="both"/>
        <w:rPr>
          <w:rFonts w:ascii="Book Antiqua" w:eastAsiaTheme="minorHAnsi" w:hAnsi="Book Antiqua" w:cs="Poppins"/>
          <w:color w:val="000000" w:themeColor="text1"/>
          <w:kern w:val="2"/>
          <w:lang w:val="es-PR"/>
          <w14:ligatures w14:val="standardContextual"/>
        </w:rPr>
      </w:pPr>
    </w:p>
    <w:p w14:paraId="5A4A7606" w14:textId="3543DFFF" w:rsidR="00131A4A" w:rsidRDefault="00131A4A" w:rsidP="00DE2482">
      <w:pPr>
        <w:ind w:left="720"/>
        <w:jc w:val="both"/>
        <w:rPr>
          <w:rFonts w:ascii="Book Antiqua" w:eastAsiaTheme="minorHAnsi" w:hAnsi="Book Antiqua" w:cs="Poppins"/>
          <w:color w:val="000000" w:themeColor="text1"/>
          <w:kern w:val="2"/>
          <w:lang w:val="es-PR"/>
          <w14:ligatures w14:val="standardContextual"/>
        </w:rPr>
      </w:pPr>
      <w:r w:rsidRPr="00871C0E">
        <w:rPr>
          <w:rFonts w:ascii="Book Antiqua" w:eastAsiaTheme="minorHAnsi" w:hAnsi="Book Antiqua" w:cs="Poppins"/>
          <w:color w:val="000000" w:themeColor="text1"/>
          <w:kern w:val="2"/>
          <w:lang w:val="es-PR"/>
          <w14:ligatures w14:val="standardContextual"/>
        </w:rPr>
        <w:t>…”</w:t>
      </w:r>
    </w:p>
    <w:p w14:paraId="7B04062B" w14:textId="77777777" w:rsidR="000F1139" w:rsidRPr="00871C0E" w:rsidRDefault="000F1139" w:rsidP="00DE2482">
      <w:pPr>
        <w:ind w:left="720"/>
        <w:jc w:val="both"/>
        <w:rPr>
          <w:rFonts w:ascii="Book Antiqua" w:eastAsiaTheme="minorHAnsi" w:hAnsi="Book Antiqua" w:cs="Poppins"/>
          <w:color w:val="000000" w:themeColor="text1"/>
          <w:kern w:val="2"/>
          <w:lang w:val="es-PR"/>
          <w14:ligatures w14:val="standardContextual"/>
        </w:rPr>
      </w:pPr>
    </w:p>
    <w:p w14:paraId="0DE1EFFC" w14:textId="167E6EF6" w:rsidR="007E0040" w:rsidRDefault="007E0040" w:rsidP="00DE2482">
      <w:pPr>
        <w:pStyle w:val="BodyText"/>
        <w:ind w:firstLine="720"/>
        <w:rPr>
          <w:rFonts w:ascii="Book Antiqua" w:hAnsi="Book Antiqua"/>
          <w:color w:val="000000" w:themeColor="text1"/>
        </w:rPr>
      </w:pPr>
      <w:r w:rsidRPr="00885237">
        <w:rPr>
          <w:rFonts w:ascii="Book Antiqua" w:hAnsi="Book Antiqua"/>
          <w:color w:val="000000" w:themeColor="text1"/>
        </w:rPr>
        <w:t>Sección 2.— Se enmienda el Artículo 8</w:t>
      </w:r>
      <w:r w:rsidR="00055575" w:rsidRPr="00885237">
        <w:rPr>
          <w:rFonts w:ascii="Book Antiqua" w:hAnsi="Book Antiqua"/>
          <w:color w:val="000000" w:themeColor="text1"/>
        </w:rPr>
        <w:t xml:space="preserve"> (</w:t>
      </w:r>
      <w:r w:rsidR="00150C1C" w:rsidRPr="00885237">
        <w:rPr>
          <w:rFonts w:ascii="Book Antiqua" w:hAnsi="Book Antiqua"/>
          <w:color w:val="000000" w:themeColor="text1"/>
        </w:rPr>
        <w:t>d</w:t>
      </w:r>
      <w:r w:rsidR="00055575" w:rsidRPr="00885237">
        <w:rPr>
          <w:rFonts w:ascii="Book Antiqua" w:hAnsi="Book Antiqua"/>
          <w:color w:val="000000" w:themeColor="text1"/>
        </w:rPr>
        <w:t>)</w:t>
      </w:r>
      <w:r w:rsidRPr="00885237">
        <w:rPr>
          <w:rFonts w:ascii="Book Antiqua" w:hAnsi="Book Antiqua"/>
          <w:color w:val="000000" w:themeColor="text1"/>
        </w:rPr>
        <w:t xml:space="preserve"> de la Ley 121-2019, según enmendada, para que se lea como sigue:</w:t>
      </w:r>
    </w:p>
    <w:p w14:paraId="6EE623E0" w14:textId="77777777" w:rsidR="00DE2482" w:rsidRPr="00885237" w:rsidRDefault="00DE2482" w:rsidP="00DE2482">
      <w:pPr>
        <w:pStyle w:val="BodyText"/>
        <w:ind w:firstLine="720"/>
        <w:rPr>
          <w:rFonts w:ascii="Book Antiqua" w:hAnsi="Book Antiqua"/>
          <w:color w:val="000000" w:themeColor="text1"/>
        </w:rPr>
      </w:pPr>
    </w:p>
    <w:p w14:paraId="68027E25" w14:textId="0EACF2BB" w:rsidR="00150C1C" w:rsidRPr="00885237" w:rsidRDefault="00A62207" w:rsidP="00DE2482">
      <w:pPr>
        <w:pStyle w:val="BodyText"/>
        <w:ind w:firstLine="720"/>
        <w:rPr>
          <w:rFonts w:ascii="Book Antiqua" w:hAnsi="Book Antiqua"/>
          <w:color w:val="000000" w:themeColor="text1"/>
        </w:rPr>
      </w:pPr>
      <w:r w:rsidRPr="00885237">
        <w:rPr>
          <w:rFonts w:ascii="Book Antiqua" w:hAnsi="Book Antiqua"/>
          <w:color w:val="000000" w:themeColor="text1"/>
        </w:rPr>
        <w:t>“</w:t>
      </w:r>
      <w:r w:rsidR="00D91DA7" w:rsidRPr="00885237">
        <w:rPr>
          <w:rFonts w:ascii="Book Antiqua" w:hAnsi="Book Antiqua"/>
          <w:color w:val="000000" w:themeColor="text1"/>
        </w:rPr>
        <w:t>Artículo 8. — Responsabilidades y Coordinación con otros componentes del Gobierno.</w:t>
      </w:r>
    </w:p>
    <w:p w14:paraId="78D1ED7A" w14:textId="77777777" w:rsidR="00DE2482" w:rsidRDefault="00DE2482" w:rsidP="00DE2482">
      <w:pPr>
        <w:pStyle w:val="BodyText"/>
        <w:ind w:firstLine="720"/>
        <w:rPr>
          <w:rFonts w:ascii="Book Antiqua" w:hAnsi="Book Antiqua"/>
          <w:color w:val="000000" w:themeColor="text1"/>
        </w:rPr>
      </w:pPr>
    </w:p>
    <w:p w14:paraId="5D682205" w14:textId="0DFB32A0" w:rsidR="00D91DA7" w:rsidRPr="00885237" w:rsidRDefault="0076249A" w:rsidP="00DE2482">
      <w:pPr>
        <w:pStyle w:val="BodyText"/>
        <w:ind w:firstLine="720"/>
        <w:rPr>
          <w:rFonts w:ascii="Book Antiqua" w:hAnsi="Book Antiqua"/>
          <w:color w:val="000000" w:themeColor="text1"/>
        </w:rPr>
      </w:pPr>
      <w:r w:rsidRPr="00885237">
        <w:rPr>
          <w:rFonts w:ascii="Book Antiqua" w:hAnsi="Book Antiqua"/>
          <w:color w:val="000000" w:themeColor="text1"/>
        </w:rPr>
        <w:t>…</w:t>
      </w:r>
    </w:p>
    <w:p w14:paraId="44FA4F03" w14:textId="77777777" w:rsidR="00DE2482" w:rsidRDefault="00DE2482" w:rsidP="00DE2482">
      <w:pPr>
        <w:pStyle w:val="BodyText"/>
        <w:ind w:firstLine="720"/>
        <w:rPr>
          <w:rFonts w:ascii="Book Antiqua" w:hAnsi="Book Antiqua"/>
          <w:color w:val="000000" w:themeColor="text1"/>
        </w:rPr>
      </w:pPr>
    </w:p>
    <w:p w14:paraId="5ECC53D9" w14:textId="28905ADB" w:rsidR="005C1564" w:rsidRPr="00885237" w:rsidRDefault="005C1564" w:rsidP="00DE2482">
      <w:pPr>
        <w:pStyle w:val="BodyText"/>
        <w:ind w:firstLine="720"/>
        <w:rPr>
          <w:rFonts w:ascii="Book Antiqua" w:hAnsi="Book Antiqua"/>
          <w:color w:val="000000" w:themeColor="text1"/>
        </w:rPr>
      </w:pPr>
      <w:r w:rsidRPr="00885237">
        <w:rPr>
          <w:rFonts w:ascii="Book Antiqua" w:hAnsi="Book Antiqua"/>
          <w:color w:val="000000" w:themeColor="text1"/>
        </w:rPr>
        <w:t>…</w:t>
      </w:r>
    </w:p>
    <w:p w14:paraId="4DA6C4F4" w14:textId="77777777" w:rsidR="00DE2482" w:rsidRDefault="00DE2482" w:rsidP="00DE2482">
      <w:pPr>
        <w:pStyle w:val="BodyText"/>
        <w:ind w:firstLine="720"/>
        <w:rPr>
          <w:rFonts w:ascii="Book Antiqua" w:hAnsi="Book Antiqua"/>
          <w:color w:val="000000" w:themeColor="text1"/>
        </w:rPr>
      </w:pPr>
    </w:p>
    <w:p w14:paraId="2D02285B" w14:textId="51B5FC8E" w:rsidR="005C1564" w:rsidRPr="00885237" w:rsidRDefault="005E5373" w:rsidP="00DE2482">
      <w:pPr>
        <w:pStyle w:val="BodyText"/>
        <w:ind w:firstLine="720"/>
        <w:rPr>
          <w:rFonts w:ascii="Book Antiqua" w:hAnsi="Book Antiqua"/>
          <w:color w:val="000000" w:themeColor="text1"/>
        </w:rPr>
      </w:pPr>
      <w:r w:rsidRPr="00885237">
        <w:rPr>
          <w:rFonts w:ascii="Book Antiqua" w:hAnsi="Book Antiqua"/>
          <w:color w:val="000000" w:themeColor="text1"/>
        </w:rPr>
        <w:t>…</w:t>
      </w:r>
    </w:p>
    <w:p w14:paraId="236D1220" w14:textId="77777777" w:rsidR="00DE2482" w:rsidRDefault="00DE2482" w:rsidP="00DE2482">
      <w:pPr>
        <w:pStyle w:val="BodyText"/>
        <w:ind w:firstLine="720"/>
        <w:rPr>
          <w:rFonts w:ascii="Book Antiqua" w:hAnsi="Book Antiqua"/>
          <w:color w:val="000000" w:themeColor="text1"/>
        </w:rPr>
      </w:pPr>
    </w:p>
    <w:p w14:paraId="6C54A95F" w14:textId="11DE97AA" w:rsidR="0076249A" w:rsidRPr="00885237" w:rsidRDefault="00E87DC4" w:rsidP="00DE2482">
      <w:pPr>
        <w:pStyle w:val="BodyText"/>
        <w:ind w:firstLine="720"/>
        <w:rPr>
          <w:rFonts w:ascii="Book Antiqua" w:hAnsi="Book Antiqua"/>
          <w:color w:val="000000" w:themeColor="text1"/>
        </w:rPr>
      </w:pPr>
      <w:r w:rsidRPr="00885237">
        <w:rPr>
          <w:rFonts w:ascii="Book Antiqua" w:hAnsi="Book Antiqua"/>
          <w:color w:val="000000" w:themeColor="text1"/>
        </w:rPr>
        <w:t>…</w:t>
      </w:r>
    </w:p>
    <w:p w14:paraId="5296E98D" w14:textId="77777777" w:rsidR="00DE2482" w:rsidRDefault="00DE2482" w:rsidP="00DE2482">
      <w:pPr>
        <w:pStyle w:val="BodyText"/>
        <w:ind w:firstLine="720"/>
        <w:rPr>
          <w:rFonts w:ascii="Book Antiqua" w:hAnsi="Book Antiqua"/>
          <w:color w:val="000000" w:themeColor="text1"/>
        </w:rPr>
      </w:pPr>
    </w:p>
    <w:p w14:paraId="0ED70974" w14:textId="2A5D2666" w:rsidR="00E87DC4" w:rsidRDefault="001D77EC" w:rsidP="00DE2482">
      <w:pPr>
        <w:pStyle w:val="BodyText"/>
        <w:ind w:firstLine="720"/>
        <w:rPr>
          <w:rFonts w:ascii="Book Antiqua" w:hAnsi="Book Antiqua"/>
          <w:color w:val="000000" w:themeColor="text1"/>
        </w:rPr>
      </w:pPr>
      <w:r w:rsidRPr="00885237">
        <w:rPr>
          <w:rFonts w:ascii="Book Antiqua" w:hAnsi="Book Antiqua"/>
          <w:color w:val="000000" w:themeColor="text1"/>
        </w:rPr>
        <w:t xml:space="preserve">El Departamento de la Familia, la Oficina del Procurador de las Personas de Edad Avanzada y las demás agencias y entidades del Gobierno elaborarán y adoptarán la reglamentación y los acuerdos colaborativos necesarios para la implantación de esta Ley, como se dispone a continuación, conforme a los recursos que tengan disponible:   </w:t>
      </w:r>
    </w:p>
    <w:p w14:paraId="1B173864" w14:textId="77777777" w:rsidR="00DE2482" w:rsidRPr="00885237" w:rsidRDefault="00DE2482" w:rsidP="00DE2482">
      <w:pPr>
        <w:pStyle w:val="BodyText"/>
        <w:ind w:firstLine="720"/>
        <w:rPr>
          <w:rFonts w:ascii="Book Antiqua" w:hAnsi="Book Antiqua"/>
          <w:color w:val="000000" w:themeColor="text1"/>
        </w:rPr>
      </w:pPr>
    </w:p>
    <w:p w14:paraId="77CF140D" w14:textId="6E279876" w:rsidR="001D77EC" w:rsidRDefault="001D77EC" w:rsidP="00DE2482">
      <w:pPr>
        <w:pStyle w:val="BodyText"/>
        <w:numPr>
          <w:ilvl w:val="0"/>
          <w:numId w:val="30"/>
        </w:numPr>
        <w:rPr>
          <w:rFonts w:ascii="Book Antiqua" w:hAnsi="Book Antiqua"/>
          <w:color w:val="000000" w:themeColor="text1"/>
        </w:rPr>
      </w:pPr>
      <w:r w:rsidRPr="00885237">
        <w:rPr>
          <w:rFonts w:ascii="Book Antiqua" w:hAnsi="Book Antiqua"/>
          <w:color w:val="000000" w:themeColor="text1"/>
        </w:rPr>
        <w:t>…</w:t>
      </w:r>
    </w:p>
    <w:p w14:paraId="5DDEF5D4" w14:textId="77777777" w:rsidR="00DE2482" w:rsidRPr="00885237" w:rsidRDefault="00DE2482" w:rsidP="00DE2482">
      <w:pPr>
        <w:pStyle w:val="BodyText"/>
        <w:ind w:left="1080"/>
        <w:rPr>
          <w:rFonts w:ascii="Book Antiqua" w:hAnsi="Book Antiqua"/>
          <w:color w:val="000000" w:themeColor="text1"/>
        </w:rPr>
      </w:pPr>
    </w:p>
    <w:p w14:paraId="4608C17F" w14:textId="24103E42" w:rsidR="00DE2482" w:rsidRDefault="001D77EC" w:rsidP="00DE2482">
      <w:pPr>
        <w:pStyle w:val="BodyText"/>
        <w:numPr>
          <w:ilvl w:val="0"/>
          <w:numId w:val="30"/>
        </w:numPr>
        <w:rPr>
          <w:rFonts w:ascii="Book Antiqua" w:hAnsi="Book Antiqua"/>
          <w:color w:val="000000" w:themeColor="text1"/>
        </w:rPr>
      </w:pPr>
      <w:r w:rsidRPr="00885237">
        <w:rPr>
          <w:rFonts w:ascii="Book Antiqua" w:hAnsi="Book Antiqua"/>
          <w:color w:val="000000" w:themeColor="text1"/>
        </w:rPr>
        <w:t>…</w:t>
      </w:r>
    </w:p>
    <w:p w14:paraId="34DA59D1" w14:textId="77777777" w:rsidR="00DE2482" w:rsidRPr="00DE2482" w:rsidRDefault="00DE2482" w:rsidP="00DE2482">
      <w:pPr>
        <w:pStyle w:val="BodyText"/>
        <w:rPr>
          <w:rFonts w:ascii="Book Antiqua" w:hAnsi="Book Antiqua"/>
          <w:color w:val="000000" w:themeColor="text1"/>
        </w:rPr>
      </w:pPr>
    </w:p>
    <w:p w14:paraId="43C4AA77" w14:textId="0C4724B7" w:rsidR="001D77EC" w:rsidRDefault="001D77EC" w:rsidP="00DE2482">
      <w:pPr>
        <w:pStyle w:val="BodyText"/>
        <w:numPr>
          <w:ilvl w:val="0"/>
          <w:numId w:val="30"/>
        </w:numPr>
        <w:rPr>
          <w:rFonts w:ascii="Book Antiqua" w:hAnsi="Book Antiqua"/>
          <w:color w:val="000000" w:themeColor="text1"/>
        </w:rPr>
      </w:pPr>
      <w:r w:rsidRPr="00885237">
        <w:rPr>
          <w:rFonts w:ascii="Book Antiqua" w:hAnsi="Book Antiqua"/>
          <w:color w:val="000000" w:themeColor="text1"/>
        </w:rPr>
        <w:t>…</w:t>
      </w:r>
    </w:p>
    <w:p w14:paraId="3A31B0EA" w14:textId="77777777" w:rsidR="00DE2482" w:rsidRPr="00885237" w:rsidRDefault="00DE2482" w:rsidP="00DE2482">
      <w:pPr>
        <w:pStyle w:val="BodyText"/>
        <w:rPr>
          <w:rFonts w:ascii="Book Antiqua" w:hAnsi="Book Antiqua"/>
          <w:color w:val="000000" w:themeColor="text1"/>
        </w:rPr>
      </w:pPr>
    </w:p>
    <w:p w14:paraId="27D23290" w14:textId="77777777" w:rsidR="007F54C1" w:rsidRDefault="001D77EC" w:rsidP="00DE2482">
      <w:pPr>
        <w:pStyle w:val="BodyText"/>
        <w:numPr>
          <w:ilvl w:val="0"/>
          <w:numId w:val="30"/>
        </w:numPr>
        <w:rPr>
          <w:rFonts w:ascii="Book Antiqua" w:hAnsi="Book Antiqua"/>
          <w:color w:val="000000" w:themeColor="text1"/>
        </w:rPr>
      </w:pPr>
      <w:r w:rsidRPr="00885237">
        <w:rPr>
          <w:rFonts w:ascii="Book Antiqua" w:hAnsi="Book Antiqua"/>
          <w:color w:val="000000" w:themeColor="text1"/>
        </w:rPr>
        <w:t xml:space="preserve">Departamento de Seguridad Pública hará lo siguiente:  </w:t>
      </w:r>
    </w:p>
    <w:p w14:paraId="54EFB7FD" w14:textId="77777777" w:rsidR="00DE2482" w:rsidRPr="00885237" w:rsidRDefault="00DE2482" w:rsidP="00DE2482">
      <w:pPr>
        <w:pStyle w:val="BodyText"/>
        <w:rPr>
          <w:rFonts w:ascii="Book Antiqua" w:hAnsi="Book Antiqua"/>
          <w:color w:val="000000" w:themeColor="text1"/>
        </w:rPr>
      </w:pPr>
    </w:p>
    <w:p w14:paraId="0206EBDC" w14:textId="5E9318A2" w:rsidR="00774443" w:rsidRDefault="001D77EC" w:rsidP="00774443">
      <w:pPr>
        <w:pStyle w:val="BodyText"/>
        <w:numPr>
          <w:ilvl w:val="0"/>
          <w:numId w:val="32"/>
        </w:numPr>
        <w:rPr>
          <w:rFonts w:ascii="Book Antiqua" w:hAnsi="Book Antiqua"/>
          <w:color w:val="000000" w:themeColor="text1"/>
        </w:rPr>
      </w:pPr>
      <w:r w:rsidRPr="00885237">
        <w:rPr>
          <w:rFonts w:ascii="Book Antiqua" w:hAnsi="Book Antiqua"/>
          <w:color w:val="000000" w:themeColor="text1"/>
        </w:rPr>
        <w:t xml:space="preserve">Asistir y colaborar con el personal del Departamento de la Familia cuando la seguridad de estas se encuentre en riesgo y así lo solicite.  </w:t>
      </w:r>
    </w:p>
    <w:p w14:paraId="514BE526" w14:textId="77777777" w:rsidR="00774443" w:rsidRDefault="00774443" w:rsidP="00774443">
      <w:pPr>
        <w:pStyle w:val="BodyText"/>
        <w:ind w:left="1440"/>
        <w:rPr>
          <w:rFonts w:ascii="Book Antiqua" w:hAnsi="Book Antiqua"/>
          <w:color w:val="000000" w:themeColor="text1"/>
        </w:rPr>
      </w:pPr>
    </w:p>
    <w:p w14:paraId="7A54493F" w14:textId="77777777" w:rsidR="00774443" w:rsidRDefault="001D77EC" w:rsidP="00774443">
      <w:pPr>
        <w:pStyle w:val="BodyText"/>
        <w:numPr>
          <w:ilvl w:val="0"/>
          <w:numId w:val="32"/>
        </w:numPr>
        <w:rPr>
          <w:rFonts w:ascii="Book Antiqua" w:hAnsi="Book Antiqua"/>
          <w:color w:val="000000" w:themeColor="text1"/>
        </w:rPr>
      </w:pPr>
      <w:r w:rsidRPr="00885237">
        <w:rPr>
          <w:rFonts w:ascii="Book Antiqua" w:hAnsi="Book Antiqua"/>
          <w:color w:val="000000" w:themeColor="text1"/>
        </w:rPr>
        <w:t xml:space="preserve">Colaborar activamente con el Departamento de la Familia en cualquier gestión afirmativa dirigida a ejercer la custodia de un adulto mayor y otros servicios relacionados con la protección de estos. </w:t>
      </w:r>
    </w:p>
    <w:p w14:paraId="0E8AFC29" w14:textId="77777777" w:rsidR="00774443" w:rsidRDefault="00774443" w:rsidP="00774443">
      <w:pPr>
        <w:pStyle w:val="ListParagraph"/>
        <w:rPr>
          <w:rFonts w:ascii="Book Antiqua" w:hAnsi="Book Antiqua"/>
          <w:color w:val="000000" w:themeColor="text1"/>
        </w:rPr>
      </w:pPr>
    </w:p>
    <w:p w14:paraId="351E2ED3" w14:textId="77777777" w:rsidR="00774443" w:rsidRDefault="001D77EC"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 xml:space="preserve">Comparecer a vistas judiciales para testificar sobre procedimientos investigativos en casos de maltrato, maltrato institucional, negligencia y/o negligencia institucional. </w:t>
      </w:r>
    </w:p>
    <w:p w14:paraId="61F7317D" w14:textId="77777777" w:rsidR="00774443" w:rsidRDefault="00774443" w:rsidP="00774443">
      <w:pPr>
        <w:pStyle w:val="ListParagraph"/>
        <w:rPr>
          <w:rFonts w:ascii="Book Antiqua" w:hAnsi="Book Antiqua"/>
          <w:color w:val="000000" w:themeColor="text1"/>
        </w:rPr>
      </w:pPr>
    </w:p>
    <w:p w14:paraId="4702B19D" w14:textId="77777777" w:rsidR="00774443" w:rsidRDefault="001D77EC"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lastRenderedPageBreak/>
        <w:t xml:space="preserve">Policía de Puerto Rico: Desarrollar y apoyar a los consejos vecinales, sobre todo en comunidades donde existe una población numerosa de adultos mayores. Adiestrar a los efectivos de la policía para el manejo de casos de maltrato y otros que involucran a un adulto mayor. </w:t>
      </w:r>
    </w:p>
    <w:p w14:paraId="4D64B01F" w14:textId="77777777" w:rsidR="00774443" w:rsidRDefault="00774443" w:rsidP="00774443">
      <w:pPr>
        <w:pStyle w:val="ListParagraph"/>
        <w:rPr>
          <w:rFonts w:ascii="Book Antiqua" w:hAnsi="Book Antiqua"/>
          <w:color w:val="000000" w:themeColor="text1"/>
        </w:rPr>
      </w:pPr>
    </w:p>
    <w:p w14:paraId="23F9617A" w14:textId="77777777" w:rsidR="00774443" w:rsidRDefault="001D77EC"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Sistema 9-1-1: Adiestrar y capacitar al personal para atender las llamadas de los adultos mayores. Implementación de los protocolos necesarios para atender a esta población.</w:t>
      </w:r>
      <w:r w:rsidR="007F54C1" w:rsidRPr="00885237">
        <w:t xml:space="preserve"> </w:t>
      </w:r>
    </w:p>
    <w:p w14:paraId="311D48AF" w14:textId="77777777" w:rsidR="00774443" w:rsidRDefault="00774443" w:rsidP="00774443">
      <w:pPr>
        <w:pStyle w:val="ListParagraph"/>
        <w:rPr>
          <w:rFonts w:ascii="Book Antiqua" w:hAnsi="Book Antiqua"/>
          <w:color w:val="000000" w:themeColor="text1"/>
        </w:rPr>
      </w:pPr>
    </w:p>
    <w:p w14:paraId="282AD05E" w14:textId="77777777" w:rsidR="00774443" w:rsidRDefault="007F54C1"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 xml:space="preserve">Manejo de Emergencias y Administración de Desastres: Incorporar en sus planes de trabajo medidas para estar debidamente organizados y preparados para el manejo de la población adulta mayor durante desastres y situaciones de emergencia. </w:t>
      </w:r>
    </w:p>
    <w:p w14:paraId="0D887ABF" w14:textId="77777777" w:rsidR="00774443" w:rsidRDefault="00774443" w:rsidP="00774443">
      <w:pPr>
        <w:pStyle w:val="ListParagraph"/>
        <w:rPr>
          <w:rFonts w:ascii="Book Antiqua" w:hAnsi="Book Antiqua"/>
          <w:color w:val="000000" w:themeColor="text1"/>
        </w:rPr>
      </w:pPr>
    </w:p>
    <w:p w14:paraId="235EBC40" w14:textId="77777777" w:rsidR="00774443" w:rsidRDefault="007F54C1"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Cuerpo de Bomberos: Adiestrar y capacitar a los integrantes del cuerpo para el manejo de situaciones de emergencia que involucran a un adulto mayor.</w:t>
      </w:r>
    </w:p>
    <w:p w14:paraId="0468A591" w14:textId="77777777" w:rsidR="00774443" w:rsidRDefault="00774443" w:rsidP="00774443">
      <w:pPr>
        <w:pStyle w:val="ListParagraph"/>
        <w:rPr>
          <w:rFonts w:ascii="Book Antiqua" w:hAnsi="Book Antiqua"/>
          <w:color w:val="000000" w:themeColor="text1"/>
        </w:rPr>
      </w:pPr>
    </w:p>
    <w:p w14:paraId="39312709" w14:textId="77777777" w:rsidR="00774443" w:rsidRDefault="007F54C1"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 xml:space="preserve">Emergencias Médicas: Adiestrar y capacitar al personal para atender las emergencias médicas que involucran al adulto mayor, incluyendo a la figura del cuidador formal o informal/familiar, el cual debe ser parte de atender la situación. </w:t>
      </w:r>
    </w:p>
    <w:p w14:paraId="2DB345D5" w14:textId="77777777" w:rsidR="00774443" w:rsidRDefault="00774443" w:rsidP="00774443">
      <w:pPr>
        <w:pStyle w:val="ListParagraph"/>
        <w:rPr>
          <w:rFonts w:ascii="Book Antiqua" w:hAnsi="Book Antiqua"/>
          <w:color w:val="000000" w:themeColor="text1"/>
        </w:rPr>
      </w:pPr>
    </w:p>
    <w:p w14:paraId="7D87437E" w14:textId="77777777" w:rsidR="00774443" w:rsidRDefault="00C56191" w:rsidP="00774443">
      <w:pPr>
        <w:pStyle w:val="BodyText"/>
        <w:numPr>
          <w:ilvl w:val="0"/>
          <w:numId w:val="32"/>
        </w:numPr>
        <w:rPr>
          <w:rFonts w:ascii="Book Antiqua" w:hAnsi="Book Antiqua"/>
          <w:color w:val="000000" w:themeColor="text1"/>
        </w:rPr>
      </w:pPr>
      <w:r w:rsidRPr="00774443">
        <w:rPr>
          <w:rFonts w:ascii="Book Antiqua" w:hAnsi="Book Antiqua"/>
          <w:color w:val="000000" w:themeColor="text1"/>
        </w:rPr>
        <w:t xml:space="preserve">Negociado de Investigaciones Especiales: Colaborar activamente con el Departamento de la Familia en toda investigación y procesamiento de los casos de explotación financiera de adultos mayores, incluyendo aquellos en los que estén involucrados personal de un establecimiento residencial, hogar sustituto, o instituciones dedicadas al cuido de adultos mayores durante las veinticuatro (24) horas del día o parte de éstas. </w:t>
      </w:r>
    </w:p>
    <w:p w14:paraId="4935256B" w14:textId="77777777" w:rsidR="00774443" w:rsidRDefault="00774443" w:rsidP="00774443">
      <w:pPr>
        <w:pStyle w:val="ListParagraph"/>
        <w:rPr>
          <w:rFonts w:ascii="Book Antiqua" w:hAnsi="Book Antiqua"/>
          <w:color w:val="000000" w:themeColor="text1"/>
        </w:rPr>
      </w:pPr>
    </w:p>
    <w:p w14:paraId="5BC4585E" w14:textId="601E17E3" w:rsidR="005812C9" w:rsidRPr="00774443" w:rsidRDefault="007F54C1" w:rsidP="00774443">
      <w:pPr>
        <w:pStyle w:val="BodyText"/>
        <w:numPr>
          <w:ilvl w:val="0"/>
          <w:numId w:val="32"/>
        </w:numPr>
        <w:ind w:left="1530" w:hanging="450"/>
        <w:rPr>
          <w:rFonts w:ascii="Book Antiqua" w:hAnsi="Book Antiqua"/>
          <w:color w:val="000000" w:themeColor="text1"/>
        </w:rPr>
      </w:pPr>
      <w:r w:rsidRPr="00774443">
        <w:rPr>
          <w:rFonts w:ascii="Book Antiqua" w:hAnsi="Book Antiqua"/>
          <w:color w:val="000000" w:themeColor="text1"/>
        </w:rPr>
        <w:t>Implantar e integrar en todos sus servicios, estrategias y acciones, aquellas medidas dirigidas al bienestar del adulto mayor y a un envejecimiento activo e inclusivo</w:t>
      </w:r>
      <w:r w:rsidR="00C56191" w:rsidRPr="00774443">
        <w:rPr>
          <w:rFonts w:ascii="Book Antiqua" w:hAnsi="Book Antiqua"/>
          <w:color w:val="000000" w:themeColor="text1"/>
        </w:rPr>
        <w:t>.</w:t>
      </w:r>
      <w:r w:rsidR="00A62207" w:rsidRPr="00774443">
        <w:rPr>
          <w:rFonts w:ascii="Book Antiqua" w:hAnsi="Book Antiqua"/>
          <w:color w:val="000000" w:themeColor="text1"/>
        </w:rPr>
        <w:t>”</w:t>
      </w:r>
      <w:r w:rsidR="009E1FAA" w:rsidRPr="00774443">
        <w:rPr>
          <w:rFonts w:ascii="Book Antiqua" w:hAnsi="Book Antiqua"/>
          <w:color w:val="000000" w:themeColor="text1"/>
        </w:rPr>
        <w:t xml:space="preserve"> </w:t>
      </w:r>
    </w:p>
    <w:p w14:paraId="1B3730EA" w14:textId="77777777" w:rsidR="00DE2482" w:rsidRPr="007D2DC1" w:rsidRDefault="00DE2482" w:rsidP="00DE2482">
      <w:pPr>
        <w:pStyle w:val="BodyText"/>
        <w:ind w:firstLine="720"/>
        <w:rPr>
          <w:rFonts w:ascii="Book Antiqua" w:hAnsi="Book Antiqua"/>
          <w:color w:val="000000" w:themeColor="text1"/>
        </w:rPr>
      </w:pPr>
    </w:p>
    <w:p w14:paraId="76F0DC38" w14:textId="2791B0C5" w:rsidR="007F54C1" w:rsidRPr="00885237" w:rsidRDefault="00707D40"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 xml:space="preserve">(e) </w:t>
      </w:r>
      <w:r w:rsidR="00BD3DAA" w:rsidRPr="00885237">
        <w:rPr>
          <w:rFonts w:ascii="Book Antiqua" w:hAnsi="Book Antiqua"/>
          <w:color w:val="000000" w:themeColor="text1"/>
          <w:lang w:val="it-IT"/>
        </w:rPr>
        <w:t>…</w:t>
      </w:r>
    </w:p>
    <w:p w14:paraId="7E875407" w14:textId="77777777" w:rsidR="00DE2482" w:rsidRDefault="00DE2482" w:rsidP="00DE2482">
      <w:pPr>
        <w:pStyle w:val="BodyText"/>
        <w:ind w:firstLine="720"/>
        <w:rPr>
          <w:rFonts w:ascii="Book Antiqua" w:hAnsi="Book Antiqua"/>
          <w:color w:val="000000" w:themeColor="text1"/>
          <w:lang w:val="it-IT"/>
        </w:rPr>
      </w:pPr>
    </w:p>
    <w:p w14:paraId="1DE09BC2" w14:textId="2F5C2F17" w:rsidR="00BD3DAA" w:rsidRPr="00885237" w:rsidRDefault="00BD3DAA"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(f) …</w:t>
      </w:r>
    </w:p>
    <w:p w14:paraId="70B8937F" w14:textId="77777777" w:rsidR="00DE2482" w:rsidRDefault="00DE2482" w:rsidP="00DE2482">
      <w:pPr>
        <w:pStyle w:val="BodyText"/>
        <w:ind w:firstLine="720"/>
        <w:rPr>
          <w:rFonts w:ascii="Book Antiqua" w:hAnsi="Book Antiqua"/>
          <w:color w:val="000000" w:themeColor="text1"/>
          <w:lang w:val="it-IT"/>
        </w:rPr>
      </w:pPr>
    </w:p>
    <w:p w14:paraId="7B18513B" w14:textId="28AF861B" w:rsidR="00BD3DAA" w:rsidRPr="00885237" w:rsidRDefault="00BD3DAA"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(g) …</w:t>
      </w:r>
    </w:p>
    <w:p w14:paraId="260F346E" w14:textId="77777777" w:rsidR="00DE2482" w:rsidRDefault="00DE2482" w:rsidP="00DE2482">
      <w:pPr>
        <w:pStyle w:val="BodyText"/>
        <w:ind w:firstLine="720"/>
        <w:rPr>
          <w:rFonts w:ascii="Book Antiqua" w:hAnsi="Book Antiqua"/>
          <w:color w:val="000000" w:themeColor="text1"/>
          <w:lang w:val="it-IT"/>
        </w:rPr>
      </w:pPr>
    </w:p>
    <w:p w14:paraId="37534466" w14:textId="73FF593B" w:rsidR="00BD3DAA" w:rsidRPr="00885237" w:rsidRDefault="00BD3DAA"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(h) …</w:t>
      </w:r>
    </w:p>
    <w:p w14:paraId="34EDD45B" w14:textId="77777777" w:rsidR="00DE2482" w:rsidRDefault="00DE2482" w:rsidP="00DE2482">
      <w:pPr>
        <w:pStyle w:val="BodyText"/>
        <w:ind w:firstLine="720"/>
        <w:rPr>
          <w:rFonts w:ascii="Book Antiqua" w:hAnsi="Book Antiqua"/>
          <w:color w:val="000000" w:themeColor="text1"/>
          <w:lang w:val="it-IT"/>
        </w:rPr>
      </w:pPr>
    </w:p>
    <w:p w14:paraId="43AE1CE9" w14:textId="305B2D83" w:rsidR="00BD3DAA" w:rsidRPr="00885237" w:rsidRDefault="004F55B4"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lastRenderedPageBreak/>
        <w:t>(i) …</w:t>
      </w:r>
    </w:p>
    <w:p w14:paraId="3031235A" w14:textId="77777777" w:rsidR="00DE2482" w:rsidRDefault="00DE2482" w:rsidP="00DE2482">
      <w:pPr>
        <w:pStyle w:val="BodyText"/>
        <w:ind w:firstLine="720"/>
        <w:rPr>
          <w:rFonts w:ascii="Book Antiqua" w:hAnsi="Book Antiqua"/>
          <w:color w:val="000000" w:themeColor="text1"/>
          <w:lang w:val="it-IT"/>
        </w:rPr>
      </w:pPr>
    </w:p>
    <w:p w14:paraId="4D6B93D7" w14:textId="22F871C4" w:rsidR="004F55B4" w:rsidRPr="00885237" w:rsidRDefault="004F55B4"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 xml:space="preserve">(j) … </w:t>
      </w:r>
    </w:p>
    <w:p w14:paraId="15162723" w14:textId="77777777" w:rsidR="00DE2482" w:rsidRDefault="00DE2482" w:rsidP="00DE2482">
      <w:pPr>
        <w:pStyle w:val="BodyText"/>
        <w:ind w:firstLine="720"/>
        <w:rPr>
          <w:rFonts w:ascii="Book Antiqua" w:hAnsi="Book Antiqua"/>
          <w:color w:val="000000" w:themeColor="text1"/>
          <w:lang w:val="it-IT"/>
        </w:rPr>
      </w:pPr>
    </w:p>
    <w:p w14:paraId="51F5F9F3" w14:textId="6826018B" w:rsidR="00637FE9" w:rsidRPr="00885237" w:rsidRDefault="00637FE9"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(k) …</w:t>
      </w:r>
    </w:p>
    <w:p w14:paraId="1DB766D6" w14:textId="77777777" w:rsidR="00DE2482" w:rsidRDefault="00DE2482" w:rsidP="00DE2482">
      <w:pPr>
        <w:pStyle w:val="BodyText"/>
        <w:ind w:firstLine="720"/>
        <w:rPr>
          <w:rFonts w:ascii="Book Antiqua" w:hAnsi="Book Antiqua"/>
          <w:color w:val="000000" w:themeColor="text1"/>
          <w:lang w:val="it-IT"/>
        </w:rPr>
      </w:pPr>
    </w:p>
    <w:p w14:paraId="6625C32F" w14:textId="0DE823F0" w:rsidR="00637FE9" w:rsidRPr="00885237" w:rsidRDefault="00A65C5E"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(l) …</w:t>
      </w:r>
    </w:p>
    <w:p w14:paraId="76BB47CE" w14:textId="77777777" w:rsidR="00DE2482" w:rsidRDefault="00DE2482" w:rsidP="00DE2482">
      <w:pPr>
        <w:pStyle w:val="BodyText"/>
        <w:ind w:firstLine="720"/>
        <w:rPr>
          <w:rFonts w:ascii="Book Antiqua" w:hAnsi="Book Antiqua"/>
          <w:color w:val="000000" w:themeColor="text1"/>
          <w:lang w:val="it-IT"/>
        </w:rPr>
      </w:pPr>
    </w:p>
    <w:p w14:paraId="13E679C2" w14:textId="1FF0DF82" w:rsidR="00A65C5E" w:rsidRPr="00885237" w:rsidRDefault="00A65C5E"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(m)…</w:t>
      </w:r>
    </w:p>
    <w:p w14:paraId="6EF07D05" w14:textId="77777777" w:rsidR="00DE2482" w:rsidRDefault="00DE2482" w:rsidP="00DE2482">
      <w:pPr>
        <w:pStyle w:val="BodyText"/>
        <w:ind w:firstLine="720"/>
        <w:rPr>
          <w:rFonts w:ascii="Book Antiqua" w:hAnsi="Book Antiqua"/>
          <w:color w:val="000000" w:themeColor="text1"/>
          <w:lang w:val="it-IT"/>
        </w:rPr>
      </w:pPr>
    </w:p>
    <w:p w14:paraId="7488688C" w14:textId="09BE91EA" w:rsidR="00A65C5E" w:rsidRPr="00885237" w:rsidRDefault="00B64032" w:rsidP="00DE2482">
      <w:pPr>
        <w:pStyle w:val="BodyText"/>
        <w:ind w:firstLine="720"/>
        <w:rPr>
          <w:rFonts w:ascii="Book Antiqua" w:hAnsi="Book Antiqua"/>
          <w:color w:val="000000" w:themeColor="text1"/>
          <w:lang w:val="it-IT"/>
        </w:rPr>
      </w:pPr>
      <w:r w:rsidRPr="00885237">
        <w:rPr>
          <w:rFonts w:ascii="Book Antiqua" w:hAnsi="Book Antiqua"/>
          <w:color w:val="000000" w:themeColor="text1"/>
          <w:lang w:val="it-IT"/>
        </w:rPr>
        <w:t>(n) …</w:t>
      </w:r>
    </w:p>
    <w:p w14:paraId="6245E665" w14:textId="77777777" w:rsidR="00DE2482" w:rsidRPr="007D2DC1" w:rsidRDefault="00DE2482" w:rsidP="00DE2482">
      <w:pPr>
        <w:pStyle w:val="BodyText"/>
        <w:ind w:firstLine="720"/>
        <w:rPr>
          <w:rFonts w:ascii="Book Antiqua" w:hAnsi="Book Antiqua"/>
          <w:color w:val="000000" w:themeColor="text1"/>
          <w:lang w:val="it-IT"/>
        </w:rPr>
      </w:pPr>
    </w:p>
    <w:p w14:paraId="1D7F0707" w14:textId="7A8B67C1" w:rsidR="00381A86" w:rsidRPr="00885237" w:rsidRDefault="00381A86" w:rsidP="00DE2482">
      <w:pPr>
        <w:pStyle w:val="BodyText"/>
        <w:ind w:firstLine="720"/>
        <w:rPr>
          <w:rFonts w:ascii="Book Antiqua" w:hAnsi="Book Antiqua"/>
          <w:color w:val="000000" w:themeColor="text1"/>
        </w:rPr>
      </w:pPr>
      <w:r w:rsidRPr="00885237">
        <w:rPr>
          <w:rFonts w:ascii="Book Antiqua" w:hAnsi="Book Antiqua"/>
          <w:color w:val="000000" w:themeColor="text1"/>
        </w:rPr>
        <w:t xml:space="preserve">Sección 3.— Se enmienda el Artículo </w:t>
      </w:r>
      <w:r w:rsidR="00436187" w:rsidRPr="00885237">
        <w:rPr>
          <w:rFonts w:ascii="Book Antiqua" w:hAnsi="Book Antiqua"/>
          <w:color w:val="000000" w:themeColor="text1"/>
        </w:rPr>
        <w:t>17</w:t>
      </w:r>
      <w:r w:rsidRPr="00885237">
        <w:rPr>
          <w:rFonts w:ascii="Book Antiqua" w:hAnsi="Book Antiqua"/>
          <w:color w:val="000000" w:themeColor="text1"/>
        </w:rPr>
        <w:t xml:space="preserve"> de la Ley 121-2019, según enmendada, para que se lea como sigue:</w:t>
      </w:r>
    </w:p>
    <w:p w14:paraId="2D6A7525" w14:textId="77777777" w:rsidR="00DE2482" w:rsidRDefault="00DE2482" w:rsidP="00DE2482">
      <w:pPr>
        <w:pStyle w:val="BodyText"/>
        <w:ind w:firstLine="720"/>
        <w:rPr>
          <w:rFonts w:ascii="Book Antiqua" w:hAnsi="Book Antiqua"/>
          <w:color w:val="000000" w:themeColor="text1"/>
        </w:rPr>
      </w:pPr>
    </w:p>
    <w:p w14:paraId="7CA15928" w14:textId="51185465" w:rsidR="00381A86" w:rsidRPr="00885237" w:rsidRDefault="00A62207" w:rsidP="00DE2482">
      <w:pPr>
        <w:pStyle w:val="BodyText"/>
        <w:ind w:firstLine="720"/>
        <w:rPr>
          <w:rFonts w:ascii="Book Antiqua" w:hAnsi="Book Antiqua"/>
          <w:color w:val="000000" w:themeColor="text1"/>
        </w:rPr>
      </w:pPr>
      <w:r w:rsidRPr="00885237">
        <w:rPr>
          <w:rFonts w:ascii="Book Antiqua" w:hAnsi="Book Antiqua"/>
          <w:color w:val="000000" w:themeColor="text1"/>
        </w:rPr>
        <w:t>“</w:t>
      </w:r>
      <w:r w:rsidR="00E5582C" w:rsidRPr="00885237">
        <w:rPr>
          <w:rFonts w:ascii="Book Antiqua" w:hAnsi="Book Antiqua"/>
          <w:color w:val="000000" w:themeColor="text1"/>
        </w:rPr>
        <w:t>Artículo 17. — Informes Profesionales y funcionarios obligados a informar.</w:t>
      </w:r>
    </w:p>
    <w:p w14:paraId="33010047" w14:textId="77777777" w:rsidR="00DE2482" w:rsidRDefault="00DE2482" w:rsidP="00DE2482">
      <w:pPr>
        <w:pStyle w:val="BodyText"/>
        <w:ind w:firstLine="720"/>
        <w:rPr>
          <w:rFonts w:ascii="Book Antiqua" w:hAnsi="Book Antiqua"/>
          <w:color w:val="000000" w:themeColor="text1"/>
        </w:rPr>
      </w:pPr>
    </w:p>
    <w:p w14:paraId="306E6C30" w14:textId="0632421E" w:rsidR="00E5582C" w:rsidRPr="00885237" w:rsidRDefault="00E5582C" w:rsidP="00DE2482">
      <w:pPr>
        <w:pStyle w:val="BodyText"/>
        <w:ind w:firstLine="720"/>
        <w:rPr>
          <w:rFonts w:ascii="Book Antiqua" w:hAnsi="Book Antiqua"/>
          <w:color w:val="000000" w:themeColor="text1"/>
        </w:rPr>
      </w:pPr>
      <w:r w:rsidRPr="00885237">
        <w:rPr>
          <w:rFonts w:ascii="Book Antiqua" w:hAnsi="Book Antiqua"/>
          <w:color w:val="000000" w:themeColor="text1"/>
        </w:rPr>
        <w:t>Estarán obligados a informar aquellos casos donde exista o se sospeche que existe una situación de  maltrato, maltrato institucional, maltrato por negligencia,  o maltrato</w:t>
      </w:r>
      <w:r w:rsidRPr="00E5582C">
        <w:rPr>
          <w:rFonts w:ascii="Book Antiqua" w:hAnsi="Book Antiqua"/>
          <w:color w:val="000000" w:themeColor="text1"/>
          <w:u w:val="single"/>
        </w:rPr>
        <w:t xml:space="preserve"> </w:t>
      </w:r>
      <w:r w:rsidRPr="00885237">
        <w:rPr>
          <w:rFonts w:ascii="Book Antiqua" w:hAnsi="Book Antiqua"/>
          <w:color w:val="000000" w:themeColor="text1"/>
        </w:rPr>
        <w:t xml:space="preserve">físico, emocional, financiero, explotación o abuso sexual entre otros, por negligencia institucional, hacia una persona adulta mayor: los profesionales o funcionarios públicos, instituciones </w:t>
      </w:r>
      <w:proofErr w:type="spellStart"/>
      <w:r w:rsidRPr="00885237">
        <w:rPr>
          <w:rFonts w:ascii="Book Antiqua" w:hAnsi="Book Antiqua"/>
          <w:color w:val="000000" w:themeColor="text1"/>
        </w:rPr>
        <w:t>médicohospitalarias</w:t>
      </w:r>
      <w:proofErr w:type="spellEnd"/>
      <w:r w:rsidRPr="00885237">
        <w:rPr>
          <w:rFonts w:ascii="Book Antiqua" w:hAnsi="Book Antiqua"/>
          <w:color w:val="000000" w:themeColor="text1"/>
        </w:rPr>
        <w:t>, entidades públicas o privadas y privatizadas que, en su capacidad profesional y en el desempeño de sus funciones, tuvieren conocimiento o sospecha de que  una persona adulta mayor es, ha sido, o está en riesgo de ser víctima de  maltrato, maltrato institucional, maltrato por negligencia o maltrato por negligencia institucional; los profesionales de la salud, de la educación, del trabajo social, del orden público, las personas dedicadas a labores de dirección o trabajo en instituciones o establecimientos de cuidado que ofrezcan servicios de cuido durante un día de veinticuatro (24) horas o parte de este. Informarán tal hecho a través de la Unidad de Investigaciones Especiales (UIE) del Departamento de la Familia, a la Oficina del Procurador de las Personas de Edad Avanzada, a</w:t>
      </w:r>
      <w:r w:rsidR="00DE2482">
        <w:rPr>
          <w:rFonts w:ascii="Book Antiqua" w:hAnsi="Book Antiqua"/>
          <w:color w:val="000000" w:themeColor="text1"/>
        </w:rPr>
        <w:t xml:space="preserve"> </w:t>
      </w:r>
      <w:r w:rsidRPr="00885237">
        <w:rPr>
          <w:rFonts w:ascii="Book Antiqua" w:hAnsi="Book Antiqua"/>
          <w:color w:val="000000" w:themeColor="text1"/>
        </w:rPr>
        <w:t xml:space="preserve">la Policía de Puerto Rico </w:t>
      </w:r>
      <w:r w:rsidR="00A62207" w:rsidRPr="00885237">
        <w:rPr>
          <w:rFonts w:ascii="Book Antiqua" w:hAnsi="Book Antiqua"/>
          <w:color w:val="000000" w:themeColor="text1"/>
        </w:rPr>
        <w:t>y al Negociado de Investigaciones Especiales del Departamento de Seguridad Pública.”</w:t>
      </w:r>
    </w:p>
    <w:p w14:paraId="337E15A5" w14:textId="77777777" w:rsidR="00DE2482" w:rsidRDefault="00DE2482" w:rsidP="00DE2482">
      <w:pPr>
        <w:pStyle w:val="BodyText"/>
        <w:ind w:firstLine="720"/>
        <w:rPr>
          <w:rFonts w:ascii="Book Antiqua" w:hAnsi="Book Antiqua"/>
          <w:color w:val="000000" w:themeColor="text1"/>
        </w:rPr>
      </w:pPr>
    </w:p>
    <w:p w14:paraId="36CE8216" w14:textId="48745F70" w:rsidR="00A62207" w:rsidRPr="00885237" w:rsidRDefault="00A62207" w:rsidP="00DE2482">
      <w:pPr>
        <w:pStyle w:val="BodyText"/>
        <w:ind w:firstLine="720"/>
        <w:rPr>
          <w:rFonts w:ascii="Book Antiqua" w:hAnsi="Book Antiqua"/>
          <w:color w:val="000000" w:themeColor="text1"/>
        </w:rPr>
      </w:pPr>
      <w:r w:rsidRPr="00885237">
        <w:rPr>
          <w:rFonts w:ascii="Book Antiqua" w:hAnsi="Book Antiqua"/>
          <w:color w:val="000000" w:themeColor="text1"/>
        </w:rPr>
        <w:t xml:space="preserve">Sección </w:t>
      </w:r>
      <w:r w:rsidR="00536540" w:rsidRPr="00885237">
        <w:rPr>
          <w:rFonts w:ascii="Book Antiqua" w:hAnsi="Book Antiqua"/>
          <w:color w:val="000000" w:themeColor="text1"/>
        </w:rPr>
        <w:t>4</w:t>
      </w:r>
      <w:r w:rsidRPr="00885237">
        <w:rPr>
          <w:rFonts w:ascii="Book Antiqua" w:hAnsi="Book Antiqua"/>
          <w:color w:val="000000" w:themeColor="text1"/>
        </w:rPr>
        <w:t>.— Se enmienda el Artículo 1</w:t>
      </w:r>
      <w:r w:rsidR="00536540" w:rsidRPr="00885237">
        <w:rPr>
          <w:rFonts w:ascii="Book Antiqua" w:hAnsi="Book Antiqua"/>
          <w:color w:val="000000" w:themeColor="text1"/>
        </w:rPr>
        <w:t>8</w:t>
      </w:r>
      <w:r w:rsidRPr="00885237">
        <w:rPr>
          <w:rFonts w:ascii="Book Antiqua" w:hAnsi="Book Antiqua"/>
          <w:color w:val="000000" w:themeColor="text1"/>
        </w:rPr>
        <w:t xml:space="preserve"> de la Ley 121-2019, según enmendada, para que se lea como sigue:</w:t>
      </w:r>
    </w:p>
    <w:p w14:paraId="35FDFE0D" w14:textId="77777777" w:rsidR="00DE2482" w:rsidRDefault="00DE2482" w:rsidP="00DE2482">
      <w:pPr>
        <w:pStyle w:val="BodyText"/>
        <w:ind w:firstLine="720"/>
        <w:rPr>
          <w:rFonts w:ascii="Book Antiqua" w:hAnsi="Book Antiqua"/>
          <w:color w:val="000000" w:themeColor="text1"/>
        </w:rPr>
      </w:pPr>
    </w:p>
    <w:p w14:paraId="2489A5AE" w14:textId="07111923" w:rsidR="00A62207" w:rsidRPr="00885237" w:rsidRDefault="00A33AB7" w:rsidP="00DE2482">
      <w:pPr>
        <w:pStyle w:val="BodyText"/>
        <w:ind w:firstLine="720"/>
        <w:rPr>
          <w:rFonts w:ascii="Book Antiqua" w:hAnsi="Book Antiqua"/>
          <w:color w:val="000000" w:themeColor="text1"/>
        </w:rPr>
      </w:pPr>
      <w:r w:rsidRPr="00885237">
        <w:rPr>
          <w:rFonts w:ascii="Book Antiqua" w:hAnsi="Book Antiqua"/>
          <w:color w:val="000000" w:themeColor="text1"/>
        </w:rPr>
        <w:t>“</w:t>
      </w:r>
      <w:r w:rsidR="00536540" w:rsidRPr="00885237">
        <w:rPr>
          <w:rFonts w:ascii="Book Antiqua" w:hAnsi="Book Antiqua"/>
          <w:color w:val="000000" w:themeColor="text1"/>
        </w:rPr>
        <w:t>Artículo 18. — Otras Personas que Informarán</w:t>
      </w:r>
    </w:p>
    <w:p w14:paraId="0A97E8B0" w14:textId="77777777" w:rsidR="00DE2482" w:rsidRDefault="00DE2482" w:rsidP="00DE2482">
      <w:pPr>
        <w:pStyle w:val="BodyText"/>
        <w:ind w:firstLine="720"/>
        <w:rPr>
          <w:rFonts w:ascii="Book Antiqua" w:hAnsi="Book Antiqua"/>
          <w:color w:val="000000" w:themeColor="text1"/>
        </w:rPr>
      </w:pPr>
    </w:p>
    <w:p w14:paraId="541E0117" w14:textId="2089D27A" w:rsidR="00B65F0B" w:rsidRPr="00885237" w:rsidRDefault="00B65F0B" w:rsidP="00DE2482">
      <w:pPr>
        <w:pStyle w:val="BodyText"/>
        <w:ind w:firstLine="720"/>
        <w:rPr>
          <w:rFonts w:ascii="Book Antiqua" w:hAnsi="Book Antiqua"/>
          <w:color w:val="000000" w:themeColor="text1"/>
        </w:rPr>
      </w:pPr>
      <w:r w:rsidRPr="00885237">
        <w:rPr>
          <w:rFonts w:ascii="Book Antiqua" w:hAnsi="Book Antiqua"/>
          <w:color w:val="000000" w:themeColor="text1"/>
        </w:rPr>
        <w:t xml:space="preserve">Cualquier persona que tuviere conocimiento o sospecha de que una persona adulta mayor es víctima de maltrato, maltrato institucional, maltrato por negligencia o maltrato por negligencia institucional informará tal hecho a través de la Unidad de Investigaciones Especiales (UIE) del Departamento de la Familia, a la Oficina del </w:t>
      </w:r>
      <w:r w:rsidRPr="00885237">
        <w:rPr>
          <w:rFonts w:ascii="Book Antiqua" w:hAnsi="Book Antiqua"/>
          <w:color w:val="000000" w:themeColor="text1"/>
        </w:rPr>
        <w:lastRenderedPageBreak/>
        <w:t>Procurador de las Persona de Edad Avanzada</w:t>
      </w:r>
      <w:r w:rsidR="00ED2DB5" w:rsidRPr="00885237">
        <w:rPr>
          <w:rFonts w:ascii="Book Antiqua" w:hAnsi="Book Antiqua"/>
          <w:color w:val="000000" w:themeColor="text1"/>
        </w:rPr>
        <w:t>,</w:t>
      </w:r>
      <w:r w:rsidRPr="00885237">
        <w:rPr>
          <w:rFonts w:ascii="Book Antiqua" w:hAnsi="Book Antiqua"/>
          <w:color w:val="000000" w:themeColor="text1"/>
        </w:rPr>
        <w:t xml:space="preserve"> a la Policía de Puerto Rico</w:t>
      </w:r>
      <w:r w:rsidR="00D745FC" w:rsidRPr="00885237">
        <w:rPr>
          <w:rFonts w:ascii="Book Antiqua" w:hAnsi="Book Antiqua"/>
          <w:color w:val="000000" w:themeColor="text1"/>
        </w:rPr>
        <w:t xml:space="preserve"> y</w:t>
      </w:r>
      <w:r w:rsidR="00B13899" w:rsidRPr="00885237">
        <w:rPr>
          <w:rFonts w:ascii="Book Antiqua" w:hAnsi="Book Antiqua"/>
          <w:color w:val="000000" w:themeColor="text1"/>
        </w:rPr>
        <w:t xml:space="preserve"> al Negociado de Investigaciones Especiales del Departamento de Seguridad Pública</w:t>
      </w:r>
      <w:r w:rsidRPr="00885237">
        <w:rPr>
          <w:rFonts w:ascii="Book Antiqua" w:hAnsi="Book Antiqua"/>
          <w:color w:val="000000" w:themeColor="text1"/>
        </w:rPr>
        <w:t xml:space="preserve"> en la forma que se dispone en esta Ley. La información así suministrada será mantenida en estricta confidencialidad, así como la identidad de la persona que suministró la información.</w:t>
      </w:r>
      <w:r w:rsidR="00A33AB7" w:rsidRPr="00885237">
        <w:rPr>
          <w:rFonts w:ascii="Book Antiqua" w:hAnsi="Book Antiqua"/>
          <w:color w:val="000000" w:themeColor="text1"/>
        </w:rPr>
        <w:t>”</w:t>
      </w:r>
    </w:p>
    <w:p w14:paraId="5799218E" w14:textId="77777777" w:rsidR="00DE2482" w:rsidRDefault="00DE2482" w:rsidP="00DE2482">
      <w:pPr>
        <w:pStyle w:val="BodyText"/>
        <w:ind w:firstLine="720"/>
        <w:rPr>
          <w:rFonts w:ascii="Book Antiqua" w:hAnsi="Book Antiqua"/>
          <w:color w:val="000000" w:themeColor="text1"/>
        </w:rPr>
      </w:pPr>
    </w:p>
    <w:p w14:paraId="3F942816" w14:textId="77777777" w:rsidR="007D2DC1" w:rsidRDefault="007D2DC1" w:rsidP="007D2DC1">
      <w:pPr>
        <w:pStyle w:val="BodyText"/>
        <w:ind w:firstLine="720"/>
        <w:rPr>
          <w:rFonts w:ascii="Book Antiqua" w:hAnsi="Book Antiqua"/>
          <w:color w:val="000000" w:themeColor="text1"/>
        </w:rPr>
      </w:pPr>
    </w:p>
    <w:p w14:paraId="7B5754DA" w14:textId="6CA636E0" w:rsidR="00DE2482" w:rsidRDefault="00977504" w:rsidP="007D2DC1">
      <w:pPr>
        <w:pStyle w:val="BodyText"/>
        <w:ind w:firstLine="720"/>
        <w:rPr>
          <w:rFonts w:ascii="Book Antiqua" w:hAnsi="Book Antiqua"/>
          <w:color w:val="000000" w:themeColor="text1"/>
        </w:rPr>
      </w:pPr>
      <w:r w:rsidRPr="00885237">
        <w:rPr>
          <w:rFonts w:ascii="Book Antiqua" w:hAnsi="Book Antiqua"/>
          <w:color w:val="000000" w:themeColor="text1"/>
        </w:rPr>
        <w:t>Sección</w:t>
      </w:r>
      <w:r w:rsidR="005204C3" w:rsidRPr="00885237">
        <w:rPr>
          <w:rFonts w:ascii="Book Antiqua" w:hAnsi="Book Antiqua"/>
          <w:color w:val="000000" w:themeColor="text1"/>
        </w:rPr>
        <w:t xml:space="preserve"> </w:t>
      </w:r>
      <w:proofErr w:type="gramStart"/>
      <w:r w:rsidRPr="00885237">
        <w:rPr>
          <w:rFonts w:ascii="Book Antiqua" w:hAnsi="Book Antiqua"/>
          <w:color w:val="000000" w:themeColor="text1"/>
        </w:rPr>
        <w:t>5</w:t>
      </w:r>
      <w:r w:rsidR="005204C3" w:rsidRPr="00885237">
        <w:rPr>
          <w:rFonts w:ascii="Book Antiqua" w:hAnsi="Book Antiqua"/>
          <w:color w:val="000000" w:themeColor="text1"/>
        </w:rPr>
        <w:t>.—</w:t>
      </w:r>
      <w:proofErr w:type="gramEnd"/>
      <w:r w:rsidR="005204C3" w:rsidRPr="00885237">
        <w:rPr>
          <w:rFonts w:ascii="Book Antiqua" w:hAnsi="Book Antiqua"/>
          <w:color w:val="000000" w:themeColor="text1"/>
        </w:rPr>
        <w:t>Vigencia.</w:t>
      </w:r>
    </w:p>
    <w:p w14:paraId="783BAEE1" w14:textId="77777777" w:rsidR="007D2DC1" w:rsidRDefault="007D2DC1" w:rsidP="00DE2482">
      <w:pPr>
        <w:pStyle w:val="BodyText"/>
        <w:rPr>
          <w:rFonts w:ascii="Book Antiqua" w:hAnsi="Book Antiqua"/>
          <w:color w:val="000000" w:themeColor="text1"/>
        </w:rPr>
      </w:pPr>
    </w:p>
    <w:p w14:paraId="5EB1EAD6" w14:textId="31D29F72" w:rsidR="00F96544" w:rsidRPr="00885237" w:rsidRDefault="005204C3" w:rsidP="00DE2482">
      <w:pPr>
        <w:pStyle w:val="BodyText"/>
        <w:rPr>
          <w:rFonts w:ascii="Book Antiqua" w:hAnsi="Book Antiqua"/>
          <w:color w:val="000000" w:themeColor="text1"/>
        </w:rPr>
      </w:pPr>
      <w:r w:rsidRPr="00885237">
        <w:rPr>
          <w:rFonts w:ascii="Book Antiqua" w:hAnsi="Book Antiqua"/>
          <w:color w:val="000000" w:themeColor="text1"/>
        </w:rPr>
        <w:t>Esta Ley entrará en vigor inmediatamente después de su aprobación.</w:t>
      </w:r>
    </w:p>
    <w:sectPr w:rsidR="00F96544" w:rsidRPr="00885237" w:rsidSect="00DE2482">
      <w:footerReference w:type="default" r:id="rId12"/>
      <w:footerReference w:type="first" r:id="rId13"/>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8CB3C" w14:textId="77777777" w:rsidR="00F90BD4" w:rsidRDefault="00F90BD4">
      <w:r>
        <w:separator/>
      </w:r>
    </w:p>
  </w:endnote>
  <w:endnote w:type="continuationSeparator" w:id="0">
    <w:p w14:paraId="04E8F6F1" w14:textId="77777777" w:rsidR="00F90BD4" w:rsidRDefault="00F90BD4">
      <w:r>
        <w:continuationSeparator/>
      </w:r>
    </w:p>
  </w:endnote>
  <w:endnote w:type="continuationNotice" w:id="1">
    <w:p w14:paraId="1D9BEE1D" w14:textId="77777777" w:rsidR="00F90BD4" w:rsidRDefault="00F90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C0FDABAB-DE76-4BBA-83AE-E95A5872929D}"/>
    <w:embedBold r:id="rId2" w:fontKey="{5F858D54-A8F0-4A9A-904B-168D8C1A59E0}"/>
    <w:embedItalic r:id="rId3" w:fontKey="{1EE8F4AB-1C46-46C8-B9C3-4E99A244021D}"/>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1A44501-6A84-4720-B213-CEAC6B046947}"/>
  </w:font>
  <w:font w:name="Georgia">
    <w:panose1 w:val="02040502050405020303"/>
    <w:charset w:val="00"/>
    <w:family w:val="roman"/>
    <w:pitch w:val="variable"/>
    <w:sig w:usb0="00000287" w:usb1="00000000" w:usb2="00000000" w:usb3="00000000" w:csb0="0000009F" w:csb1="00000000"/>
    <w:embedRegular r:id="rId5" w:fontKey="{2BACD07F-D1A0-495C-BE7B-93AF6FB08AD1}"/>
    <w:embedItalic r:id="rId6" w:fontKey="{8B1E2E5E-9992-4EE5-8D53-9F7209AD3006}"/>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Poppins">
    <w:charset w:val="00"/>
    <w:family w:val="auto"/>
    <w:pitch w:val="variable"/>
    <w:sig w:usb0="00008007" w:usb1="00000000" w:usb2="00000000" w:usb3="00000000" w:csb0="00000093" w:csb1="00000000"/>
    <w:embedRegular r:id="rId7" w:fontKey="{58352F9E-3F99-4E0F-9950-3361F5FEFD06}"/>
    <w:embedItalic r:id="rId8" w:fontKey="{1147AFAE-3D5C-46E7-98A7-3A3DF44C46CB}"/>
  </w:font>
  <w:font w:name="Calibri">
    <w:panose1 w:val="020F0502020204030204"/>
    <w:charset w:val="00"/>
    <w:family w:val="swiss"/>
    <w:pitch w:val="variable"/>
    <w:sig w:usb0="E4002EFF" w:usb1="C000247B" w:usb2="00000009" w:usb3="00000000" w:csb0="000001FF" w:csb1="00000000"/>
    <w:embedRegular r:id="rId9" w:fontKey="{DD308A9D-575A-42F6-B2D8-92D82D3C7B04}"/>
    <w:embedItalic r:id="rId10" w:fontKey="{627D867B-0189-4CD0-B076-93925F059819}"/>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DB7D122D-32B2-4B84-BA08-41A8595B9D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8DE4C" w14:textId="77777777" w:rsidR="00F90BD4" w:rsidRDefault="00F90BD4">
      <w:r>
        <w:separator/>
      </w:r>
    </w:p>
  </w:footnote>
  <w:footnote w:type="continuationSeparator" w:id="0">
    <w:p w14:paraId="57232E5A" w14:textId="77777777" w:rsidR="00F90BD4" w:rsidRDefault="00F90BD4">
      <w:r>
        <w:continuationSeparator/>
      </w:r>
    </w:p>
  </w:footnote>
  <w:footnote w:type="continuationNotice" w:id="1">
    <w:p w14:paraId="14505B52" w14:textId="77777777" w:rsidR="00F90BD4" w:rsidRDefault="00F90BD4"/>
  </w:footnote>
  <w:footnote w:id="2">
    <w:p w14:paraId="533CA76B"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127-C- Explotación financiera de personas de edad avanzada, Código Penal de Puerto Rico.</w:t>
      </w:r>
    </w:p>
  </w:footnote>
  <w:footnote w:id="3">
    <w:p w14:paraId="58EF8877" w14:textId="77777777" w:rsidR="00131A4A" w:rsidRPr="00131A4A" w:rsidRDefault="00131A4A" w:rsidP="00131A4A">
      <w:pPr>
        <w:pStyle w:val="FootnoteText"/>
        <w:rPr>
          <w:sz w:val="16"/>
          <w:szCs w:val="16"/>
          <w:lang w:val="es-PR"/>
        </w:rPr>
      </w:pPr>
      <w:r w:rsidRPr="00131A4A">
        <w:rPr>
          <w:rStyle w:val="FootnoteReference"/>
          <w:sz w:val="16"/>
          <w:szCs w:val="16"/>
        </w:rPr>
        <w:footnoteRef/>
      </w:r>
      <w:r w:rsidRPr="00131A4A">
        <w:rPr>
          <w:sz w:val="16"/>
          <w:szCs w:val="16"/>
          <w:lang w:val="es-PR"/>
        </w:rPr>
        <w:t xml:space="preserve"> </w:t>
      </w:r>
      <w:r w:rsidRPr="00131A4A">
        <w:rPr>
          <w:rFonts w:ascii="Book Antiqua" w:hAnsi="Book Antiqua"/>
          <w:sz w:val="16"/>
          <w:szCs w:val="16"/>
          <w:lang w:val="es-PR"/>
        </w:rPr>
        <w:t>Artículo 127-A- Maltrato de Personas de Edad Avanzada, Código Penal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676DC2"/>
    <w:multiLevelType w:val="hybridMultilevel"/>
    <w:tmpl w:val="6434B5B2"/>
    <w:lvl w:ilvl="0" w:tplc="CB287C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C165870"/>
    <w:multiLevelType w:val="hybridMultilevel"/>
    <w:tmpl w:val="8C80A91E"/>
    <w:lvl w:ilvl="0" w:tplc="22DEF6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993400"/>
    <w:multiLevelType w:val="hybridMultilevel"/>
    <w:tmpl w:val="D2B63E58"/>
    <w:lvl w:ilvl="0" w:tplc="656C377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8"/>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7"/>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30"/>
  </w:num>
  <w:num w:numId="23" w16cid:durableId="663582128">
    <w:abstractNumId w:val="12"/>
  </w:num>
  <w:num w:numId="24" w16cid:durableId="1386444766">
    <w:abstractNumId w:val="14"/>
  </w:num>
  <w:num w:numId="25" w16cid:durableId="2134471491">
    <w:abstractNumId w:val="9"/>
  </w:num>
  <w:num w:numId="26" w16cid:durableId="1406416428">
    <w:abstractNumId w:val="31"/>
  </w:num>
  <w:num w:numId="27" w16cid:durableId="586496747">
    <w:abstractNumId w:val="1"/>
  </w:num>
  <w:num w:numId="28" w16cid:durableId="187183376">
    <w:abstractNumId w:val="23"/>
  </w:num>
  <w:num w:numId="29" w16cid:durableId="1912693678">
    <w:abstractNumId w:val="25"/>
  </w:num>
  <w:num w:numId="30" w16cid:durableId="532695267">
    <w:abstractNumId w:val="24"/>
  </w:num>
  <w:num w:numId="31" w16cid:durableId="489835719">
    <w:abstractNumId w:val="29"/>
  </w:num>
  <w:num w:numId="32" w16cid:durableId="110129651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2069"/>
    <w:rsid w:val="00003E86"/>
    <w:rsid w:val="000069C8"/>
    <w:rsid w:val="00007E0A"/>
    <w:rsid w:val="0001054D"/>
    <w:rsid w:val="000107AB"/>
    <w:rsid w:val="00010836"/>
    <w:rsid w:val="0001793B"/>
    <w:rsid w:val="00022FC4"/>
    <w:rsid w:val="00027C66"/>
    <w:rsid w:val="00032F6A"/>
    <w:rsid w:val="000378EF"/>
    <w:rsid w:val="00040CAA"/>
    <w:rsid w:val="00044E08"/>
    <w:rsid w:val="000502AE"/>
    <w:rsid w:val="00055575"/>
    <w:rsid w:val="00056D71"/>
    <w:rsid w:val="00057EF4"/>
    <w:rsid w:val="00064E86"/>
    <w:rsid w:val="0007036F"/>
    <w:rsid w:val="00071C20"/>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144E"/>
    <w:rsid w:val="000D2EB5"/>
    <w:rsid w:val="000D30A4"/>
    <w:rsid w:val="000E515E"/>
    <w:rsid w:val="000E6633"/>
    <w:rsid w:val="000F1139"/>
    <w:rsid w:val="000F222B"/>
    <w:rsid w:val="000F376C"/>
    <w:rsid w:val="0010684F"/>
    <w:rsid w:val="00107891"/>
    <w:rsid w:val="00112EA5"/>
    <w:rsid w:val="00113415"/>
    <w:rsid w:val="001150B3"/>
    <w:rsid w:val="00115129"/>
    <w:rsid w:val="001216F2"/>
    <w:rsid w:val="00123031"/>
    <w:rsid w:val="0012419B"/>
    <w:rsid w:val="001255FB"/>
    <w:rsid w:val="001275A9"/>
    <w:rsid w:val="0013026A"/>
    <w:rsid w:val="00131A4A"/>
    <w:rsid w:val="001336EE"/>
    <w:rsid w:val="00133D83"/>
    <w:rsid w:val="001427FA"/>
    <w:rsid w:val="001433C2"/>
    <w:rsid w:val="00150C1C"/>
    <w:rsid w:val="00150C87"/>
    <w:rsid w:val="00152B9A"/>
    <w:rsid w:val="00157BB5"/>
    <w:rsid w:val="001613A5"/>
    <w:rsid w:val="0016454B"/>
    <w:rsid w:val="00164E97"/>
    <w:rsid w:val="001677A8"/>
    <w:rsid w:val="00167C97"/>
    <w:rsid w:val="00171B6E"/>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D77EC"/>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CF9"/>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36352"/>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A86"/>
    <w:rsid w:val="00381E1D"/>
    <w:rsid w:val="0038246C"/>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6C27"/>
    <w:rsid w:val="003F7139"/>
    <w:rsid w:val="00407160"/>
    <w:rsid w:val="00411B21"/>
    <w:rsid w:val="00411D69"/>
    <w:rsid w:val="00413BAE"/>
    <w:rsid w:val="004143E0"/>
    <w:rsid w:val="0041464F"/>
    <w:rsid w:val="00414682"/>
    <w:rsid w:val="00414A70"/>
    <w:rsid w:val="00415E5D"/>
    <w:rsid w:val="00416F13"/>
    <w:rsid w:val="00417A46"/>
    <w:rsid w:val="004221C5"/>
    <w:rsid w:val="004246A8"/>
    <w:rsid w:val="00425710"/>
    <w:rsid w:val="0042619D"/>
    <w:rsid w:val="00432896"/>
    <w:rsid w:val="00436187"/>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B5233"/>
    <w:rsid w:val="004C411D"/>
    <w:rsid w:val="004C41AE"/>
    <w:rsid w:val="004C6236"/>
    <w:rsid w:val="004D0247"/>
    <w:rsid w:val="004D03F5"/>
    <w:rsid w:val="004D0CDB"/>
    <w:rsid w:val="004D7071"/>
    <w:rsid w:val="004E04A9"/>
    <w:rsid w:val="004E09C1"/>
    <w:rsid w:val="004E6136"/>
    <w:rsid w:val="004F4EEF"/>
    <w:rsid w:val="004F55B4"/>
    <w:rsid w:val="004F6B8B"/>
    <w:rsid w:val="005003F6"/>
    <w:rsid w:val="00502B14"/>
    <w:rsid w:val="00503836"/>
    <w:rsid w:val="00503C13"/>
    <w:rsid w:val="00504742"/>
    <w:rsid w:val="00506CA0"/>
    <w:rsid w:val="00511693"/>
    <w:rsid w:val="005204C3"/>
    <w:rsid w:val="00521CE8"/>
    <w:rsid w:val="0052288D"/>
    <w:rsid w:val="005229AD"/>
    <w:rsid w:val="00524FBA"/>
    <w:rsid w:val="00526AC9"/>
    <w:rsid w:val="00527B13"/>
    <w:rsid w:val="00534596"/>
    <w:rsid w:val="00536540"/>
    <w:rsid w:val="005427F8"/>
    <w:rsid w:val="00543529"/>
    <w:rsid w:val="00545B31"/>
    <w:rsid w:val="00546040"/>
    <w:rsid w:val="00552C7A"/>
    <w:rsid w:val="00556C43"/>
    <w:rsid w:val="005640D7"/>
    <w:rsid w:val="0056577A"/>
    <w:rsid w:val="005670D5"/>
    <w:rsid w:val="00570C51"/>
    <w:rsid w:val="0057115E"/>
    <w:rsid w:val="00573345"/>
    <w:rsid w:val="0057336F"/>
    <w:rsid w:val="00573C36"/>
    <w:rsid w:val="0057614A"/>
    <w:rsid w:val="00576725"/>
    <w:rsid w:val="00580739"/>
    <w:rsid w:val="005812C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1564"/>
    <w:rsid w:val="005C3826"/>
    <w:rsid w:val="005C3AFC"/>
    <w:rsid w:val="005C7524"/>
    <w:rsid w:val="005C7744"/>
    <w:rsid w:val="005D3EB3"/>
    <w:rsid w:val="005D4D53"/>
    <w:rsid w:val="005E3602"/>
    <w:rsid w:val="005E3680"/>
    <w:rsid w:val="005E4152"/>
    <w:rsid w:val="005E5373"/>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27922"/>
    <w:rsid w:val="0063034A"/>
    <w:rsid w:val="00637FE9"/>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D77F6"/>
    <w:rsid w:val="006E1314"/>
    <w:rsid w:val="006E37D2"/>
    <w:rsid w:val="006E7A33"/>
    <w:rsid w:val="006F0B06"/>
    <w:rsid w:val="006F10AD"/>
    <w:rsid w:val="006F173D"/>
    <w:rsid w:val="006F205C"/>
    <w:rsid w:val="006F2DED"/>
    <w:rsid w:val="006F2FE8"/>
    <w:rsid w:val="006F6D54"/>
    <w:rsid w:val="006F7FEA"/>
    <w:rsid w:val="00702DBD"/>
    <w:rsid w:val="00705E9A"/>
    <w:rsid w:val="00707D40"/>
    <w:rsid w:val="007164D0"/>
    <w:rsid w:val="007167E7"/>
    <w:rsid w:val="007255E2"/>
    <w:rsid w:val="00725A20"/>
    <w:rsid w:val="00727E5F"/>
    <w:rsid w:val="00730772"/>
    <w:rsid w:val="00731270"/>
    <w:rsid w:val="00733227"/>
    <w:rsid w:val="0073352B"/>
    <w:rsid w:val="00736340"/>
    <w:rsid w:val="00736EAA"/>
    <w:rsid w:val="00740448"/>
    <w:rsid w:val="00740BAC"/>
    <w:rsid w:val="00741972"/>
    <w:rsid w:val="00753E10"/>
    <w:rsid w:val="00755AEC"/>
    <w:rsid w:val="00755DDC"/>
    <w:rsid w:val="00760792"/>
    <w:rsid w:val="0076249A"/>
    <w:rsid w:val="0077017C"/>
    <w:rsid w:val="00772D20"/>
    <w:rsid w:val="00773ABA"/>
    <w:rsid w:val="00774443"/>
    <w:rsid w:val="007747F0"/>
    <w:rsid w:val="0078017D"/>
    <w:rsid w:val="00781480"/>
    <w:rsid w:val="00787224"/>
    <w:rsid w:val="00791FA9"/>
    <w:rsid w:val="00795BD6"/>
    <w:rsid w:val="007A346E"/>
    <w:rsid w:val="007A367D"/>
    <w:rsid w:val="007A4745"/>
    <w:rsid w:val="007A5875"/>
    <w:rsid w:val="007B090C"/>
    <w:rsid w:val="007C7157"/>
    <w:rsid w:val="007D2DC1"/>
    <w:rsid w:val="007D7429"/>
    <w:rsid w:val="007D76E0"/>
    <w:rsid w:val="007E0040"/>
    <w:rsid w:val="007E0188"/>
    <w:rsid w:val="007E368D"/>
    <w:rsid w:val="007F54C1"/>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5237"/>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322C"/>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77504"/>
    <w:rsid w:val="009833D3"/>
    <w:rsid w:val="009927E5"/>
    <w:rsid w:val="00994C29"/>
    <w:rsid w:val="009969AF"/>
    <w:rsid w:val="009A0EC1"/>
    <w:rsid w:val="009A0ED5"/>
    <w:rsid w:val="009A50C4"/>
    <w:rsid w:val="009B47BF"/>
    <w:rsid w:val="009B4F5E"/>
    <w:rsid w:val="009C29F5"/>
    <w:rsid w:val="009D1C75"/>
    <w:rsid w:val="009D5726"/>
    <w:rsid w:val="009D61E3"/>
    <w:rsid w:val="009D7450"/>
    <w:rsid w:val="009D79EC"/>
    <w:rsid w:val="009E1FAA"/>
    <w:rsid w:val="009E36AA"/>
    <w:rsid w:val="009E3D2B"/>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26FB2"/>
    <w:rsid w:val="00A30925"/>
    <w:rsid w:val="00A3257C"/>
    <w:rsid w:val="00A3392B"/>
    <w:rsid w:val="00A33AB7"/>
    <w:rsid w:val="00A41F69"/>
    <w:rsid w:val="00A44362"/>
    <w:rsid w:val="00A47378"/>
    <w:rsid w:val="00A47BDC"/>
    <w:rsid w:val="00A50CCF"/>
    <w:rsid w:val="00A52322"/>
    <w:rsid w:val="00A52F9B"/>
    <w:rsid w:val="00A5416B"/>
    <w:rsid w:val="00A568A0"/>
    <w:rsid w:val="00A62207"/>
    <w:rsid w:val="00A62528"/>
    <w:rsid w:val="00A65C5E"/>
    <w:rsid w:val="00A67A3A"/>
    <w:rsid w:val="00A770A7"/>
    <w:rsid w:val="00A7759E"/>
    <w:rsid w:val="00A807BD"/>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899"/>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30C9"/>
    <w:rsid w:val="00B64032"/>
    <w:rsid w:val="00B64F01"/>
    <w:rsid w:val="00B65851"/>
    <w:rsid w:val="00B65F0B"/>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3DAA"/>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619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688"/>
    <w:rsid w:val="00CB2710"/>
    <w:rsid w:val="00CB2AE9"/>
    <w:rsid w:val="00CB3413"/>
    <w:rsid w:val="00CB6810"/>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5210"/>
    <w:rsid w:val="00CF70FE"/>
    <w:rsid w:val="00D00EE1"/>
    <w:rsid w:val="00D028B5"/>
    <w:rsid w:val="00D03B44"/>
    <w:rsid w:val="00D05678"/>
    <w:rsid w:val="00D10D61"/>
    <w:rsid w:val="00D127BB"/>
    <w:rsid w:val="00D21E5F"/>
    <w:rsid w:val="00D232B5"/>
    <w:rsid w:val="00D24065"/>
    <w:rsid w:val="00D312C4"/>
    <w:rsid w:val="00D35627"/>
    <w:rsid w:val="00D417EB"/>
    <w:rsid w:val="00D42696"/>
    <w:rsid w:val="00D43E19"/>
    <w:rsid w:val="00D50765"/>
    <w:rsid w:val="00D50CD3"/>
    <w:rsid w:val="00D700F9"/>
    <w:rsid w:val="00D745FC"/>
    <w:rsid w:val="00D84992"/>
    <w:rsid w:val="00D84D22"/>
    <w:rsid w:val="00D91DA7"/>
    <w:rsid w:val="00D937E3"/>
    <w:rsid w:val="00D938F9"/>
    <w:rsid w:val="00D95879"/>
    <w:rsid w:val="00D962FB"/>
    <w:rsid w:val="00DA4190"/>
    <w:rsid w:val="00DA4693"/>
    <w:rsid w:val="00DA55A1"/>
    <w:rsid w:val="00DA5EB9"/>
    <w:rsid w:val="00DB51A0"/>
    <w:rsid w:val="00DB5D20"/>
    <w:rsid w:val="00DC42AF"/>
    <w:rsid w:val="00DD225A"/>
    <w:rsid w:val="00DD4EC2"/>
    <w:rsid w:val="00DD633A"/>
    <w:rsid w:val="00DD7144"/>
    <w:rsid w:val="00DE2482"/>
    <w:rsid w:val="00DE2B7D"/>
    <w:rsid w:val="00DE4C0D"/>
    <w:rsid w:val="00DE6FC9"/>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5582C"/>
    <w:rsid w:val="00E61C12"/>
    <w:rsid w:val="00E64141"/>
    <w:rsid w:val="00E65583"/>
    <w:rsid w:val="00E67017"/>
    <w:rsid w:val="00E673B7"/>
    <w:rsid w:val="00E7029F"/>
    <w:rsid w:val="00E73B27"/>
    <w:rsid w:val="00E75D0B"/>
    <w:rsid w:val="00E83E85"/>
    <w:rsid w:val="00E8449E"/>
    <w:rsid w:val="00E85CAE"/>
    <w:rsid w:val="00E87812"/>
    <w:rsid w:val="00E87DC4"/>
    <w:rsid w:val="00E90225"/>
    <w:rsid w:val="00E90370"/>
    <w:rsid w:val="00E92985"/>
    <w:rsid w:val="00E935F2"/>
    <w:rsid w:val="00E93811"/>
    <w:rsid w:val="00E97260"/>
    <w:rsid w:val="00EA01E8"/>
    <w:rsid w:val="00EA2720"/>
    <w:rsid w:val="00EA3595"/>
    <w:rsid w:val="00EA5801"/>
    <w:rsid w:val="00EA6377"/>
    <w:rsid w:val="00EB087E"/>
    <w:rsid w:val="00EB1232"/>
    <w:rsid w:val="00EB2F0E"/>
    <w:rsid w:val="00EB506F"/>
    <w:rsid w:val="00EC0B54"/>
    <w:rsid w:val="00EC2169"/>
    <w:rsid w:val="00EC31D3"/>
    <w:rsid w:val="00EC69F6"/>
    <w:rsid w:val="00ED2DB5"/>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4C6"/>
    <w:rsid w:val="00F61708"/>
    <w:rsid w:val="00F62E9E"/>
    <w:rsid w:val="00F65464"/>
    <w:rsid w:val="00F70223"/>
    <w:rsid w:val="00F70BEF"/>
    <w:rsid w:val="00F70D38"/>
    <w:rsid w:val="00F739FE"/>
    <w:rsid w:val="00F74935"/>
    <w:rsid w:val="00F760FA"/>
    <w:rsid w:val="00F7711A"/>
    <w:rsid w:val="00F81985"/>
    <w:rsid w:val="00F825DD"/>
    <w:rsid w:val="00F83EEC"/>
    <w:rsid w:val="00F858BD"/>
    <w:rsid w:val="00F90BD4"/>
    <w:rsid w:val="00F96544"/>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425958559">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 w:id="2133941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1416</Words>
  <Characters>8075</Characters>
  <Application>Microsoft Office Word</Application>
  <DocSecurity>0</DocSecurity>
  <Lines>67</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Kristal Rivera Sanchez</cp:lastModifiedBy>
  <cp:revision>2</cp:revision>
  <cp:lastPrinted>2025-08-27T14:23:00Z</cp:lastPrinted>
  <dcterms:created xsi:type="dcterms:W3CDTF">2025-08-27T19:33:00Z</dcterms:created>
  <dcterms:modified xsi:type="dcterms:W3CDTF">2025-08-27T19:33:00Z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