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50656" w14:textId="77777777" w:rsidR="00FF2214" w:rsidRPr="006D77F6" w:rsidRDefault="00850770">
      <w:pPr>
        <w:jc w:val="center"/>
        <w:rPr>
          <w:rFonts w:ascii="Book Antiqua" w:eastAsia="Book Antiqua" w:hAnsi="Book Antiqua" w:cs="Book Antiqua"/>
          <w:bCs/>
          <w:color w:val="000000" w:themeColor="text1"/>
          <w:sz w:val="28"/>
          <w:szCs w:val="28"/>
          <w:lang w:val="es-PR"/>
        </w:rPr>
      </w:pPr>
      <w:r w:rsidRPr="006D77F6">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6D77F6">
        <w:rPr>
          <w:rFonts w:ascii="Book Antiqua" w:eastAsia="Book Antiqua" w:hAnsi="Book Antiqua" w:cs="Book Antiqua"/>
          <w:bCs/>
          <w:color w:val="000000" w:themeColor="text1"/>
          <w:sz w:val="28"/>
          <w:szCs w:val="28"/>
          <w:lang w:val="es-PR"/>
        </w:rPr>
        <w:t>PUERTO RICO</w:t>
      </w:r>
    </w:p>
    <w:p w14:paraId="79550657" w14:textId="77777777" w:rsidR="00FF2214" w:rsidRPr="00930E48" w:rsidRDefault="00FF2214">
      <w:pPr>
        <w:jc w:val="center"/>
        <w:rPr>
          <w:rFonts w:ascii="Book Antiqua" w:eastAsia="Book Antiqua" w:hAnsi="Book Antiqua" w:cs="Book Antiqua"/>
          <w:color w:val="000000" w:themeColor="text1"/>
          <w:lang w:val="es-PR"/>
        </w:rPr>
      </w:pPr>
    </w:p>
    <w:p w14:paraId="79550658" w14:textId="77777777" w:rsidR="00FF2214" w:rsidRPr="00930E48" w:rsidRDefault="00850770">
      <w:pPr>
        <w:tabs>
          <w:tab w:val="left" w:pos="648"/>
          <w:tab w:val="right" w:pos="7776"/>
          <w:tab w:val="left" w:pos="7848"/>
        </w:tabs>
        <w:rPr>
          <w:rFonts w:ascii="Book Antiqua" w:eastAsia="Book Antiqua" w:hAnsi="Book Antiqua" w:cs="Book Antiqua"/>
          <w:color w:val="000000" w:themeColor="text1"/>
          <w:lang w:val="es-PR"/>
        </w:rPr>
      </w:pPr>
      <w:r w:rsidRPr="00930E48">
        <w:rPr>
          <w:rFonts w:ascii="Book Antiqua" w:eastAsia="Book Antiqua" w:hAnsi="Book Antiqua" w:cs="Book Antiqua"/>
          <w:color w:val="000000" w:themeColor="text1"/>
          <w:lang w:val="es-PR"/>
        </w:rPr>
        <w:t xml:space="preserve">20 </w:t>
      </w:r>
      <w:r w:rsidRPr="00930E48">
        <w:rPr>
          <w:rFonts w:ascii="Book Antiqua" w:eastAsia="Book Antiqua" w:hAnsi="Book Antiqua" w:cs="Book Antiqua"/>
          <w:color w:val="000000" w:themeColor="text1"/>
          <w:vertAlign w:val="superscript"/>
          <w:lang w:val="es-PR"/>
        </w:rPr>
        <w:t>ma.</w:t>
      </w:r>
      <w:r w:rsidRPr="00930E48">
        <w:rPr>
          <w:rFonts w:ascii="Book Antiqua" w:eastAsia="Book Antiqua" w:hAnsi="Book Antiqua" w:cs="Book Antiqua"/>
          <w:color w:val="000000" w:themeColor="text1"/>
          <w:lang w:val="es-PR"/>
        </w:rPr>
        <w:tab/>
        <w:t>Asamblea</w:t>
      </w:r>
      <w:r w:rsidRPr="00930E48">
        <w:rPr>
          <w:rFonts w:ascii="Book Antiqua" w:eastAsia="Book Antiqua" w:hAnsi="Book Antiqua" w:cs="Book Antiqua"/>
          <w:color w:val="000000" w:themeColor="text1"/>
          <w:lang w:val="es-PR"/>
        </w:rPr>
        <w:tab/>
        <w:t>1</w:t>
      </w:r>
      <w:r w:rsidRPr="00930E48">
        <w:rPr>
          <w:rFonts w:ascii="Book Antiqua" w:eastAsia="Book Antiqua" w:hAnsi="Book Antiqua" w:cs="Book Antiqua"/>
          <w:color w:val="000000" w:themeColor="text1"/>
          <w:vertAlign w:val="superscript"/>
          <w:lang w:val="es-PR"/>
        </w:rPr>
        <w:t>ra.</w:t>
      </w:r>
      <w:r w:rsidRPr="00930E48">
        <w:rPr>
          <w:rFonts w:ascii="Book Antiqua" w:eastAsia="Book Antiqua" w:hAnsi="Book Antiqua" w:cs="Book Antiqua"/>
          <w:color w:val="000000" w:themeColor="text1"/>
          <w:vertAlign w:val="superscript"/>
          <w:lang w:val="es-PR"/>
        </w:rPr>
        <w:tab/>
      </w:r>
      <w:r w:rsidRPr="00930E48">
        <w:rPr>
          <w:rFonts w:ascii="Book Antiqua" w:eastAsia="Book Antiqua" w:hAnsi="Book Antiqua" w:cs="Book Antiqua"/>
          <w:color w:val="000000" w:themeColor="text1"/>
          <w:lang w:val="es-PR"/>
        </w:rPr>
        <w:t>Sesión</w:t>
      </w:r>
    </w:p>
    <w:p w14:paraId="79550659" w14:textId="77777777" w:rsidR="00FF2214" w:rsidRPr="00930E48" w:rsidRDefault="00850770">
      <w:pPr>
        <w:tabs>
          <w:tab w:val="left" w:pos="648"/>
          <w:tab w:val="right" w:pos="7776"/>
          <w:tab w:val="left" w:pos="7848"/>
        </w:tabs>
        <w:rPr>
          <w:rFonts w:ascii="Book Antiqua" w:eastAsia="Book Antiqua" w:hAnsi="Book Antiqua" w:cs="Book Antiqua"/>
          <w:color w:val="000000" w:themeColor="text1"/>
          <w:lang w:val="es-PR"/>
        </w:rPr>
      </w:pPr>
      <w:r w:rsidRPr="00930E48">
        <w:rPr>
          <w:rFonts w:ascii="Book Antiqua" w:eastAsia="Book Antiqua" w:hAnsi="Book Antiqua" w:cs="Book Antiqua"/>
          <w:color w:val="000000" w:themeColor="text1"/>
          <w:lang w:val="es-PR"/>
        </w:rPr>
        <w:tab/>
        <w:t>Legislativa</w:t>
      </w:r>
      <w:r w:rsidRPr="00930E48">
        <w:rPr>
          <w:rFonts w:ascii="Book Antiqua" w:eastAsia="Book Antiqua" w:hAnsi="Book Antiqua" w:cs="Book Antiqua"/>
          <w:color w:val="000000" w:themeColor="text1"/>
          <w:lang w:val="es-PR"/>
        </w:rPr>
        <w:tab/>
      </w:r>
      <w:r w:rsidRPr="00930E48">
        <w:rPr>
          <w:rFonts w:ascii="Book Antiqua" w:eastAsia="Book Antiqua" w:hAnsi="Book Antiqua" w:cs="Book Antiqua"/>
          <w:color w:val="000000" w:themeColor="text1"/>
          <w:lang w:val="es-PR"/>
        </w:rPr>
        <w:tab/>
        <w:t>Ordinaria</w:t>
      </w:r>
    </w:p>
    <w:p w14:paraId="7955065A" w14:textId="77777777" w:rsidR="00FF2214" w:rsidRPr="00930E48" w:rsidRDefault="00FF2214">
      <w:pPr>
        <w:rPr>
          <w:rFonts w:ascii="Book Antiqua" w:eastAsia="Book Antiqua" w:hAnsi="Book Antiqua" w:cs="Book Antiqua"/>
          <w:color w:val="000000" w:themeColor="text1"/>
          <w:lang w:val="es-PR"/>
        </w:rPr>
      </w:pPr>
    </w:p>
    <w:p w14:paraId="32A931BE" w14:textId="77777777" w:rsidR="00950505" w:rsidRPr="00930E48" w:rsidRDefault="00950505" w:rsidP="00950505">
      <w:pPr>
        <w:jc w:val="center"/>
        <w:rPr>
          <w:rFonts w:ascii="Book Antiqua" w:hAnsi="Book Antiqua"/>
          <w:b/>
          <w:color w:val="000000" w:themeColor="text1"/>
          <w:sz w:val="36"/>
          <w:szCs w:val="36"/>
          <w:lang w:val="es-PR"/>
        </w:rPr>
      </w:pPr>
      <w:r w:rsidRPr="00930E48">
        <w:rPr>
          <w:rFonts w:ascii="Book Antiqua" w:hAnsi="Book Antiqua"/>
          <w:b/>
          <w:color w:val="000000" w:themeColor="text1"/>
          <w:sz w:val="36"/>
          <w:szCs w:val="36"/>
          <w:lang w:val="es-PR"/>
        </w:rPr>
        <w:t>CÁMARA DE REPRESENTANTES</w:t>
      </w:r>
    </w:p>
    <w:p w14:paraId="1FE61380" w14:textId="77777777" w:rsidR="00950505" w:rsidRPr="00930E48" w:rsidRDefault="00950505" w:rsidP="00950505">
      <w:pPr>
        <w:jc w:val="center"/>
        <w:rPr>
          <w:rFonts w:ascii="Book Antiqua" w:hAnsi="Book Antiqua"/>
          <w:color w:val="000000" w:themeColor="text1"/>
          <w:lang w:val="es-PR"/>
        </w:rPr>
      </w:pPr>
    </w:p>
    <w:p w14:paraId="5886E84B" w14:textId="722BDD47" w:rsidR="00950505" w:rsidRPr="00930E48" w:rsidRDefault="00950505" w:rsidP="00950505">
      <w:pPr>
        <w:jc w:val="center"/>
        <w:rPr>
          <w:rFonts w:ascii="Book Antiqua" w:hAnsi="Book Antiqua"/>
          <w:b/>
          <w:color w:val="000000" w:themeColor="text1"/>
          <w:sz w:val="52"/>
          <w:szCs w:val="52"/>
          <w:lang w:val="es-PR"/>
        </w:rPr>
      </w:pPr>
      <w:r w:rsidRPr="00930E48">
        <w:rPr>
          <w:rFonts w:ascii="Book Antiqua" w:hAnsi="Book Antiqua"/>
          <w:b/>
          <w:color w:val="000000" w:themeColor="text1"/>
          <w:sz w:val="52"/>
          <w:szCs w:val="52"/>
          <w:lang w:val="es-PR"/>
        </w:rPr>
        <w:t>P. de la C.</w:t>
      </w:r>
      <w:r w:rsidR="00F825DD">
        <w:rPr>
          <w:rFonts w:ascii="Book Antiqua" w:hAnsi="Book Antiqua"/>
          <w:b/>
          <w:color w:val="000000" w:themeColor="text1"/>
          <w:sz w:val="52"/>
          <w:szCs w:val="52"/>
          <w:lang w:val="es-PR"/>
        </w:rPr>
        <w:t xml:space="preserve"> 587</w:t>
      </w:r>
    </w:p>
    <w:p w14:paraId="4A8A7A6F" w14:textId="77777777" w:rsidR="00950505" w:rsidRPr="00930E48" w:rsidRDefault="00950505" w:rsidP="00950505">
      <w:pPr>
        <w:jc w:val="center"/>
        <w:rPr>
          <w:rFonts w:ascii="Book Antiqua" w:hAnsi="Book Antiqua"/>
          <w:color w:val="000000" w:themeColor="text1"/>
          <w:lang w:val="es-PR"/>
        </w:rPr>
      </w:pPr>
    </w:p>
    <w:p w14:paraId="3D87D176" w14:textId="33549A7C" w:rsidR="00950505" w:rsidRPr="00930E48" w:rsidRDefault="006D77F6" w:rsidP="00950505">
      <w:pPr>
        <w:jc w:val="center"/>
        <w:rPr>
          <w:rFonts w:ascii="Book Antiqua" w:hAnsi="Book Antiqua"/>
          <w:b/>
          <w:color w:val="000000" w:themeColor="text1"/>
          <w:sz w:val="48"/>
          <w:lang w:val="es-PR"/>
        </w:rPr>
      </w:pPr>
      <w:bookmarkStart w:id="0" w:name="_Hlk194687809"/>
      <w:bookmarkStart w:id="1" w:name="_Hlk194687795"/>
      <w:r>
        <w:rPr>
          <w:rFonts w:ascii="Book Antiqua" w:hAnsi="Book Antiqua"/>
          <w:color w:val="000000" w:themeColor="text1"/>
          <w:lang w:val="es-PR"/>
        </w:rPr>
        <w:t xml:space="preserve">5 </w:t>
      </w:r>
      <w:r w:rsidRPr="00930E48">
        <w:rPr>
          <w:rFonts w:ascii="Book Antiqua" w:hAnsi="Book Antiqua"/>
          <w:color w:val="000000" w:themeColor="text1"/>
          <w:lang w:val="es-PR"/>
        </w:rPr>
        <w:t xml:space="preserve">DE </w:t>
      </w:r>
      <w:r>
        <w:rPr>
          <w:rFonts w:ascii="Book Antiqua" w:hAnsi="Book Antiqua"/>
          <w:color w:val="000000" w:themeColor="text1"/>
          <w:lang w:val="es-PR"/>
        </w:rPr>
        <w:t>MAYO</w:t>
      </w:r>
      <w:r w:rsidRPr="00930E48">
        <w:rPr>
          <w:rFonts w:ascii="Book Antiqua" w:hAnsi="Book Antiqua"/>
          <w:color w:val="000000" w:themeColor="text1"/>
          <w:lang w:val="es-PR"/>
        </w:rPr>
        <w:t xml:space="preserve"> DE 2025</w:t>
      </w:r>
    </w:p>
    <w:bookmarkEnd w:id="0"/>
    <w:p w14:paraId="1E7B6D3E" w14:textId="77777777" w:rsidR="00950505" w:rsidRPr="00930E48" w:rsidRDefault="00950505" w:rsidP="00950505">
      <w:pPr>
        <w:jc w:val="center"/>
        <w:rPr>
          <w:rFonts w:ascii="Book Antiqua" w:hAnsi="Book Antiqua"/>
          <w:color w:val="000000" w:themeColor="text1"/>
          <w:lang w:val="es-PR"/>
        </w:rPr>
      </w:pPr>
    </w:p>
    <w:p w14:paraId="001AA10B" w14:textId="1B109AAD" w:rsidR="00950505" w:rsidRPr="00B00227" w:rsidRDefault="00950505" w:rsidP="00B00227">
      <w:pPr>
        <w:ind w:left="810" w:hanging="810"/>
        <w:jc w:val="both"/>
        <w:rPr>
          <w:rFonts w:ascii="Book Antiqua" w:eastAsia="Aptos" w:hAnsi="Book Antiqua"/>
          <w:i/>
          <w:iCs/>
          <w:kern w:val="2"/>
          <w:lang w:val="es-ES"/>
          <w14:ligatures w14:val="standardContextual"/>
        </w:rPr>
      </w:pPr>
      <w:bookmarkStart w:id="2" w:name="_Hlk194687821"/>
      <w:r w:rsidRPr="00930E48">
        <w:rPr>
          <w:rFonts w:ascii="Book Antiqua" w:hAnsi="Book Antiqua"/>
          <w:color w:val="000000" w:themeColor="text1"/>
          <w:lang w:val="es-PR"/>
        </w:rPr>
        <w:t xml:space="preserve">Presentado </w:t>
      </w:r>
      <w:r w:rsidR="00B02CD9">
        <w:rPr>
          <w:rFonts w:ascii="Book Antiqua" w:eastAsia="Book Antiqua" w:hAnsi="Book Antiqua" w:cs="Book Antiqua"/>
          <w:color w:val="000000" w:themeColor="text1"/>
          <w:lang w:val="es-PR"/>
        </w:rPr>
        <w:t xml:space="preserve">por </w:t>
      </w:r>
      <w:r w:rsidR="00B02CD9" w:rsidRPr="00BC63DB">
        <w:rPr>
          <w:rFonts w:ascii="Book Antiqua" w:hAnsi="Book Antiqua"/>
          <w:lang w:val="es-ES"/>
        </w:rPr>
        <w:t xml:space="preserve">el representante </w:t>
      </w:r>
      <w:r w:rsidR="00B02CD9" w:rsidRPr="00BC63DB">
        <w:rPr>
          <w:rFonts w:ascii="Book Antiqua" w:hAnsi="Book Antiqua"/>
          <w:i/>
          <w:iCs/>
          <w:lang w:val="es-PR"/>
        </w:rPr>
        <w:t>Méndez Núñez</w:t>
      </w:r>
      <w:r w:rsidR="00B02CD9">
        <w:rPr>
          <w:rFonts w:ascii="Book Antiqua" w:hAnsi="Book Antiqua"/>
          <w:i/>
          <w:iCs/>
          <w:lang w:val="es-PR"/>
        </w:rPr>
        <w:t>;</w:t>
      </w:r>
      <w:r w:rsidR="00B02CD9" w:rsidRPr="00BC63DB">
        <w:rPr>
          <w:rFonts w:ascii="Book Antiqua" w:hAnsi="Book Antiqua"/>
          <w:i/>
          <w:iCs/>
          <w:lang w:val="es-PR"/>
        </w:rPr>
        <w:t xml:space="preserve">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Lebrón Rodríguez;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Peña Ramírez, Torres Zamora, Román López, Aponte Hernández, Carlo Acosta, Charbonier Chinea, Colón Rodríguez;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del Valle Correa;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Estévez Vélez, Franqui Atiles;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González Aguayo, González González;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Hernández Concepción, Jiménez Torres;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Martínez Vázquez, Medina Calderón;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Morey Noble, Muriel Sánchez, Navarro Suárez, Nieves Rosario, Ocasio Ramos, Pacheco Burgos, Parés Otero;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Peña Dávila;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Pérez Cordero, Pérez Ortiz;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Pérez Ramírez, Ramos Rivera;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Robles Rivera, Rodríguez Aguiló, Rodríguez Torres, Roque Gracia, Sanabria Colón y Santiago Guzmán</w:t>
      </w:r>
      <w:bookmarkEnd w:id="1"/>
    </w:p>
    <w:bookmarkEnd w:id="2"/>
    <w:p w14:paraId="18A0DB58" w14:textId="77777777" w:rsidR="00950505" w:rsidRPr="00930E48" w:rsidRDefault="00950505" w:rsidP="00950505">
      <w:pPr>
        <w:jc w:val="center"/>
        <w:rPr>
          <w:rFonts w:ascii="Book Antiqua" w:hAnsi="Book Antiqua"/>
          <w:color w:val="000000" w:themeColor="text1"/>
          <w:lang w:val="es-PR"/>
        </w:rPr>
      </w:pPr>
    </w:p>
    <w:p w14:paraId="6E0B8939" w14:textId="1CE48867" w:rsidR="00950505" w:rsidRPr="00930E48" w:rsidRDefault="00950505" w:rsidP="00950505">
      <w:pPr>
        <w:jc w:val="center"/>
        <w:rPr>
          <w:rFonts w:ascii="Book Antiqua" w:hAnsi="Book Antiqua"/>
          <w:color w:val="000000" w:themeColor="text1"/>
          <w:lang w:val="es-PR"/>
        </w:rPr>
      </w:pPr>
      <w:r w:rsidRPr="00930E48">
        <w:rPr>
          <w:rFonts w:ascii="Book Antiqua" w:hAnsi="Book Antiqua"/>
          <w:color w:val="000000" w:themeColor="text1"/>
          <w:lang w:val="es-PR"/>
        </w:rPr>
        <w:t>Referido a</w:t>
      </w:r>
      <w:r w:rsidR="000F376C">
        <w:rPr>
          <w:rFonts w:ascii="Book Antiqua" w:hAnsi="Book Antiqua"/>
          <w:color w:val="000000" w:themeColor="text1"/>
          <w:lang w:val="es-PR"/>
        </w:rPr>
        <w:t xml:space="preserve"> la Comisión de Adultos Mayores y Bienestar Social</w:t>
      </w:r>
    </w:p>
    <w:p w14:paraId="4B9C3823" w14:textId="77777777" w:rsidR="00950505" w:rsidRPr="00930E48" w:rsidRDefault="00950505" w:rsidP="00950505">
      <w:pPr>
        <w:jc w:val="both"/>
        <w:rPr>
          <w:rFonts w:ascii="Book Antiqua" w:hAnsi="Book Antiqua"/>
          <w:color w:val="000000" w:themeColor="text1"/>
          <w:lang w:val="es-PR"/>
        </w:rPr>
      </w:pPr>
    </w:p>
    <w:p w14:paraId="43228070" w14:textId="77777777" w:rsidR="00950505" w:rsidRPr="00930E48" w:rsidRDefault="00950505" w:rsidP="00950505">
      <w:pPr>
        <w:jc w:val="center"/>
        <w:rPr>
          <w:rFonts w:ascii="Book Antiqua" w:hAnsi="Book Antiqua"/>
          <w:b/>
          <w:color w:val="000000" w:themeColor="text1"/>
          <w:sz w:val="28"/>
          <w:lang w:val="es-PR"/>
        </w:rPr>
      </w:pPr>
      <w:r w:rsidRPr="00930E48">
        <w:rPr>
          <w:rFonts w:ascii="Book Antiqua" w:hAnsi="Book Antiqua"/>
          <w:b/>
          <w:color w:val="000000" w:themeColor="text1"/>
          <w:sz w:val="28"/>
          <w:lang w:val="es-PR"/>
        </w:rPr>
        <w:t>LEY</w:t>
      </w:r>
    </w:p>
    <w:p w14:paraId="79550663" w14:textId="77777777" w:rsidR="00FF2214" w:rsidRPr="00930E48" w:rsidRDefault="00FF2214">
      <w:pPr>
        <w:jc w:val="both"/>
        <w:rPr>
          <w:rFonts w:ascii="Book Antiqua" w:eastAsia="Book Antiqua" w:hAnsi="Book Antiqua" w:cs="Book Antiqua"/>
          <w:color w:val="000000" w:themeColor="text1"/>
          <w:lang w:val="es-PR"/>
        </w:rPr>
      </w:pPr>
    </w:p>
    <w:p w14:paraId="09B75864" w14:textId="77777777" w:rsidR="00131A4A" w:rsidRPr="00871C0E" w:rsidRDefault="00A057C5" w:rsidP="00131A4A">
      <w:pPr>
        <w:ind w:left="540" w:hanging="540"/>
        <w:contextualSpacing/>
        <w:jc w:val="both"/>
        <w:rPr>
          <w:rFonts w:ascii="Book Antiqua" w:eastAsia="Book Antiqua" w:hAnsi="Book Antiqua" w:cs="Book Antiqua"/>
          <w:color w:val="000000" w:themeColor="text1"/>
          <w:lang w:val="es-PR"/>
        </w:rPr>
      </w:pPr>
      <w:r w:rsidRPr="00A057C5">
        <w:rPr>
          <w:rFonts w:ascii="Book Antiqua" w:eastAsia="Book Antiqua" w:hAnsi="Book Antiqua" w:cs="Book Antiqua"/>
          <w:color w:val="000000" w:themeColor="text1"/>
          <w:lang w:val="es-PR"/>
        </w:rPr>
        <w:t xml:space="preserve">Para </w:t>
      </w:r>
      <w:r w:rsidR="00131A4A" w:rsidRPr="00871C0E">
        <w:rPr>
          <w:rFonts w:ascii="Book Antiqua" w:eastAsia="Book Antiqua" w:hAnsi="Book Antiqua" w:cs="Book Antiqua"/>
          <w:color w:val="000000" w:themeColor="text1"/>
          <w:lang w:val="es-PR"/>
        </w:rPr>
        <w:t xml:space="preserve">enmendar el </w:t>
      </w:r>
      <w:r w:rsidR="00131A4A" w:rsidRPr="00871C0E">
        <w:rPr>
          <w:rFonts w:ascii="Book Antiqua" w:hAnsi="Book Antiqua"/>
          <w:color w:val="000000" w:themeColor="text1"/>
          <w:lang w:val="es-PR"/>
        </w:rPr>
        <w:t>Artículo 18.1 de la Ley 121-2019, según enmendada, conocida como “Carta de Derechos y la Política Pública del Gobierno de Puerto Rico a Favor de los Adultos Mayores”, a los fines de añadir al Negociado de Investigaciones Especiales de Puerto Rico, como una de las instituciones a las que se le podrá hacer un referido en casos de explotación financiera de adultos mayores</w:t>
      </w:r>
      <w:r w:rsidR="00131A4A">
        <w:rPr>
          <w:rFonts w:ascii="Book Antiqua" w:eastAsia="Book Antiqua" w:hAnsi="Book Antiqua" w:cs="Book Antiqua"/>
          <w:color w:val="000000" w:themeColor="text1"/>
          <w:lang w:val="es-PR"/>
        </w:rPr>
        <w:t xml:space="preserve"> y para otros fines relacionados. </w:t>
      </w:r>
    </w:p>
    <w:p w14:paraId="6807A0A6" w14:textId="59C6B763" w:rsidR="00DB5D20" w:rsidRDefault="00DB5D20" w:rsidP="00131A4A">
      <w:pPr>
        <w:suppressLineNumbers/>
        <w:ind w:left="567" w:hanging="567"/>
        <w:jc w:val="both"/>
        <w:rPr>
          <w:rFonts w:ascii="Book Antiqua" w:eastAsia="Book Antiqua" w:hAnsi="Book Antiqua" w:cs="Book Antiqua"/>
          <w:bCs/>
          <w:color w:val="000000" w:themeColor="text1"/>
          <w:lang w:val="es-PR"/>
        </w:rPr>
      </w:pPr>
    </w:p>
    <w:p w14:paraId="63AE53B1" w14:textId="7447229C" w:rsidR="00010836" w:rsidRPr="00930E48" w:rsidRDefault="00850770" w:rsidP="005C1370">
      <w:pPr>
        <w:ind w:left="540" w:hanging="540"/>
        <w:jc w:val="center"/>
        <w:rPr>
          <w:rFonts w:ascii="Book Antiqua" w:eastAsia="Book Antiqua" w:hAnsi="Book Antiqua" w:cs="Book Antiqua"/>
          <w:bCs/>
          <w:color w:val="000000" w:themeColor="text1"/>
          <w:lang w:val="es-PR"/>
        </w:rPr>
      </w:pPr>
      <w:r w:rsidRPr="00930E48">
        <w:rPr>
          <w:rFonts w:ascii="Book Antiqua" w:eastAsia="Book Antiqua" w:hAnsi="Book Antiqua" w:cs="Book Antiqua"/>
          <w:bCs/>
          <w:color w:val="000000" w:themeColor="text1"/>
          <w:lang w:val="es-PR"/>
        </w:rPr>
        <w:t>EXPOSICIÓN DE MOTIVOS</w:t>
      </w:r>
    </w:p>
    <w:p w14:paraId="3F629E7D" w14:textId="77777777" w:rsidR="00F1322B" w:rsidRDefault="00F1322B" w:rsidP="00F1322B">
      <w:pPr>
        <w:suppressLineNumbers/>
        <w:jc w:val="both"/>
        <w:rPr>
          <w:rFonts w:ascii="Book Antiqua" w:eastAsia="Book Antiqua" w:hAnsi="Book Antiqua" w:cs="Book Antiqua"/>
          <w:bCs/>
          <w:color w:val="000000" w:themeColor="text1"/>
          <w:lang w:val="es-PR"/>
        </w:rPr>
      </w:pPr>
    </w:p>
    <w:p w14:paraId="5498E0F4" w14:textId="77777777" w:rsidR="00131A4A" w:rsidRPr="00871C0E" w:rsidRDefault="00131A4A" w:rsidP="00131A4A">
      <w:pPr>
        <w:jc w:val="both"/>
        <w:rPr>
          <w:rFonts w:ascii="Book Antiqua" w:hAnsi="Book Antiqua"/>
          <w:color w:val="000000" w:themeColor="text1"/>
          <w:lang w:val="es-PR"/>
        </w:rPr>
      </w:pPr>
      <w:r w:rsidRPr="00871C0E">
        <w:rPr>
          <w:rFonts w:ascii="Book Antiqua" w:hAnsi="Book Antiqua"/>
          <w:color w:val="000000" w:themeColor="text1"/>
          <w:lang w:val="es-PR"/>
        </w:rPr>
        <w:t xml:space="preserve">Como resultado del aumento en la expectativa de vida promedio de las personas, la población mundial está envejeciendo, lo que se ha reflejado en un crecimiento mundial, en el número y la proporción de personas mayores en su población. Entre el 2010 y el 2020, la expectativa de vida de los puertorriqueños aumentó 2 años: de 79 años a 81 años. Según el Censo, Puerto Rico ha atravesado por un descenso alarmante en la tasa de natalidad, de 11.3 nacimientos por cada mil habitantes en el 2010 a 7.9 nacimientos por </w:t>
      </w:r>
      <w:r w:rsidRPr="00871C0E">
        <w:rPr>
          <w:rFonts w:ascii="Book Antiqua" w:hAnsi="Book Antiqua"/>
          <w:color w:val="000000" w:themeColor="text1"/>
          <w:lang w:val="es-PR"/>
        </w:rPr>
        <w:lastRenderedPageBreak/>
        <w:t>cada mil habitantes en el 2020; y se proyecta que ese número baje a 6.6 nacimientos vivos por cada mil habitantes para el 2050.</w:t>
      </w:r>
    </w:p>
    <w:p w14:paraId="07FAC324" w14:textId="77777777" w:rsidR="00131A4A" w:rsidRDefault="00131A4A" w:rsidP="00131A4A">
      <w:pPr>
        <w:jc w:val="both"/>
        <w:rPr>
          <w:rFonts w:ascii="Book Antiqua" w:hAnsi="Book Antiqua"/>
          <w:color w:val="000000" w:themeColor="text1"/>
          <w:lang w:val="es-PR"/>
        </w:rPr>
      </w:pPr>
    </w:p>
    <w:p w14:paraId="3A1CEF08" w14:textId="77777777" w:rsidR="00131A4A" w:rsidRPr="00871C0E" w:rsidRDefault="00131A4A" w:rsidP="00131A4A">
      <w:pPr>
        <w:jc w:val="both"/>
        <w:rPr>
          <w:rFonts w:ascii="Book Antiqua" w:hAnsi="Book Antiqua"/>
          <w:color w:val="000000" w:themeColor="text1"/>
          <w:lang w:val="es-PR"/>
        </w:rPr>
      </w:pPr>
      <w:r w:rsidRPr="00871C0E">
        <w:rPr>
          <w:rFonts w:ascii="Book Antiqua" w:hAnsi="Book Antiqua"/>
          <w:color w:val="000000" w:themeColor="text1"/>
          <w:lang w:val="es-PR"/>
        </w:rPr>
        <w:t xml:space="preserve">Para nuestro Gobierno, es medular el fortalecer los mecanismos de protección contra fraudes y abusos financieros, así como programas educativos para adultos mayores sobre gestión financiera. Esto incluye el desarrollo de campañas y alianzas para la protección de los activos y prevención del fraude, aumentando la colaboración entre las agencias de ley y orden (estatales y federales), las instituciones financieras y otras entidades. </w:t>
      </w:r>
    </w:p>
    <w:p w14:paraId="030ACD2B" w14:textId="77777777" w:rsidR="00131A4A" w:rsidRDefault="00131A4A" w:rsidP="00131A4A">
      <w:pPr>
        <w:jc w:val="both"/>
        <w:rPr>
          <w:rFonts w:ascii="Book Antiqua" w:hAnsi="Book Antiqua"/>
          <w:color w:val="000000" w:themeColor="text1"/>
          <w:lang w:val="es-PR"/>
        </w:rPr>
      </w:pPr>
    </w:p>
    <w:p w14:paraId="506D9421" w14:textId="77777777" w:rsidR="00131A4A" w:rsidRPr="00871C0E" w:rsidRDefault="00131A4A" w:rsidP="00131A4A">
      <w:pPr>
        <w:jc w:val="both"/>
        <w:rPr>
          <w:rFonts w:ascii="Book Antiqua" w:hAnsi="Book Antiqua"/>
          <w:color w:val="000000" w:themeColor="text1"/>
          <w:lang w:val="es-PR"/>
        </w:rPr>
      </w:pPr>
      <w:r w:rsidRPr="00871C0E">
        <w:rPr>
          <w:rFonts w:ascii="Book Antiqua" w:hAnsi="Book Antiqua"/>
          <w:color w:val="000000" w:themeColor="text1"/>
          <w:lang w:val="es-PR"/>
        </w:rPr>
        <w:t>En nuestra jurisdicción, existen diferentes leyes que condenan la explotación financiera de adultos mayores, como lo es el Artículo 127-C, del Código Penal de Puerto Rico, el cual tipifica como delito menos grave, la explotación financiera de fondos o bienes que no sobrepasen los dos mil quinientos dólares ($2,500). No obstante, cuando los fondos, activos o propiedad objeto de la explotación sobrepasan dicha cantidad, esta conducta es tipificada como delito grave.</w:t>
      </w:r>
      <w:r w:rsidRPr="00871C0E">
        <w:rPr>
          <w:rStyle w:val="FootnoteReference"/>
          <w:rFonts w:ascii="Book Antiqua" w:hAnsi="Book Antiqua"/>
          <w:color w:val="000000" w:themeColor="text1"/>
          <w:lang w:val="es-PR"/>
        </w:rPr>
        <w:footnoteReference w:id="2"/>
      </w:r>
      <w:r w:rsidRPr="00871C0E">
        <w:rPr>
          <w:rFonts w:ascii="Book Antiqua" w:hAnsi="Book Antiqua"/>
          <w:color w:val="000000" w:themeColor="text1"/>
          <w:lang w:val="es-PR"/>
        </w:rPr>
        <w:t xml:space="preserve"> Además, la explotación financiera es considerada como una modalidad de abuso y maltrato a personas de edad avanzada.</w:t>
      </w:r>
      <w:r w:rsidRPr="00871C0E">
        <w:rPr>
          <w:rStyle w:val="FootnoteReference"/>
          <w:rFonts w:ascii="Book Antiqua" w:hAnsi="Book Antiqua"/>
          <w:color w:val="000000" w:themeColor="text1"/>
          <w:lang w:val="es-PR"/>
        </w:rPr>
        <w:footnoteReference w:id="3"/>
      </w:r>
      <w:r w:rsidRPr="00871C0E">
        <w:rPr>
          <w:rFonts w:ascii="Book Antiqua" w:hAnsi="Book Antiqua"/>
          <w:color w:val="000000" w:themeColor="text1"/>
          <w:lang w:val="es-PR"/>
        </w:rPr>
        <w:t xml:space="preserve"> Dicho acto delictivo en contra de un envejeciente puede ser llevado a cabo por cualquier persona, incluyendo familiares, cuidadores, personas de confianza de la víctima, entre otros. </w:t>
      </w:r>
    </w:p>
    <w:p w14:paraId="16D8A7F6" w14:textId="77777777" w:rsidR="00131A4A" w:rsidRDefault="00131A4A" w:rsidP="00131A4A">
      <w:pPr>
        <w:ind w:left="21" w:right="35"/>
        <w:jc w:val="both"/>
        <w:rPr>
          <w:rFonts w:ascii="Book Antiqua" w:eastAsia="Book Antiqua" w:hAnsi="Book Antiqua" w:cs="Book Antiqua"/>
          <w:color w:val="000000" w:themeColor="text1"/>
          <w:lang w:val="es-PR"/>
        </w:rPr>
      </w:pPr>
    </w:p>
    <w:p w14:paraId="10B0370D" w14:textId="77777777" w:rsidR="00131A4A" w:rsidRDefault="00131A4A" w:rsidP="00131A4A">
      <w:pPr>
        <w:ind w:left="21" w:right="35"/>
        <w:jc w:val="both"/>
        <w:rPr>
          <w:rFonts w:ascii="Book Antiqua" w:eastAsia="Book Antiqua" w:hAnsi="Book Antiqua" w:cs="Book Antiqua"/>
          <w:color w:val="000000" w:themeColor="text1"/>
          <w:lang w:val="es-PR"/>
        </w:rPr>
      </w:pPr>
      <w:r w:rsidRPr="00871C0E">
        <w:rPr>
          <w:rFonts w:ascii="Book Antiqua" w:eastAsia="Book Antiqua" w:hAnsi="Book Antiqua" w:cs="Book Antiqua"/>
          <w:color w:val="000000" w:themeColor="text1"/>
          <w:lang w:val="es-PR"/>
        </w:rPr>
        <w:t>Ante esta problemática, resulta necesario tomar acciones concretas con miras a la prevención e implementación de la legislación vigente. Esta Asamblea Legislativa reconoce la importancia que tiene la población de adultos mayores, y el asegurarle la tranquilidad en esta etapa de su vida. Por ello, considera meritorio aprobar toda legislación necesaria, que redunde en fortalecer las entidades del estado que puedan sumarse en los procesos investigativos, en aquellos casos de explotación financiera de adultos mayores.</w:t>
      </w:r>
    </w:p>
    <w:p w14:paraId="718C9E6C" w14:textId="64F7C54E" w:rsidR="00787224" w:rsidRPr="00E42EB8" w:rsidRDefault="00392845" w:rsidP="00E42EB8">
      <w:pPr>
        <w:jc w:val="both"/>
        <w:textAlignment w:val="baseline"/>
        <w:rPr>
          <w:rFonts w:ascii="Segoe UI" w:hAnsi="Segoe UI" w:cs="Segoe UI"/>
          <w:sz w:val="18"/>
          <w:szCs w:val="18"/>
          <w:lang w:val="es-PR"/>
        </w:rPr>
      </w:pPr>
      <w:r w:rsidRPr="006C5DE4">
        <w:rPr>
          <w:rFonts w:ascii="Book Antiqua" w:hAnsi="Book Antiqua" w:cs="Segoe UI"/>
          <w:lang w:val="es-PR"/>
        </w:rPr>
        <w:t> </w:t>
      </w:r>
    </w:p>
    <w:p w14:paraId="7955066D" w14:textId="77777777" w:rsidR="00FF2214" w:rsidRPr="00930E48" w:rsidRDefault="00850770">
      <w:pPr>
        <w:spacing w:line="480" w:lineRule="auto"/>
        <w:jc w:val="both"/>
        <w:rPr>
          <w:rFonts w:ascii="Book Antiqua" w:eastAsia="Book Antiqua" w:hAnsi="Book Antiqua" w:cs="Book Antiqua"/>
          <w:i/>
          <w:color w:val="000000" w:themeColor="text1"/>
          <w:lang w:val="es-PR"/>
        </w:rPr>
        <w:sectPr w:rsidR="00FF2214" w:rsidRPr="00930E48">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930E48">
        <w:rPr>
          <w:rFonts w:ascii="Book Antiqua" w:eastAsia="Book Antiqua" w:hAnsi="Book Antiqua" w:cs="Book Antiqua"/>
          <w:i/>
          <w:color w:val="000000" w:themeColor="text1"/>
          <w:lang w:val="es-PR"/>
        </w:rPr>
        <w:t>DECRÉTASE POR LA ASAMBLEA LEGISLATIVA DE PUERTO RICO:</w:t>
      </w:r>
    </w:p>
    <w:p w14:paraId="2BB0C07C" w14:textId="77777777" w:rsidR="00131A4A" w:rsidRPr="00871C0E" w:rsidRDefault="00131A4A" w:rsidP="00131A4A">
      <w:pPr>
        <w:pStyle w:val="BodyText"/>
        <w:spacing w:line="480" w:lineRule="auto"/>
        <w:ind w:firstLine="720"/>
        <w:rPr>
          <w:rFonts w:ascii="Book Antiqua" w:hAnsi="Book Antiqua"/>
          <w:color w:val="000000" w:themeColor="text1"/>
        </w:rPr>
      </w:pPr>
      <w:bookmarkStart w:id="3" w:name="{20D8}"/>
      <w:bookmarkStart w:id="4" w:name="_Hlk189832381"/>
      <w:r w:rsidRPr="00871C0E">
        <w:rPr>
          <w:rFonts w:ascii="Book Antiqua" w:hAnsi="Book Antiqua"/>
          <w:color w:val="000000" w:themeColor="text1"/>
        </w:rPr>
        <w:t>Sección 1.— Se enmienda el Artículo 18.1 de la Ley 121-2019, según enmendada, para que se lea como sigue:</w:t>
      </w:r>
    </w:p>
    <w:p w14:paraId="36D51FC0" w14:textId="77777777" w:rsidR="00131A4A" w:rsidRPr="00871C0E" w:rsidRDefault="00131A4A" w:rsidP="00131A4A">
      <w:pPr>
        <w:pStyle w:val="BodyText"/>
        <w:spacing w:line="480" w:lineRule="auto"/>
        <w:ind w:firstLine="720"/>
        <w:rPr>
          <w:rFonts w:ascii="Book Antiqua" w:hAnsi="Book Antiqua" w:cs="Poppins"/>
          <w:color w:val="000000" w:themeColor="text1"/>
        </w:rPr>
      </w:pPr>
      <w:r w:rsidRPr="00871C0E">
        <w:rPr>
          <w:rFonts w:ascii="Book Antiqua" w:hAnsi="Book Antiqua"/>
          <w:color w:val="000000" w:themeColor="text1"/>
        </w:rPr>
        <w:t>“</w:t>
      </w:r>
      <w:bookmarkEnd w:id="3"/>
      <w:bookmarkEnd w:id="4"/>
      <w:r w:rsidRPr="00871C0E">
        <w:rPr>
          <w:rFonts w:ascii="Book Antiqua" w:hAnsi="Book Antiqua"/>
          <w:color w:val="000000" w:themeColor="text1"/>
        </w:rPr>
        <w:t xml:space="preserve">Artículo 18.1. </w:t>
      </w:r>
      <w:r w:rsidRPr="00871C0E">
        <w:rPr>
          <w:rFonts w:ascii="Book Antiqua" w:hAnsi="Book Antiqua" w:cs="Poppins"/>
          <w:color w:val="000000" w:themeColor="text1"/>
        </w:rPr>
        <w:t>— Otras Personas que Informarán – Instituciones Financieras, Cooperativas y Compañías de Seguros.</w:t>
      </w:r>
    </w:p>
    <w:p w14:paraId="292FE643" w14:textId="77777777" w:rsidR="00131A4A" w:rsidRPr="00871C0E" w:rsidRDefault="00131A4A" w:rsidP="00131A4A">
      <w:pPr>
        <w:spacing w:line="480" w:lineRule="auto"/>
        <w:ind w:left="720"/>
        <w:jc w:val="both"/>
        <w:rPr>
          <w:rFonts w:ascii="Book Antiqua" w:eastAsiaTheme="minorHAnsi" w:hAnsi="Book Antiqua" w:cs="Poppins"/>
          <w:color w:val="000000" w:themeColor="text1"/>
          <w:kern w:val="2"/>
          <w:lang w:val="es-PR"/>
          <w14:ligatures w14:val="standardContextual"/>
        </w:rPr>
      </w:pPr>
      <w:r w:rsidRPr="00871C0E">
        <w:rPr>
          <w:rFonts w:ascii="Book Antiqua" w:eastAsiaTheme="minorHAnsi" w:hAnsi="Book Antiqua" w:cs="Poppins"/>
          <w:color w:val="000000" w:themeColor="text1"/>
          <w:kern w:val="2"/>
          <w:lang w:val="es-PR"/>
          <w14:ligatures w14:val="standardContextual"/>
        </w:rPr>
        <w:t>“…</w:t>
      </w:r>
    </w:p>
    <w:p w14:paraId="2DA16631" w14:textId="77777777" w:rsidR="00131A4A" w:rsidRPr="00871C0E" w:rsidRDefault="00131A4A" w:rsidP="00131A4A">
      <w:pPr>
        <w:spacing w:line="480" w:lineRule="auto"/>
        <w:ind w:left="720"/>
        <w:jc w:val="both"/>
        <w:rPr>
          <w:rFonts w:ascii="Book Antiqua" w:eastAsiaTheme="minorHAnsi" w:hAnsi="Book Antiqua" w:cs="Poppins"/>
          <w:color w:val="000000" w:themeColor="text1"/>
          <w:kern w:val="2"/>
          <w:lang w:val="es-PR"/>
          <w14:ligatures w14:val="standardContextual"/>
        </w:rPr>
      </w:pPr>
      <w:r w:rsidRPr="00871C0E">
        <w:rPr>
          <w:rFonts w:ascii="Book Antiqua" w:eastAsiaTheme="minorHAnsi" w:hAnsi="Book Antiqua" w:cs="Poppins"/>
          <w:color w:val="000000" w:themeColor="text1"/>
          <w:kern w:val="2"/>
          <w:lang w:val="es-PR"/>
          <w14:ligatures w14:val="standardContextual"/>
        </w:rPr>
        <w:lastRenderedPageBreak/>
        <w:t>Para propósitos de este Artículo, se entenderá que sospecha razonable es la creencia de una persona prudente y razonable de que un tercero que acude a solicitar el desembolso de fondos lo está haciendo de forma impropia, sin consentimiento del dueño de la cuenta, mediante falsas pretensiones, engaño, intimidación, coerción y/o con fines de malversar los mismos en posible detrimento de los intereses económicos del adulto mayor. De retener provisionalmente los fondos deberá, en un término no mayor de cinco (5) días laborables:</w:t>
      </w:r>
    </w:p>
    <w:p w14:paraId="23DA3514" w14:textId="77777777" w:rsidR="00131A4A" w:rsidRPr="00871C0E" w:rsidRDefault="00131A4A" w:rsidP="00131A4A">
      <w:pPr>
        <w:spacing w:line="480" w:lineRule="auto"/>
        <w:ind w:left="720"/>
        <w:jc w:val="both"/>
        <w:rPr>
          <w:rFonts w:ascii="Book Antiqua" w:eastAsiaTheme="minorHAnsi" w:hAnsi="Book Antiqua" w:cs="Poppins"/>
          <w:color w:val="000000" w:themeColor="text1"/>
          <w:kern w:val="2"/>
          <w:lang w:val="es-PR"/>
          <w14:ligatures w14:val="standardContextual"/>
        </w:rPr>
      </w:pPr>
      <w:r w:rsidRPr="00871C0E">
        <w:rPr>
          <w:rFonts w:ascii="Book Antiqua" w:eastAsiaTheme="minorHAnsi" w:hAnsi="Book Antiqua" w:cs="Poppins"/>
          <w:color w:val="000000" w:themeColor="text1"/>
          <w:kern w:val="2"/>
          <w:lang w:val="es-PR"/>
          <w14:ligatures w14:val="standardContextual"/>
        </w:rPr>
        <w:t>(1) …</w:t>
      </w:r>
    </w:p>
    <w:p w14:paraId="0532FA7D" w14:textId="77777777" w:rsidR="00131A4A" w:rsidRPr="00871C0E" w:rsidRDefault="00131A4A" w:rsidP="00131A4A">
      <w:pPr>
        <w:spacing w:line="480" w:lineRule="auto"/>
        <w:ind w:left="720"/>
        <w:contextualSpacing/>
        <w:jc w:val="both"/>
        <w:rPr>
          <w:rFonts w:ascii="Book Antiqua" w:eastAsiaTheme="minorHAnsi" w:hAnsi="Book Antiqua" w:cs="Poppins"/>
          <w:color w:val="000000" w:themeColor="text1"/>
          <w:kern w:val="2"/>
          <w:lang w:val="es-PR"/>
          <w14:ligatures w14:val="standardContextual"/>
        </w:rPr>
      </w:pPr>
      <w:r w:rsidRPr="00871C0E">
        <w:rPr>
          <w:rFonts w:ascii="Book Antiqua" w:eastAsiaTheme="minorHAnsi" w:hAnsi="Book Antiqua" w:cs="Poppins"/>
          <w:color w:val="000000" w:themeColor="text1"/>
          <w:kern w:val="2"/>
          <w:lang w:val="es-PR"/>
          <w14:ligatures w14:val="standardContextual"/>
        </w:rPr>
        <w:t xml:space="preserve">(2) hacer un referido al </w:t>
      </w:r>
      <w:r w:rsidRPr="00871C0E">
        <w:rPr>
          <w:rFonts w:ascii="Book Antiqua" w:eastAsiaTheme="minorHAnsi" w:hAnsi="Book Antiqua" w:cs="Poppins"/>
          <w:i/>
          <w:color w:val="000000" w:themeColor="text1"/>
          <w:kern w:val="2"/>
          <w:lang w:val="es-PR"/>
          <w14:ligatures w14:val="standardContextual"/>
        </w:rPr>
        <w:t xml:space="preserve">Negociado de Investigaciones Especiales, </w:t>
      </w:r>
      <w:r w:rsidRPr="00871C0E">
        <w:rPr>
          <w:rFonts w:ascii="Book Antiqua" w:eastAsiaTheme="minorHAnsi" w:hAnsi="Book Antiqua" w:cs="Poppins"/>
          <w:color w:val="000000" w:themeColor="text1"/>
          <w:kern w:val="2"/>
          <w:lang w:val="es-PR"/>
          <w14:ligatures w14:val="standardContextual"/>
        </w:rPr>
        <w:t>al Negociado de la Policía de Puerto Rico, al Departamento de la Familia y a la Oficina de la Procuradora de las Personas de Edad Avanzada…</w:t>
      </w:r>
    </w:p>
    <w:p w14:paraId="0FC0460F" w14:textId="77777777" w:rsidR="00131A4A" w:rsidRPr="00871C0E" w:rsidRDefault="00131A4A" w:rsidP="00131A4A">
      <w:pPr>
        <w:spacing w:line="480" w:lineRule="auto"/>
        <w:ind w:left="720"/>
        <w:jc w:val="both"/>
        <w:rPr>
          <w:rFonts w:ascii="Book Antiqua" w:eastAsiaTheme="minorHAnsi" w:hAnsi="Book Antiqua" w:cs="Poppins"/>
          <w:color w:val="000000" w:themeColor="text1"/>
          <w:kern w:val="2"/>
          <w:lang w:val="es-PR"/>
          <w14:ligatures w14:val="standardContextual"/>
        </w:rPr>
      </w:pPr>
      <w:r w:rsidRPr="00871C0E">
        <w:rPr>
          <w:rFonts w:ascii="Book Antiqua" w:eastAsiaTheme="minorHAnsi" w:hAnsi="Book Antiqua" w:cstheme="minorBidi"/>
          <w:color w:val="000000" w:themeColor="text1"/>
          <w:kern w:val="2"/>
          <w:lang w:val="es-PR"/>
          <w14:ligatures w14:val="standardContextual"/>
        </w:rPr>
        <w:t>Cualquier retención de un desembolso, según autorizado en este Artículo no podrá extenderse por más de quince (15) días, contados a partir de la fecha en que se solicitó el desembolso, a menos que una de las agencias notificadas, según requiere esta Ley, solicite extender el término por diez (10) días adicionales o un tribunal con competencia lo extienda.</w:t>
      </w:r>
    </w:p>
    <w:p w14:paraId="5E4C6D36" w14:textId="77777777" w:rsidR="00131A4A" w:rsidRPr="00871C0E" w:rsidRDefault="00131A4A" w:rsidP="00131A4A">
      <w:pPr>
        <w:spacing w:line="480" w:lineRule="auto"/>
        <w:ind w:left="720"/>
        <w:jc w:val="both"/>
        <w:rPr>
          <w:rFonts w:ascii="Book Antiqua" w:eastAsiaTheme="minorHAnsi" w:hAnsi="Book Antiqua" w:cs="Poppins"/>
          <w:color w:val="000000" w:themeColor="text1"/>
          <w:kern w:val="2"/>
          <w:lang w:val="es-PR"/>
          <w14:ligatures w14:val="standardContextual"/>
        </w:rPr>
      </w:pPr>
      <w:r w:rsidRPr="00871C0E">
        <w:rPr>
          <w:rFonts w:ascii="Book Antiqua" w:eastAsiaTheme="minorHAnsi" w:hAnsi="Book Antiqua" w:cs="Poppins"/>
          <w:color w:val="000000" w:themeColor="text1"/>
          <w:kern w:val="2"/>
          <w:lang w:val="es-PR"/>
          <w14:ligatures w14:val="standardContextual"/>
        </w:rPr>
        <w:t>…</w:t>
      </w:r>
    </w:p>
    <w:p w14:paraId="3506A090" w14:textId="77777777" w:rsidR="00131A4A" w:rsidRPr="00871C0E" w:rsidRDefault="00131A4A" w:rsidP="00131A4A">
      <w:pPr>
        <w:spacing w:line="480" w:lineRule="auto"/>
        <w:ind w:left="720"/>
        <w:jc w:val="both"/>
        <w:rPr>
          <w:rFonts w:ascii="Book Antiqua" w:eastAsiaTheme="minorHAnsi" w:hAnsi="Book Antiqua" w:cs="Poppins"/>
          <w:color w:val="000000" w:themeColor="text1"/>
          <w:kern w:val="2"/>
          <w:lang w:val="es-PR"/>
          <w14:ligatures w14:val="standardContextual"/>
        </w:rPr>
      </w:pPr>
      <w:r w:rsidRPr="00871C0E">
        <w:rPr>
          <w:rFonts w:ascii="Book Antiqua" w:eastAsiaTheme="minorHAnsi" w:hAnsi="Book Antiqua" w:cs="Poppins"/>
          <w:color w:val="000000" w:themeColor="text1"/>
          <w:kern w:val="2"/>
          <w:lang w:val="es-PR"/>
          <w14:ligatures w14:val="standardContextual"/>
        </w:rPr>
        <w:t>…</w:t>
      </w:r>
    </w:p>
    <w:p w14:paraId="5A4A7606" w14:textId="77777777" w:rsidR="00131A4A" w:rsidRPr="00871C0E" w:rsidRDefault="00131A4A" w:rsidP="00131A4A">
      <w:pPr>
        <w:spacing w:line="480" w:lineRule="auto"/>
        <w:ind w:left="720"/>
        <w:jc w:val="both"/>
        <w:rPr>
          <w:rFonts w:ascii="Book Antiqua" w:eastAsiaTheme="minorHAnsi" w:hAnsi="Book Antiqua" w:cs="Poppins"/>
          <w:color w:val="000000" w:themeColor="text1"/>
          <w:kern w:val="2"/>
          <w:lang w:val="es-PR"/>
          <w14:ligatures w14:val="standardContextual"/>
        </w:rPr>
      </w:pPr>
      <w:r w:rsidRPr="00871C0E">
        <w:rPr>
          <w:rFonts w:ascii="Book Antiqua" w:eastAsiaTheme="minorHAnsi" w:hAnsi="Book Antiqua" w:cs="Poppins"/>
          <w:color w:val="000000" w:themeColor="text1"/>
          <w:kern w:val="2"/>
          <w:lang w:val="es-PR"/>
          <w14:ligatures w14:val="standardContextual"/>
        </w:rPr>
        <w:t>…”</w:t>
      </w:r>
    </w:p>
    <w:p w14:paraId="759EA97B" w14:textId="77777777" w:rsidR="00131A4A" w:rsidRPr="00871C0E" w:rsidRDefault="00131A4A" w:rsidP="00131A4A">
      <w:pPr>
        <w:pStyle w:val="BodyText"/>
        <w:spacing w:line="480" w:lineRule="auto"/>
        <w:ind w:firstLine="720"/>
        <w:rPr>
          <w:rFonts w:ascii="Book Antiqua" w:hAnsi="Book Antiqua"/>
          <w:color w:val="000000" w:themeColor="text1"/>
        </w:rPr>
      </w:pPr>
      <w:r w:rsidRPr="00871C0E">
        <w:rPr>
          <w:rFonts w:ascii="Book Antiqua" w:hAnsi="Book Antiqua"/>
          <w:color w:val="000000" w:themeColor="text1"/>
        </w:rPr>
        <w:t>Artículo 2.—Vigencia.</w:t>
      </w:r>
    </w:p>
    <w:p w14:paraId="79550695" w14:textId="3EBCC351" w:rsidR="00FF2214" w:rsidRPr="00131A4A" w:rsidRDefault="00131A4A" w:rsidP="00131A4A">
      <w:pPr>
        <w:pStyle w:val="BodyText"/>
        <w:spacing w:line="480" w:lineRule="auto"/>
        <w:rPr>
          <w:rFonts w:ascii="Book Antiqua" w:hAnsi="Book Antiqua"/>
          <w:color w:val="000000" w:themeColor="text1"/>
        </w:rPr>
      </w:pPr>
      <w:r w:rsidRPr="00871C0E">
        <w:rPr>
          <w:rFonts w:ascii="Book Antiqua" w:hAnsi="Book Antiqua"/>
          <w:color w:val="000000" w:themeColor="text1"/>
        </w:rPr>
        <w:lastRenderedPageBreak/>
        <w:tab/>
        <w:t>Esta Ley entrará en vigor inmediatamente después de su aprobación.</w:t>
      </w:r>
    </w:p>
    <w:sectPr w:rsidR="00FF2214" w:rsidRPr="00131A4A" w:rsidSect="00BE6A63">
      <w:footerReference w:type="default" r:id="rId12"/>
      <w:footerReference w:type="first" r:id="rId13"/>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91FF3C" w14:textId="77777777" w:rsidR="0021427E" w:rsidRDefault="0021427E">
      <w:r>
        <w:separator/>
      </w:r>
    </w:p>
  </w:endnote>
  <w:endnote w:type="continuationSeparator" w:id="0">
    <w:p w14:paraId="10C82F86" w14:textId="77777777" w:rsidR="0021427E" w:rsidRDefault="0021427E">
      <w:r>
        <w:continuationSeparator/>
      </w:r>
    </w:p>
  </w:endnote>
  <w:endnote w:type="continuationNotice" w:id="1">
    <w:p w14:paraId="5E1DCD19" w14:textId="77777777" w:rsidR="0021427E" w:rsidRDefault="002142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602AF1E2-B8AB-4272-AC97-67D504D45E14}"/>
    <w:embedBold r:id="rId2" w:fontKey="{F86F3110-6BDA-4B4C-8F75-B95EBF92E465}"/>
    <w:embedItalic r:id="rId3" w:fontKey="{663D0006-F15B-4DE5-B3C4-35C76517DEA9}"/>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3D184BD9-70B3-4CDB-90ED-D27AD9B37AEE}"/>
  </w:font>
  <w:font w:name="Georgia">
    <w:panose1 w:val="02040502050405020303"/>
    <w:charset w:val="00"/>
    <w:family w:val="roman"/>
    <w:pitch w:val="variable"/>
    <w:sig w:usb0="00000287" w:usb1="00000000" w:usb2="00000000" w:usb3="00000000" w:csb0="0000009F" w:csb1="00000000"/>
    <w:embedRegular r:id="rId5" w:fontKey="{9688A412-05A5-4B98-B272-345405C47A33}"/>
    <w:embedItalic r:id="rId6" w:fontKey="{B4D0687A-8201-41ED-8E0A-26B2E4D0B878}"/>
  </w:font>
  <w:font w:name="DengXian">
    <w:altName w:val="等线"/>
    <w:panose1 w:val="02010600030101010101"/>
    <w:charset w:val="86"/>
    <w:family w:val="auto"/>
    <w:pitch w:val="variable"/>
    <w:sig w:usb0="A00002BF" w:usb1="38CF7CFA" w:usb2="00000016" w:usb3="00000000" w:csb0="0004000F" w:csb1="00000000"/>
  </w:font>
  <w:font w:name="DXANP N+ Serifa B T,">
    <w:altName w:val="Times New Roman"/>
    <w:charset w:val="00"/>
    <w:family w:val="auto"/>
    <w:pitch w:val="default"/>
  </w:font>
  <w:font w:name="Aptos">
    <w:charset w:val="00"/>
    <w:family w:val="swiss"/>
    <w:pitch w:val="variable"/>
    <w:sig w:usb0="20000287" w:usb1="00000003" w:usb2="00000000" w:usb3="00000000" w:csb0="0000019F" w:csb1="00000000"/>
    <w:embedRegular r:id="rId7" w:fontKey="{8E6BDF9F-3758-499D-857A-A79D1960A951}"/>
    <w:embedItalic r:id="rId8" w:fontKey="{AEBB36D9-88CC-44F2-AC27-282921D0D84E}"/>
  </w:font>
  <w:font w:name="Poppins">
    <w:charset w:val="00"/>
    <w:family w:val="auto"/>
    <w:pitch w:val="variable"/>
    <w:sig w:usb0="00008007" w:usb1="00000000" w:usb2="00000000" w:usb3="00000000" w:csb0="00000093" w:csb1="00000000"/>
    <w:embedRegular r:id="rId9" w:fontKey="{98CE16FF-F217-4251-9A7E-C41B479AB2B4}"/>
  </w:font>
  <w:font w:name="Calibri">
    <w:panose1 w:val="020F0502020204030204"/>
    <w:charset w:val="00"/>
    <w:family w:val="swiss"/>
    <w:pitch w:val="variable"/>
    <w:sig w:usb0="E4002EFF" w:usb1="C200247B" w:usb2="00000009" w:usb3="00000000" w:csb0="000001FF" w:csb1="00000000"/>
    <w:embedRegular r:id="rId10" w:fontKey="{BE391B02-5229-4E51-9470-69C2B57562E6}"/>
    <w:embedItalic r:id="rId11" w:fontKey="{0D2A3E65-BE56-433E-B7F5-C431A4D5C393}"/>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12" w:fontKey="{F392D610-B33D-488C-BA90-823F414B8CE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B4959" w14:textId="77777777" w:rsidR="00FF2214" w:rsidRDefault="00FF2214">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FF2214" w14:paraId="5F10AA53" w14:textId="77777777">
      <w:trPr>
        <w:trHeight w:val="300"/>
      </w:trPr>
      <w:tc>
        <w:tcPr>
          <w:tcW w:w="3120" w:type="dxa"/>
          <w:tcMar>
            <w:top w:w="0" w:type="dxa"/>
            <w:left w:w="108" w:type="dxa"/>
            <w:bottom w:w="0" w:type="dxa"/>
            <w:right w:w="108" w:type="dxa"/>
          </w:tcMar>
        </w:tcPr>
        <w:p w14:paraId="2A399F4B"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FA0D06A"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57688059" w14:textId="77777777" w:rsidR="00FF2214" w:rsidRDefault="00FF2214">
          <w:pPr>
            <w:tabs>
              <w:tab w:val="center" w:pos="4320"/>
              <w:tab w:val="right" w:pos="8640"/>
            </w:tabs>
            <w:ind w:right="-115"/>
            <w:jc w:val="right"/>
            <w:rPr>
              <w:color w:val="000000"/>
            </w:rPr>
          </w:pPr>
        </w:p>
      </w:tc>
    </w:tr>
  </w:tbl>
  <w:p w14:paraId="1D6323BF" w14:textId="77777777" w:rsidR="00FF2214" w:rsidRDefault="00FF2214">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69CA4" w14:textId="77777777" w:rsidR="00FF2214" w:rsidRDefault="00FF2214">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14:paraId="04C48F77" w14:textId="77777777">
      <w:trPr>
        <w:trHeight w:val="300"/>
      </w:trPr>
      <w:tc>
        <w:tcPr>
          <w:tcW w:w="3120" w:type="dxa"/>
          <w:tcMar>
            <w:top w:w="0" w:type="dxa"/>
            <w:left w:w="108" w:type="dxa"/>
            <w:bottom w:w="0" w:type="dxa"/>
            <w:right w:w="108" w:type="dxa"/>
          </w:tcMar>
        </w:tcPr>
        <w:p w14:paraId="2A5437FD"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BF4BAD9"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6B12425" w14:textId="77777777" w:rsidR="00FF2214" w:rsidRDefault="00FF2214">
          <w:pPr>
            <w:tabs>
              <w:tab w:val="center" w:pos="4320"/>
              <w:tab w:val="right" w:pos="8640"/>
            </w:tabs>
            <w:ind w:right="-115"/>
            <w:jc w:val="right"/>
            <w:rPr>
              <w:color w:val="000000"/>
            </w:rPr>
          </w:pPr>
        </w:p>
      </w:tc>
    </w:tr>
  </w:tbl>
  <w:p w14:paraId="03C06AA0"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880696" w14:textId="77777777" w:rsidR="0021427E" w:rsidRDefault="0021427E">
      <w:r>
        <w:separator/>
      </w:r>
    </w:p>
  </w:footnote>
  <w:footnote w:type="continuationSeparator" w:id="0">
    <w:p w14:paraId="56A581F8" w14:textId="77777777" w:rsidR="0021427E" w:rsidRDefault="0021427E">
      <w:r>
        <w:continuationSeparator/>
      </w:r>
    </w:p>
  </w:footnote>
  <w:footnote w:type="continuationNotice" w:id="1">
    <w:p w14:paraId="63EB153B" w14:textId="77777777" w:rsidR="0021427E" w:rsidRDefault="0021427E"/>
  </w:footnote>
  <w:footnote w:id="2">
    <w:p w14:paraId="533CA76B" w14:textId="77777777" w:rsidR="00131A4A" w:rsidRPr="00131A4A" w:rsidRDefault="00131A4A" w:rsidP="00131A4A">
      <w:pPr>
        <w:pStyle w:val="FootnoteText"/>
        <w:rPr>
          <w:sz w:val="16"/>
          <w:szCs w:val="16"/>
          <w:lang w:val="es-PR"/>
        </w:rPr>
      </w:pPr>
      <w:r w:rsidRPr="00131A4A">
        <w:rPr>
          <w:rStyle w:val="FootnoteReference"/>
          <w:sz w:val="16"/>
          <w:szCs w:val="16"/>
        </w:rPr>
        <w:footnoteRef/>
      </w:r>
      <w:r w:rsidRPr="00131A4A">
        <w:rPr>
          <w:sz w:val="16"/>
          <w:szCs w:val="16"/>
          <w:lang w:val="es-PR"/>
        </w:rPr>
        <w:t xml:space="preserve"> </w:t>
      </w:r>
      <w:r w:rsidRPr="00131A4A">
        <w:rPr>
          <w:rFonts w:ascii="Book Antiqua" w:hAnsi="Book Antiqua"/>
          <w:sz w:val="16"/>
          <w:szCs w:val="16"/>
          <w:lang w:val="es-PR"/>
        </w:rPr>
        <w:t>Artículo 127-C- Explotación financiera de personas de edad avanzada, Código Penal de Puerto Rico.</w:t>
      </w:r>
    </w:p>
  </w:footnote>
  <w:footnote w:id="3">
    <w:p w14:paraId="58EF8877" w14:textId="77777777" w:rsidR="00131A4A" w:rsidRPr="00131A4A" w:rsidRDefault="00131A4A" w:rsidP="00131A4A">
      <w:pPr>
        <w:pStyle w:val="FootnoteText"/>
        <w:rPr>
          <w:sz w:val="16"/>
          <w:szCs w:val="16"/>
          <w:lang w:val="es-PR"/>
        </w:rPr>
      </w:pPr>
      <w:r w:rsidRPr="00131A4A">
        <w:rPr>
          <w:rStyle w:val="FootnoteReference"/>
          <w:sz w:val="16"/>
          <w:szCs w:val="16"/>
        </w:rPr>
        <w:footnoteRef/>
      </w:r>
      <w:r w:rsidRPr="00131A4A">
        <w:rPr>
          <w:sz w:val="16"/>
          <w:szCs w:val="16"/>
          <w:lang w:val="es-PR"/>
        </w:rPr>
        <w:t xml:space="preserve"> </w:t>
      </w:r>
      <w:r w:rsidRPr="00131A4A">
        <w:rPr>
          <w:rFonts w:ascii="Book Antiqua" w:hAnsi="Book Antiqua"/>
          <w:sz w:val="16"/>
          <w:szCs w:val="16"/>
          <w:lang w:val="es-PR"/>
        </w:rPr>
        <w:t>Artículo 127-A- Maltrato de Personas de Edad Avanzada, Código Penal de Puerto Rico.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4500E56F" w:rsidR="00FF2214" w:rsidRDefault="00850770">
    <w:pPr>
      <w:tabs>
        <w:tab w:val="center" w:pos="4320"/>
        <w:tab w:val="right" w:pos="8640"/>
      </w:tabs>
      <w:jc w:val="right"/>
      <w:rPr>
        <w:color w:val="000000"/>
      </w:rPr>
    </w:pPr>
    <w:r>
      <w:rPr>
        <w:color w:val="000000"/>
      </w:rPr>
      <w:t>A-0</w:t>
    </w:r>
    <w:r w:rsidR="0013026A">
      <w:rPr>
        <w:color w:val="000000"/>
      </w:rPr>
      <w:t>6</w:t>
    </w:r>
    <w:r w:rsidR="00131A4A">
      <w:rPr>
        <w:color w:val="000000"/>
      </w:rPr>
      <w:t>7</w:t>
    </w:r>
  </w:p>
  <w:p w14:paraId="795506A2" w14:textId="77777777" w:rsidR="00FF2214" w:rsidRDefault="00850770">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4160266"/>
    <w:multiLevelType w:val="hybridMultilevel"/>
    <w:tmpl w:val="5ED8E0FE"/>
    <w:lvl w:ilvl="0" w:tplc="0409001B">
      <w:start w:val="1"/>
      <w:numFmt w:val="lowerRoman"/>
      <w:lvlText w:val="%1."/>
      <w:lvlJc w:val="righ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741432"/>
    <w:multiLevelType w:val="hybridMultilevel"/>
    <w:tmpl w:val="443AC774"/>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296419CA"/>
    <w:multiLevelType w:val="hybridMultilevel"/>
    <w:tmpl w:val="19D09FF0"/>
    <w:lvl w:ilvl="0" w:tplc="0409000F">
      <w:start w:val="1"/>
      <w:numFmt w:val="decimal"/>
      <w:lvlText w:val="%1."/>
      <w:lvlJc w:val="left"/>
      <w:pPr>
        <w:ind w:left="2221" w:hanging="360"/>
      </w:pPr>
    </w:lvl>
    <w:lvl w:ilvl="1" w:tplc="04090019" w:tentative="1">
      <w:start w:val="1"/>
      <w:numFmt w:val="lowerLetter"/>
      <w:lvlText w:val="%2."/>
      <w:lvlJc w:val="left"/>
      <w:pPr>
        <w:ind w:left="2941" w:hanging="360"/>
      </w:pPr>
    </w:lvl>
    <w:lvl w:ilvl="2" w:tplc="0409001B" w:tentative="1">
      <w:start w:val="1"/>
      <w:numFmt w:val="lowerRoman"/>
      <w:lvlText w:val="%3."/>
      <w:lvlJc w:val="right"/>
      <w:pPr>
        <w:ind w:left="3661" w:hanging="180"/>
      </w:pPr>
    </w:lvl>
    <w:lvl w:ilvl="3" w:tplc="0409000F" w:tentative="1">
      <w:start w:val="1"/>
      <w:numFmt w:val="decimal"/>
      <w:lvlText w:val="%4."/>
      <w:lvlJc w:val="left"/>
      <w:pPr>
        <w:ind w:left="4381" w:hanging="360"/>
      </w:pPr>
    </w:lvl>
    <w:lvl w:ilvl="4" w:tplc="04090019" w:tentative="1">
      <w:start w:val="1"/>
      <w:numFmt w:val="lowerLetter"/>
      <w:lvlText w:val="%5."/>
      <w:lvlJc w:val="left"/>
      <w:pPr>
        <w:ind w:left="5101" w:hanging="360"/>
      </w:pPr>
    </w:lvl>
    <w:lvl w:ilvl="5" w:tplc="0409001B" w:tentative="1">
      <w:start w:val="1"/>
      <w:numFmt w:val="lowerRoman"/>
      <w:lvlText w:val="%6."/>
      <w:lvlJc w:val="right"/>
      <w:pPr>
        <w:ind w:left="5821" w:hanging="180"/>
      </w:pPr>
    </w:lvl>
    <w:lvl w:ilvl="6" w:tplc="0409000F" w:tentative="1">
      <w:start w:val="1"/>
      <w:numFmt w:val="decimal"/>
      <w:lvlText w:val="%7."/>
      <w:lvlJc w:val="left"/>
      <w:pPr>
        <w:ind w:left="6541" w:hanging="360"/>
      </w:pPr>
    </w:lvl>
    <w:lvl w:ilvl="7" w:tplc="04090019" w:tentative="1">
      <w:start w:val="1"/>
      <w:numFmt w:val="lowerLetter"/>
      <w:lvlText w:val="%8."/>
      <w:lvlJc w:val="left"/>
      <w:pPr>
        <w:ind w:left="7261" w:hanging="360"/>
      </w:pPr>
    </w:lvl>
    <w:lvl w:ilvl="8" w:tplc="0409001B" w:tentative="1">
      <w:start w:val="1"/>
      <w:numFmt w:val="lowerRoman"/>
      <w:lvlText w:val="%9."/>
      <w:lvlJc w:val="right"/>
      <w:pPr>
        <w:ind w:left="7981" w:hanging="180"/>
      </w:pPr>
    </w:lvl>
  </w:abstractNum>
  <w:abstractNum w:abstractNumId="12" w15:restartNumberingAfterBreak="0">
    <w:nsid w:val="30B54A30"/>
    <w:multiLevelType w:val="hybridMultilevel"/>
    <w:tmpl w:val="C03692C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9451A9"/>
    <w:multiLevelType w:val="hybridMultilevel"/>
    <w:tmpl w:val="A32692C6"/>
    <w:lvl w:ilvl="0" w:tplc="9B6E4514">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D9273D3"/>
    <w:multiLevelType w:val="hybridMultilevel"/>
    <w:tmpl w:val="77020D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A6316B8"/>
    <w:multiLevelType w:val="hybridMultilevel"/>
    <w:tmpl w:val="1AB85DDA"/>
    <w:lvl w:ilvl="0" w:tplc="0A3C0C2E">
      <w:start w:val="1"/>
      <w:numFmt w:val="upperLetter"/>
      <w:lvlText w:val="%1."/>
      <w:lvlJc w:val="left"/>
      <w:pPr>
        <w:ind w:left="927" w:hanging="360"/>
      </w:pPr>
      <w:rPr>
        <w:rFonts w:hint="default"/>
        <w:i/>
        <w:iCs/>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6"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AFF661E"/>
    <w:multiLevelType w:val="hybridMultilevel"/>
    <w:tmpl w:val="A7063A84"/>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8" w15:restartNumberingAfterBreak="0">
    <w:nsid w:val="7D9B0959"/>
    <w:multiLevelType w:val="hybridMultilevel"/>
    <w:tmpl w:val="B0762434"/>
    <w:lvl w:ilvl="0" w:tplc="04090019">
      <w:start w:val="1"/>
      <w:numFmt w:val="lowerLetter"/>
      <w:lvlText w:val="%1."/>
      <w:lvlJc w:val="left"/>
      <w:pPr>
        <w:ind w:left="927" w:hanging="360"/>
      </w:p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07051407">
    <w:abstractNumId w:val="15"/>
  </w:num>
  <w:num w:numId="2" w16cid:durableId="1011832284">
    <w:abstractNumId w:val="5"/>
  </w:num>
  <w:num w:numId="3" w16cid:durableId="1943102285">
    <w:abstractNumId w:val="26"/>
  </w:num>
  <w:num w:numId="4" w16cid:durableId="1106316835">
    <w:abstractNumId w:val="20"/>
  </w:num>
  <w:num w:numId="5" w16cid:durableId="455106598">
    <w:abstractNumId w:val="18"/>
  </w:num>
  <w:num w:numId="6" w16cid:durableId="175340939">
    <w:abstractNumId w:val="2"/>
  </w:num>
  <w:num w:numId="7" w16cid:durableId="1854225982">
    <w:abstractNumId w:val="21"/>
  </w:num>
  <w:num w:numId="8" w16cid:durableId="1919754197">
    <w:abstractNumId w:val="0"/>
  </w:num>
  <w:num w:numId="9" w16cid:durableId="365562201">
    <w:abstractNumId w:val="4"/>
  </w:num>
  <w:num w:numId="10" w16cid:durableId="1904826230">
    <w:abstractNumId w:val="7"/>
  </w:num>
  <w:num w:numId="11" w16cid:durableId="118687224">
    <w:abstractNumId w:val="8"/>
  </w:num>
  <w:num w:numId="12" w16cid:durableId="508376565">
    <w:abstractNumId w:val="16"/>
  </w:num>
  <w:num w:numId="13" w16cid:durableId="216819222">
    <w:abstractNumId w:val="13"/>
  </w:num>
  <w:num w:numId="14" w16cid:durableId="517544549">
    <w:abstractNumId w:val="22"/>
  </w:num>
  <w:num w:numId="15" w16cid:durableId="478498451">
    <w:abstractNumId w:val="10"/>
  </w:num>
  <w:num w:numId="16" w16cid:durableId="46998239">
    <w:abstractNumId w:val="25"/>
  </w:num>
  <w:num w:numId="17" w16cid:durableId="275597364">
    <w:abstractNumId w:val="3"/>
  </w:num>
  <w:num w:numId="18" w16cid:durableId="1162702400">
    <w:abstractNumId w:val="6"/>
  </w:num>
  <w:num w:numId="19" w16cid:durableId="2055156664">
    <w:abstractNumId w:val="17"/>
  </w:num>
  <w:num w:numId="20" w16cid:durableId="1121461949">
    <w:abstractNumId w:val="19"/>
  </w:num>
  <w:num w:numId="21" w16cid:durableId="991330033">
    <w:abstractNumId w:val="11"/>
  </w:num>
  <w:num w:numId="22" w16cid:durableId="368532392">
    <w:abstractNumId w:val="27"/>
  </w:num>
  <w:num w:numId="23" w16cid:durableId="663582128">
    <w:abstractNumId w:val="12"/>
  </w:num>
  <w:num w:numId="24" w16cid:durableId="1386444766">
    <w:abstractNumId w:val="14"/>
  </w:num>
  <w:num w:numId="25" w16cid:durableId="2134471491">
    <w:abstractNumId w:val="9"/>
  </w:num>
  <w:num w:numId="26" w16cid:durableId="1406416428">
    <w:abstractNumId w:val="28"/>
  </w:num>
  <w:num w:numId="27" w16cid:durableId="586496747">
    <w:abstractNumId w:val="1"/>
  </w:num>
  <w:num w:numId="28" w16cid:durableId="187183376">
    <w:abstractNumId w:val="23"/>
  </w:num>
  <w:num w:numId="29" w16cid:durableId="191269367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9C8"/>
    <w:rsid w:val="00007E0A"/>
    <w:rsid w:val="0001054D"/>
    <w:rsid w:val="000107AB"/>
    <w:rsid w:val="00010836"/>
    <w:rsid w:val="0001793B"/>
    <w:rsid w:val="00022FC4"/>
    <w:rsid w:val="00027C66"/>
    <w:rsid w:val="00032F6A"/>
    <w:rsid w:val="00040CAA"/>
    <w:rsid w:val="00044E08"/>
    <w:rsid w:val="000502AE"/>
    <w:rsid w:val="00056D71"/>
    <w:rsid w:val="00057EF4"/>
    <w:rsid w:val="00064E86"/>
    <w:rsid w:val="0007036F"/>
    <w:rsid w:val="000741B3"/>
    <w:rsid w:val="00080BE4"/>
    <w:rsid w:val="00084BE1"/>
    <w:rsid w:val="00086250"/>
    <w:rsid w:val="0008657D"/>
    <w:rsid w:val="00091F49"/>
    <w:rsid w:val="00093558"/>
    <w:rsid w:val="00094484"/>
    <w:rsid w:val="0009603C"/>
    <w:rsid w:val="000A1DC3"/>
    <w:rsid w:val="000A33B9"/>
    <w:rsid w:val="000B19E3"/>
    <w:rsid w:val="000B2F1E"/>
    <w:rsid w:val="000B33EC"/>
    <w:rsid w:val="000B4E10"/>
    <w:rsid w:val="000B5137"/>
    <w:rsid w:val="000B757B"/>
    <w:rsid w:val="000B77A8"/>
    <w:rsid w:val="000C0F6A"/>
    <w:rsid w:val="000C2EF7"/>
    <w:rsid w:val="000C5223"/>
    <w:rsid w:val="000C5395"/>
    <w:rsid w:val="000C5475"/>
    <w:rsid w:val="000C58FF"/>
    <w:rsid w:val="000C68E5"/>
    <w:rsid w:val="000D144E"/>
    <w:rsid w:val="000D2EB5"/>
    <w:rsid w:val="000D30A4"/>
    <w:rsid w:val="000E515E"/>
    <w:rsid w:val="000E6633"/>
    <w:rsid w:val="000F222B"/>
    <w:rsid w:val="000F376C"/>
    <w:rsid w:val="0010684F"/>
    <w:rsid w:val="00107891"/>
    <w:rsid w:val="00113415"/>
    <w:rsid w:val="001150B3"/>
    <w:rsid w:val="00115129"/>
    <w:rsid w:val="001216F2"/>
    <w:rsid w:val="00123031"/>
    <w:rsid w:val="0012419B"/>
    <w:rsid w:val="001255FB"/>
    <w:rsid w:val="001275A9"/>
    <w:rsid w:val="0013026A"/>
    <w:rsid w:val="00131A4A"/>
    <w:rsid w:val="001336EE"/>
    <w:rsid w:val="00133D83"/>
    <w:rsid w:val="001427FA"/>
    <w:rsid w:val="001433C2"/>
    <w:rsid w:val="00150C87"/>
    <w:rsid w:val="00152B9A"/>
    <w:rsid w:val="00157BB5"/>
    <w:rsid w:val="001613A5"/>
    <w:rsid w:val="00164E97"/>
    <w:rsid w:val="001677A8"/>
    <w:rsid w:val="00167C97"/>
    <w:rsid w:val="00171B6E"/>
    <w:rsid w:val="00173684"/>
    <w:rsid w:val="0017795B"/>
    <w:rsid w:val="00180E16"/>
    <w:rsid w:val="00182CFE"/>
    <w:rsid w:val="00184C03"/>
    <w:rsid w:val="0018571D"/>
    <w:rsid w:val="00185EA9"/>
    <w:rsid w:val="001865AA"/>
    <w:rsid w:val="00191362"/>
    <w:rsid w:val="00194A5E"/>
    <w:rsid w:val="00194D59"/>
    <w:rsid w:val="0019674C"/>
    <w:rsid w:val="001969E8"/>
    <w:rsid w:val="001A1EA2"/>
    <w:rsid w:val="001A4828"/>
    <w:rsid w:val="001B722D"/>
    <w:rsid w:val="001C05DD"/>
    <w:rsid w:val="001C1387"/>
    <w:rsid w:val="001C2A8B"/>
    <w:rsid w:val="001C50A0"/>
    <w:rsid w:val="001C7468"/>
    <w:rsid w:val="001C7548"/>
    <w:rsid w:val="001D07B3"/>
    <w:rsid w:val="001D0FDF"/>
    <w:rsid w:val="001D1537"/>
    <w:rsid w:val="001D4BBB"/>
    <w:rsid w:val="001D54A8"/>
    <w:rsid w:val="001E1A20"/>
    <w:rsid w:val="001E732E"/>
    <w:rsid w:val="001F0F16"/>
    <w:rsid w:val="001F3565"/>
    <w:rsid w:val="001F4366"/>
    <w:rsid w:val="001F5EAF"/>
    <w:rsid w:val="001F5F4E"/>
    <w:rsid w:val="00203A32"/>
    <w:rsid w:val="00204700"/>
    <w:rsid w:val="0020671C"/>
    <w:rsid w:val="0020745C"/>
    <w:rsid w:val="0021009A"/>
    <w:rsid w:val="002121D5"/>
    <w:rsid w:val="002138BE"/>
    <w:rsid w:val="0021427E"/>
    <w:rsid w:val="00225F4D"/>
    <w:rsid w:val="00226C0F"/>
    <w:rsid w:val="002300D3"/>
    <w:rsid w:val="00230215"/>
    <w:rsid w:val="002304C5"/>
    <w:rsid w:val="002318F0"/>
    <w:rsid w:val="00231C2C"/>
    <w:rsid w:val="0023393F"/>
    <w:rsid w:val="0024122B"/>
    <w:rsid w:val="00241FF8"/>
    <w:rsid w:val="002429DB"/>
    <w:rsid w:val="002435A4"/>
    <w:rsid w:val="00243B84"/>
    <w:rsid w:val="0024422E"/>
    <w:rsid w:val="00251AFB"/>
    <w:rsid w:val="00252646"/>
    <w:rsid w:val="00254DCC"/>
    <w:rsid w:val="002600AE"/>
    <w:rsid w:val="00260FC0"/>
    <w:rsid w:val="002646F8"/>
    <w:rsid w:val="00266688"/>
    <w:rsid w:val="00273031"/>
    <w:rsid w:val="00283E8B"/>
    <w:rsid w:val="00285A15"/>
    <w:rsid w:val="0028794F"/>
    <w:rsid w:val="00291A4F"/>
    <w:rsid w:val="00295C7D"/>
    <w:rsid w:val="002A08E7"/>
    <w:rsid w:val="002A1D65"/>
    <w:rsid w:val="002A23EE"/>
    <w:rsid w:val="002A4F4F"/>
    <w:rsid w:val="002A62D5"/>
    <w:rsid w:val="002B1AA4"/>
    <w:rsid w:val="002B2FBB"/>
    <w:rsid w:val="002B5618"/>
    <w:rsid w:val="002B62EE"/>
    <w:rsid w:val="002B699A"/>
    <w:rsid w:val="002B7906"/>
    <w:rsid w:val="002C1726"/>
    <w:rsid w:val="002C2678"/>
    <w:rsid w:val="002C4B44"/>
    <w:rsid w:val="002D178A"/>
    <w:rsid w:val="002D2D8B"/>
    <w:rsid w:val="002D6159"/>
    <w:rsid w:val="002E799E"/>
    <w:rsid w:val="002F21CF"/>
    <w:rsid w:val="002F48BA"/>
    <w:rsid w:val="002F53AA"/>
    <w:rsid w:val="002F5B16"/>
    <w:rsid w:val="002F6B81"/>
    <w:rsid w:val="003015E1"/>
    <w:rsid w:val="0030170A"/>
    <w:rsid w:val="00302F90"/>
    <w:rsid w:val="0030308D"/>
    <w:rsid w:val="003039BB"/>
    <w:rsid w:val="00307FEB"/>
    <w:rsid w:val="00310FDD"/>
    <w:rsid w:val="0031323F"/>
    <w:rsid w:val="00313C97"/>
    <w:rsid w:val="00314E6B"/>
    <w:rsid w:val="00321AB7"/>
    <w:rsid w:val="0032794E"/>
    <w:rsid w:val="00332E7A"/>
    <w:rsid w:val="003428B9"/>
    <w:rsid w:val="00343CBC"/>
    <w:rsid w:val="0034626A"/>
    <w:rsid w:val="00346582"/>
    <w:rsid w:val="003524D5"/>
    <w:rsid w:val="0035577D"/>
    <w:rsid w:val="00356264"/>
    <w:rsid w:val="00356E97"/>
    <w:rsid w:val="003609C8"/>
    <w:rsid w:val="00363378"/>
    <w:rsid w:val="00365FFA"/>
    <w:rsid w:val="003665DE"/>
    <w:rsid w:val="00371D68"/>
    <w:rsid w:val="00372E7F"/>
    <w:rsid w:val="0037751A"/>
    <w:rsid w:val="003809AA"/>
    <w:rsid w:val="00381E1D"/>
    <w:rsid w:val="0038246C"/>
    <w:rsid w:val="00386C13"/>
    <w:rsid w:val="00391B13"/>
    <w:rsid w:val="00392845"/>
    <w:rsid w:val="00393F35"/>
    <w:rsid w:val="003A2100"/>
    <w:rsid w:val="003A3C5F"/>
    <w:rsid w:val="003A5989"/>
    <w:rsid w:val="003B17EE"/>
    <w:rsid w:val="003B2357"/>
    <w:rsid w:val="003B5E2A"/>
    <w:rsid w:val="003B6F6C"/>
    <w:rsid w:val="003C79D6"/>
    <w:rsid w:val="003D0FD3"/>
    <w:rsid w:val="003D1A5C"/>
    <w:rsid w:val="003D3B08"/>
    <w:rsid w:val="003D42BF"/>
    <w:rsid w:val="003D4499"/>
    <w:rsid w:val="003E0CF2"/>
    <w:rsid w:val="003E2D11"/>
    <w:rsid w:val="003E30F3"/>
    <w:rsid w:val="003F1653"/>
    <w:rsid w:val="003F18AA"/>
    <w:rsid w:val="003F352A"/>
    <w:rsid w:val="003F6C27"/>
    <w:rsid w:val="003F7139"/>
    <w:rsid w:val="00407160"/>
    <w:rsid w:val="00411B21"/>
    <w:rsid w:val="00411D69"/>
    <w:rsid w:val="004143E0"/>
    <w:rsid w:val="0041464F"/>
    <w:rsid w:val="00414682"/>
    <w:rsid w:val="00414A70"/>
    <w:rsid w:val="00415E5D"/>
    <w:rsid w:val="00416F13"/>
    <w:rsid w:val="00417A46"/>
    <w:rsid w:val="004221C5"/>
    <w:rsid w:val="004246A8"/>
    <w:rsid w:val="00425710"/>
    <w:rsid w:val="0042619D"/>
    <w:rsid w:val="00432896"/>
    <w:rsid w:val="00437135"/>
    <w:rsid w:val="00437AA5"/>
    <w:rsid w:val="00437DC4"/>
    <w:rsid w:val="004403A8"/>
    <w:rsid w:val="00441B22"/>
    <w:rsid w:val="00443866"/>
    <w:rsid w:val="00443F6C"/>
    <w:rsid w:val="00444257"/>
    <w:rsid w:val="00452649"/>
    <w:rsid w:val="004611B4"/>
    <w:rsid w:val="00461FBD"/>
    <w:rsid w:val="00462353"/>
    <w:rsid w:val="00462BEA"/>
    <w:rsid w:val="00465256"/>
    <w:rsid w:val="00466027"/>
    <w:rsid w:val="004674AD"/>
    <w:rsid w:val="0048210C"/>
    <w:rsid w:val="00487134"/>
    <w:rsid w:val="0049425A"/>
    <w:rsid w:val="004A0EAF"/>
    <w:rsid w:val="004A4201"/>
    <w:rsid w:val="004A57E8"/>
    <w:rsid w:val="004A5974"/>
    <w:rsid w:val="004A63FB"/>
    <w:rsid w:val="004A763E"/>
    <w:rsid w:val="004A7EA8"/>
    <w:rsid w:val="004B290C"/>
    <w:rsid w:val="004B357F"/>
    <w:rsid w:val="004C411D"/>
    <w:rsid w:val="004C41AE"/>
    <w:rsid w:val="004C6236"/>
    <w:rsid w:val="004D0247"/>
    <w:rsid w:val="004D03F5"/>
    <w:rsid w:val="004D0CDB"/>
    <w:rsid w:val="004D7071"/>
    <w:rsid w:val="004E04A9"/>
    <w:rsid w:val="004E09C1"/>
    <w:rsid w:val="004E6136"/>
    <w:rsid w:val="004F4EEF"/>
    <w:rsid w:val="004F6B8B"/>
    <w:rsid w:val="005003F6"/>
    <w:rsid w:val="00502B14"/>
    <w:rsid w:val="00503836"/>
    <w:rsid w:val="00503C13"/>
    <w:rsid w:val="00504742"/>
    <w:rsid w:val="00506CA0"/>
    <w:rsid w:val="00511693"/>
    <w:rsid w:val="00521CE8"/>
    <w:rsid w:val="0052288D"/>
    <w:rsid w:val="005229AD"/>
    <w:rsid w:val="00524FBA"/>
    <w:rsid w:val="00526AC9"/>
    <w:rsid w:val="00527B13"/>
    <w:rsid w:val="00534596"/>
    <w:rsid w:val="005427F8"/>
    <w:rsid w:val="00543529"/>
    <w:rsid w:val="00545B31"/>
    <w:rsid w:val="00546040"/>
    <w:rsid w:val="00552C7A"/>
    <w:rsid w:val="00556C43"/>
    <w:rsid w:val="005640D7"/>
    <w:rsid w:val="0056577A"/>
    <w:rsid w:val="00570C51"/>
    <w:rsid w:val="0057115E"/>
    <w:rsid w:val="00573345"/>
    <w:rsid w:val="0057336F"/>
    <w:rsid w:val="00573C36"/>
    <w:rsid w:val="0057614A"/>
    <w:rsid w:val="00576725"/>
    <w:rsid w:val="00580739"/>
    <w:rsid w:val="00587377"/>
    <w:rsid w:val="005902FB"/>
    <w:rsid w:val="00590D1A"/>
    <w:rsid w:val="00591957"/>
    <w:rsid w:val="00592FAC"/>
    <w:rsid w:val="005A3527"/>
    <w:rsid w:val="005A5C2E"/>
    <w:rsid w:val="005A6BD7"/>
    <w:rsid w:val="005A6FD0"/>
    <w:rsid w:val="005A76BF"/>
    <w:rsid w:val="005B185E"/>
    <w:rsid w:val="005B3512"/>
    <w:rsid w:val="005B3BBD"/>
    <w:rsid w:val="005C1370"/>
    <w:rsid w:val="005C3826"/>
    <w:rsid w:val="005C3AFC"/>
    <w:rsid w:val="005C7524"/>
    <w:rsid w:val="005C7744"/>
    <w:rsid w:val="005D3EB3"/>
    <w:rsid w:val="005D4D53"/>
    <w:rsid w:val="005E3602"/>
    <w:rsid w:val="005E3680"/>
    <w:rsid w:val="005E4152"/>
    <w:rsid w:val="005E63C3"/>
    <w:rsid w:val="005E648C"/>
    <w:rsid w:val="005E7EC5"/>
    <w:rsid w:val="005F0A2C"/>
    <w:rsid w:val="005F265C"/>
    <w:rsid w:val="005F2872"/>
    <w:rsid w:val="005F3F2B"/>
    <w:rsid w:val="005F486E"/>
    <w:rsid w:val="005F5D12"/>
    <w:rsid w:val="00601EA5"/>
    <w:rsid w:val="0060246B"/>
    <w:rsid w:val="00604DA6"/>
    <w:rsid w:val="00605D41"/>
    <w:rsid w:val="0061422C"/>
    <w:rsid w:val="006156E3"/>
    <w:rsid w:val="00615B4D"/>
    <w:rsid w:val="0061628B"/>
    <w:rsid w:val="0062471D"/>
    <w:rsid w:val="00627748"/>
    <w:rsid w:val="00641169"/>
    <w:rsid w:val="006414C7"/>
    <w:rsid w:val="00642C79"/>
    <w:rsid w:val="006430D0"/>
    <w:rsid w:val="006448F7"/>
    <w:rsid w:val="0064494E"/>
    <w:rsid w:val="00654571"/>
    <w:rsid w:val="00655407"/>
    <w:rsid w:val="00657A02"/>
    <w:rsid w:val="00663D06"/>
    <w:rsid w:val="00670249"/>
    <w:rsid w:val="00670CA7"/>
    <w:rsid w:val="0068065A"/>
    <w:rsid w:val="006819FE"/>
    <w:rsid w:val="00694E17"/>
    <w:rsid w:val="006A1488"/>
    <w:rsid w:val="006A3C41"/>
    <w:rsid w:val="006A54D2"/>
    <w:rsid w:val="006A61DD"/>
    <w:rsid w:val="006B17C2"/>
    <w:rsid w:val="006B3A56"/>
    <w:rsid w:val="006B4B45"/>
    <w:rsid w:val="006B748A"/>
    <w:rsid w:val="006B78AD"/>
    <w:rsid w:val="006C0044"/>
    <w:rsid w:val="006C0408"/>
    <w:rsid w:val="006C0941"/>
    <w:rsid w:val="006C114B"/>
    <w:rsid w:val="006C4755"/>
    <w:rsid w:val="006C5540"/>
    <w:rsid w:val="006C5DE4"/>
    <w:rsid w:val="006C6334"/>
    <w:rsid w:val="006D038B"/>
    <w:rsid w:val="006D1974"/>
    <w:rsid w:val="006D5368"/>
    <w:rsid w:val="006D77F6"/>
    <w:rsid w:val="006E1314"/>
    <w:rsid w:val="006E37D2"/>
    <w:rsid w:val="006E7A33"/>
    <w:rsid w:val="006F0B06"/>
    <w:rsid w:val="006F173D"/>
    <w:rsid w:val="006F205C"/>
    <w:rsid w:val="006F2DED"/>
    <w:rsid w:val="006F2FE8"/>
    <w:rsid w:val="006F6D54"/>
    <w:rsid w:val="006F7FEA"/>
    <w:rsid w:val="00702DBD"/>
    <w:rsid w:val="00705E9A"/>
    <w:rsid w:val="007164D0"/>
    <w:rsid w:val="007167E7"/>
    <w:rsid w:val="007255E2"/>
    <w:rsid w:val="00725A20"/>
    <w:rsid w:val="00727E5F"/>
    <w:rsid w:val="00730772"/>
    <w:rsid w:val="00731270"/>
    <w:rsid w:val="00733227"/>
    <w:rsid w:val="0073352B"/>
    <w:rsid w:val="00736EAA"/>
    <w:rsid w:val="00740448"/>
    <w:rsid w:val="00740BAC"/>
    <w:rsid w:val="00741972"/>
    <w:rsid w:val="00753E10"/>
    <w:rsid w:val="00755AEC"/>
    <w:rsid w:val="00755DDC"/>
    <w:rsid w:val="00760792"/>
    <w:rsid w:val="0077017C"/>
    <w:rsid w:val="00772D20"/>
    <w:rsid w:val="00773ABA"/>
    <w:rsid w:val="007747F0"/>
    <w:rsid w:val="0078017D"/>
    <w:rsid w:val="00781480"/>
    <w:rsid w:val="00787224"/>
    <w:rsid w:val="00791FA9"/>
    <w:rsid w:val="00795BD6"/>
    <w:rsid w:val="007A346E"/>
    <w:rsid w:val="007A367D"/>
    <w:rsid w:val="007A4745"/>
    <w:rsid w:val="007A5875"/>
    <w:rsid w:val="007B090C"/>
    <w:rsid w:val="007C7157"/>
    <w:rsid w:val="007D76E0"/>
    <w:rsid w:val="007E0188"/>
    <w:rsid w:val="007E368D"/>
    <w:rsid w:val="00801826"/>
    <w:rsid w:val="00801B36"/>
    <w:rsid w:val="00804D98"/>
    <w:rsid w:val="00805B64"/>
    <w:rsid w:val="00807CED"/>
    <w:rsid w:val="00810BFF"/>
    <w:rsid w:val="00812840"/>
    <w:rsid w:val="00822289"/>
    <w:rsid w:val="008279CE"/>
    <w:rsid w:val="00830638"/>
    <w:rsid w:val="008316F2"/>
    <w:rsid w:val="00831773"/>
    <w:rsid w:val="00831CA2"/>
    <w:rsid w:val="008337A4"/>
    <w:rsid w:val="00834801"/>
    <w:rsid w:val="0083511A"/>
    <w:rsid w:val="00836115"/>
    <w:rsid w:val="00836710"/>
    <w:rsid w:val="008402C1"/>
    <w:rsid w:val="00840306"/>
    <w:rsid w:val="008410E2"/>
    <w:rsid w:val="008450D8"/>
    <w:rsid w:val="00847697"/>
    <w:rsid w:val="00850770"/>
    <w:rsid w:val="00851DEA"/>
    <w:rsid w:val="008574AE"/>
    <w:rsid w:val="00863D5F"/>
    <w:rsid w:val="008670BC"/>
    <w:rsid w:val="00870A2B"/>
    <w:rsid w:val="00880DCA"/>
    <w:rsid w:val="008863D7"/>
    <w:rsid w:val="0088710D"/>
    <w:rsid w:val="0089008A"/>
    <w:rsid w:val="00890C4D"/>
    <w:rsid w:val="00891773"/>
    <w:rsid w:val="008925BB"/>
    <w:rsid w:val="0089534C"/>
    <w:rsid w:val="00897781"/>
    <w:rsid w:val="008A1F5E"/>
    <w:rsid w:val="008A4B62"/>
    <w:rsid w:val="008A4EA4"/>
    <w:rsid w:val="008A5641"/>
    <w:rsid w:val="008B2DC2"/>
    <w:rsid w:val="008B3680"/>
    <w:rsid w:val="008C0934"/>
    <w:rsid w:val="008D0C01"/>
    <w:rsid w:val="008D172D"/>
    <w:rsid w:val="008D2008"/>
    <w:rsid w:val="008D5A27"/>
    <w:rsid w:val="008D5B00"/>
    <w:rsid w:val="008E23CC"/>
    <w:rsid w:val="008E3AED"/>
    <w:rsid w:val="008E4371"/>
    <w:rsid w:val="008E5542"/>
    <w:rsid w:val="008E5DA2"/>
    <w:rsid w:val="008F27E4"/>
    <w:rsid w:val="008F7FC7"/>
    <w:rsid w:val="00900746"/>
    <w:rsid w:val="00901742"/>
    <w:rsid w:val="0090179D"/>
    <w:rsid w:val="009061B2"/>
    <w:rsid w:val="009063F6"/>
    <w:rsid w:val="00910CF1"/>
    <w:rsid w:val="00910FB0"/>
    <w:rsid w:val="00911906"/>
    <w:rsid w:val="009119EC"/>
    <w:rsid w:val="00916051"/>
    <w:rsid w:val="00916163"/>
    <w:rsid w:val="0091725F"/>
    <w:rsid w:val="009220FC"/>
    <w:rsid w:val="00922739"/>
    <w:rsid w:val="00922818"/>
    <w:rsid w:val="00924527"/>
    <w:rsid w:val="00930E48"/>
    <w:rsid w:val="00931EE2"/>
    <w:rsid w:val="0093314A"/>
    <w:rsid w:val="0093744C"/>
    <w:rsid w:val="00942E06"/>
    <w:rsid w:val="009463E6"/>
    <w:rsid w:val="00950505"/>
    <w:rsid w:val="009509F8"/>
    <w:rsid w:val="00950A46"/>
    <w:rsid w:val="00951D3C"/>
    <w:rsid w:val="00952875"/>
    <w:rsid w:val="00954675"/>
    <w:rsid w:val="0095508B"/>
    <w:rsid w:val="00957323"/>
    <w:rsid w:val="00962C3E"/>
    <w:rsid w:val="00963E17"/>
    <w:rsid w:val="00965195"/>
    <w:rsid w:val="00965A11"/>
    <w:rsid w:val="0096742B"/>
    <w:rsid w:val="00970540"/>
    <w:rsid w:val="00971D18"/>
    <w:rsid w:val="0097283A"/>
    <w:rsid w:val="009833D3"/>
    <w:rsid w:val="009927E5"/>
    <w:rsid w:val="00994C29"/>
    <w:rsid w:val="009969AF"/>
    <w:rsid w:val="009A0EC1"/>
    <w:rsid w:val="009A0ED5"/>
    <w:rsid w:val="009B47BF"/>
    <w:rsid w:val="009C29F5"/>
    <w:rsid w:val="009D1C75"/>
    <w:rsid w:val="009D5726"/>
    <w:rsid w:val="009D61E3"/>
    <w:rsid w:val="009D7450"/>
    <w:rsid w:val="009D79EC"/>
    <w:rsid w:val="009E36AA"/>
    <w:rsid w:val="009E6F0A"/>
    <w:rsid w:val="009F15AE"/>
    <w:rsid w:val="00A02203"/>
    <w:rsid w:val="00A04577"/>
    <w:rsid w:val="00A057C5"/>
    <w:rsid w:val="00A10DC2"/>
    <w:rsid w:val="00A11BAB"/>
    <w:rsid w:val="00A140A8"/>
    <w:rsid w:val="00A1720E"/>
    <w:rsid w:val="00A22039"/>
    <w:rsid w:val="00A23051"/>
    <w:rsid w:val="00A23448"/>
    <w:rsid w:val="00A23CBE"/>
    <w:rsid w:val="00A26252"/>
    <w:rsid w:val="00A26489"/>
    <w:rsid w:val="00A30925"/>
    <w:rsid w:val="00A3257C"/>
    <w:rsid w:val="00A3392B"/>
    <w:rsid w:val="00A41F69"/>
    <w:rsid w:val="00A44362"/>
    <w:rsid w:val="00A47378"/>
    <w:rsid w:val="00A47BDC"/>
    <w:rsid w:val="00A50CCF"/>
    <w:rsid w:val="00A52322"/>
    <w:rsid w:val="00A52F9B"/>
    <w:rsid w:val="00A5416B"/>
    <w:rsid w:val="00A568A0"/>
    <w:rsid w:val="00A62528"/>
    <w:rsid w:val="00A67A3A"/>
    <w:rsid w:val="00A770A7"/>
    <w:rsid w:val="00A7759E"/>
    <w:rsid w:val="00A8093F"/>
    <w:rsid w:val="00A860DC"/>
    <w:rsid w:val="00A9084D"/>
    <w:rsid w:val="00A92D34"/>
    <w:rsid w:val="00A949A1"/>
    <w:rsid w:val="00A94A37"/>
    <w:rsid w:val="00A94B4D"/>
    <w:rsid w:val="00A9567F"/>
    <w:rsid w:val="00AA1BAB"/>
    <w:rsid w:val="00AA6046"/>
    <w:rsid w:val="00AB3523"/>
    <w:rsid w:val="00AB417C"/>
    <w:rsid w:val="00AB6B2F"/>
    <w:rsid w:val="00AC7A4D"/>
    <w:rsid w:val="00AD13A6"/>
    <w:rsid w:val="00AD173C"/>
    <w:rsid w:val="00AD1CE3"/>
    <w:rsid w:val="00AD2586"/>
    <w:rsid w:val="00AD30FD"/>
    <w:rsid w:val="00AD3CF8"/>
    <w:rsid w:val="00AD46D9"/>
    <w:rsid w:val="00AD473B"/>
    <w:rsid w:val="00AD4C7D"/>
    <w:rsid w:val="00AD6241"/>
    <w:rsid w:val="00AD7C84"/>
    <w:rsid w:val="00AE13B8"/>
    <w:rsid w:val="00AE1FE1"/>
    <w:rsid w:val="00AE292B"/>
    <w:rsid w:val="00AE46E8"/>
    <w:rsid w:val="00AF19DC"/>
    <w:rsid w:val="00AF26DE"/>
    <w:rsid w:val="00AF470E"/>
    <w:rsid w:val="00AF4FBF"/>
    <w:rsid w:val="00B00227"/>
    <w:rsid w:val="00B01686"/>
    <w:rsid w:val="00B027E9"/>
    <w:rsid w:val="00B02CD9"/>
    <w:rsid w:val="00B03F2F"/>
    <w:rsid w:val="00B03FF3"/>
    <w:rsid w:val="00B05461"/>
    <w:rsid w:val="00B06BD6"/>
    <w:rsid w:val="00B06EBD"/>
    <w:rsid w:val="00B10D9D"/>
    <w:rsid w:val="00B12738"/>
    <w:rsid w:val="00B139D2"/>
    <w:rsid w:val="00B13D1B"/>
    <w:rsid w:val="00B14DA2"/>
    <w:rsid w:val="00B155EE"/>
    <w:rsid w:val="00B158BC"/>
    <w:rsid w:val="00B20626"/>
    <w:rsid w:val="00B20E78"/>
    <w:rsid w:val="00B231AC"/>
    <w:rsid w:val="00B23F46"/>
    <w:rsid w:val="00B24BAA"/>
    <w:rsid w:val="00B25383"/>
    <w:rsid w:val="00B32C8F"/>
    <w:rsid w:val="00B34B9F"/>
    <w:rsid w:val="00B41851"/>
    <w:rsid w:val="00B51DBD"/>
    <w:rsid w:val="00B5375E"/>
    <w:rsid w:val="00B54199"/>
    <w:rsid w:val="00B57F92"/>
    <w:rsid w:val="00B60014"/>
    <w:rsid w:val="00B64F01"/>
    <w:rsid w:val="00B65851"/>
    <w:rsid w:val="00B663CC"/>
    <w:rsid w:val="00B667B5"/>
    <w:rsid w:val="00B70B02"/>
    <w:rsid w:val="00B70B63"/>
    <w:rsid w:val="00B72A6A"/>
    <w:rsid w:val="00B74EC0"/>
    <w:rsid w:val="00B81E44"/>
    <w:rsid w:val="00B84666"/>
    <w:rsid w:val="00B84B1D"/>
    <w:rsid w:val="00B85288"/>
    <w:rsid w:val="00B8535A"/>
    <w:rsid w:val="00B868A0"/>
    <w:rsid w:val="00B87A1C"/>
    <w:rsid w:val="00B87D3C"/>
    <w:rsid w:val="00B950B6"/>
    <w:rsid w:val="00B96F68"/>
    <w:rsid w:val="00BA3CB8"/>
    <w:rsid w:val="00BA5E7F"/>
    <w:rsid w:val="00BA70CD"/>
    <w:rsid w:val="00BB3314"/>
    <w:rsid w:val="00BB3C4F"/>
    <w:rsid w:val="00BB48CC"/>
    <w:rsid w:val="00BB4F4D"/>
    <w:rsid w:val="00BB7B11"/>
    <w:rsid w:val="00BC1AD6"/>
    <w:rsid w:val="00BC2C00"/>
    <w:rsid w:val="00BC3590"/>
    <w:rsid w:val="00BC3AF7"/>
    <w:rsid w:val="00BD11DE"/>
    <w:rsid w:val="00BD1A67"/>
    <w:rsid w:val="00BD4F99"/>
    <w:rsid w:val="00BE4BBF"/>
    <w:rsid w:val="00BE55AC"/>
    <w:rsid w:val="00BE6A63"/>
    <w:rsid w:val="00BE7D02"/>
    <w:rsid w:val="00BF5A14"/>
    <w:rsid w:val="00BF5DE4"/>
    <w:rsid w:val="00BF5DE6"/>
    <w:rsid w:val="00BF79A0"/>
    <w:rsid w:val="00C004A4"/>
    <w:rsid w:val="00C037D7"/>
    <w:rsid w:val="00C05E49"/>
    <w:rsid w:val="00C05E9D"/>
    <w:rsid w:val="00C115DB"/>
    <w:rsid w:val="00C13DC9"/>
    <w:rsid w:val="00C21175"/>
    <w:rsid w:val="00C25487"/>
    <w:rsid w:val="00C32AB8"/>
    <w:rsid w:val="00C32AF1"/>
    <w:rsid w:val="00C33CEB"/>
    <w:rsid w:val="00C361CD"/>
    <w:rsid w:val="00C45AA1"/>
    <w:rsid w:val="00C471F1"/>
    <w:rsid w:val="00C57448"/>
    <w:rsid w:val="00C635EB"/>
    <w:rsid w:val="00C63D25"/>
    <w:rsid w:val="00C70B24"/>
    <w:rsid w:val="00C71782"/>
    <w:rsid w:val="00C8076C"/>
    <w:rsid w:val="00C80DC9"/>
    <w:rsid w:val="00C87975"/>
    <w:rsid w:val="00C90DA0"/>
    <w:rsid w:val="00C93262"/>
    <w:rsid w:val="00C9720C"/>
    <w:rsid w:val="00C97C1A"/>
    <w:rsid w:val="00CA080E"/>
    <w:rsid w:val="00CA38D8"/>
    <w:rsid w:val="00CA3F74"/>
    <w:rsid w:val="00CA5BDF"/>
    <w:rsid w:val="00CB2710"/>
    <w:rsid w:val="00CB2AE9"/>
    <w:rsid w:val="00CB3413"/>
    <w:rsid w:val="00CB6810"/>
    <w:rsid w:val="00CC12B7"/>
    <w:rsid w:val="00CC16C2"/>
    <w:rsid w:val="00CC2987"/>
    <w:rsid w:val="00CC3134"/>
    <w:rsid w:val="00CC3852"/>
    <w:rsid w:val="00CC4EDC"/>
    <w:rsid w:val="00CC7BCF"/>
    <w:rsid w:val="00CD0E6C"/>
    <w:rsid w:val="00CD7B56"/>
    <w:rsid w:val="00CE0273"/>
    <w:rsid w:val="00CE36C8"/>
    <w:rsid w:val="00CE6739"/>
    <w:rsid w:val="00CF219C"/>
    <w:rsid w:val="00CF3010"/>
    <w:rsid w:val="00CF4242"/>
    <w:rsid w:val="00CF70FE"/>
    <w:rsid w:val="00D00EE1"/>
    <w:rsid w:val="00D028B5"/>
    <w:rsid w:val="00D03B44"/>
    <w:rsid w:val="00D05678"/>
    <w:rsid w:val="00D10D61"/>
    <w:rsid w:val="00D127BB"/>
    <w:rsid w:val="00D21E5F"/>
    <w:rsid w:val="00D232B5"/>
    <w:rsid w:val="00D24065"/>
    <w:rsid w:val="00D312C4"/>
    <w:rsid w:val="00D417EB"/>
    <w:rsid w:val="00D42696"/>
    <w:rsid w:val="00D43E19"/>
    <w:rsid w:val="00D50765"/>
    <w:rsid w:val="00D50CD3"/>
    <w:rsid w:val="00D700F9"/>
    <w:rsid w:val="00D84992"/>
    <w:rsid w:val="00D84D22"/>
    <w:rsid w:val="00D937E3"/>
    <w:rsid w:val="00D938F9"/>
    <w:rsid w:val="00D95879"/>
    <w:rsid w:val="00D962FB"/>
    <w:rsid w:val="00DA4190"/>
    <w:rsid w:val="00DA4693"/>
    <w:rsid w:val="00DA5EB9"/>
    <w:rsid w:val="00DB51A0"/>
    <w:rsid w:val="00DB5D20"/>
    <w:rsid w:val="00DD225A"/>
    <w:rsid w:val="00DD4EC2"/>
    <w:rsid w:val="00DD633A"/>
    <w:rsid w:val="00DD7144"/>
    <w:rsid w:val="00DE2B7D"/>
    <w:rsid w:val="00DE4C0D"/>
    <w:rsid w:val="00DF484E"/>
    <w:rsid w:val="00DF4DB8"/>
    <w:rsid w:val="00DF5718"/>
    <w:rsid w:val="00DF5E51"/>
    <w:rsid w:val="00E0277D"/>
    <w:rsid w:val="00E03053"/>
    <w:rsid w:val="00E033AB"/>
    <w:rsid w:val="00E03CD1"/>
    <w:rsid w:val="00E05064"/>
    <w:rsid w:val="00E06CC2"/>
    <w:rsid w:val="00E1303B"/>
    <w:rsid w:val="00E138E0"/>
    <w:rsid w:val="00E142DA"/>
    <w:rsid w:val="00E202B4"/>
    <w:rsid w:val="00E222F9"/>
    <w:rsid w:val="00E22AE3"/>
    <w:rsid w:val="00E22CE1"/>
    <w:rsid w:val="00E22EB3"/>
    <w:rsid w:val="00E23342"/>
    <w:rsid w:val="00E23771"/>
    <w:rsid w:val="00E2741C"/>
    <w:rsid w:val="00E30811"/>
    <w:rsid w:val="00E31356"/>
    <w:rsid w:val="00E42EB8"/>
    <w:rsid w:val="00E45E9B"/>
    <w:rsid w:val="00E55201"/>
    <w:rsid w:val="00E61C12"/>
    <w:rsid w:val="00E64141"/>
    <w:rsid w:val="00E65583"/>
    <w:rsid w:val="00E67017"/>
    <w:rsid w:val="00E673B7"/>
    <w:rsid w:val="00E7029F"/>
    <w:rsid w:val="00E73B27"/>
    <w:rsid w:val="00E75D0B"/>
    <w:rsid w:val="00E83E85"/>
    <w:rsid w:val="00E8449E"/>
    <w:rsid w:val="00E87812"/>
    <w:rsid w:val="00E90225"/>
    <w:rsid w:val="00E90370"/>
    <w:rsid w:val="00E92985"/>
    <w:rsid w:val="00E93811"/>
    <w:rsid w:val="00E97260"/>
    <w:rsid w:val="00EA01E8"/>
    <w:rsid w:val="00EA2720"/>
    <w:rsid w:val="00EA3595"/>
    <w:rsid w:val="00EA5801"/>
    <w:rsid w:val="00EA6377"/>
    <w:rsid w:val="00EB087E"/>
    <w:rsid w:val="00EB2F0E"/>
    <w:rsid w:val="00EB506F"/>
    <w:rsid w:val="00EC0B54"/>
    <w:rsid w:val="00EC2169"/>
    <w:rsid w:val="00EC31D3"/>
    <w:rsid w:val="00EC69F6"/>
    <w:rsid w:val="00ED3996"/>
    <w:rsid w:val="00ED3D87"/>
    <w:rsid w:val="00ED5A58"/>
    <w:rsid w:val="00ED747A"/>
    <w:rsid w:val="00EE009B"/>
    <w:rsid w:val="00EE3DFA"/>
    <w:rsid w:val="00EF2711"/>
    <w:rsid w:val="00EF2D8D"/>
    <w:rsid w:val="00F026C9"/>
    <w:rsid w:val="00F02F92"/>
    <w:rsid w:val="00F1322B"/>
    <w:rsid w:val="00F16B71"/>
    <w:rsid w:val="00F17B51"/>
    <w:rsid w:val="00F245C1"/>
    <w:rsid w:val="00F250CD"/>
    <w:rsid w:val="00F252F8"/>
    <w:rsid w:val="00F27415"/>
    <w:rsid w:val="00F309E8"/>
    <w:rsid w:val="00F30FBC"/>
    <w:rsid w:val="00F3248A"/>
    <w:rsid w:val="00F3308A"/>
    <w:rsid w:val="00F346A6"/>
    <w:rsid w:val="00F35CF9"/>
    <w:rsid w:val="00F36138"/>
    <w:rsid w:val="00F4256C"/>
    <w:rsid w:val="00F42967"/>
    <w:rsid w:val="00F519A3"/>
    <w:rsid w:val="00F55BC6"/>
    <w:rsid w:val="00F56D57"/>
    <w:rsid w:val="00F571EB"/>
    <w:rsid w:val="00F614C6"/>
    <w:rsid w:val="00F61708"/>
    <w:rsid w:val="00F62E9E"/>
    <w:rsid w:val="00F65464"/>
    <w:rsid w:val="00F70223"/>
    <w:rsid w:val="00F70BEF"/>
    <w:rsid w:val="00F70D38"/>
    <w:rsid w:val="00F739FE"/>
    <w:rsid w:val="00F74935"/>
    <w:rsid w:val="00F760FA"/>
    <w:rsid w:val="00F7711A"/>
    <w:rsid w:val="00F81985"/>
    <w:rsid w:val="00F825DD"/>
    <w:rsid w:val="00F83EEC"/>
    <w:rsid w:val="00F858BD"/>
    <w:rsid w:val="00FA0CB1"/>
    <w:rsid w:val="00FA11F4"/>
    <w:rsid w:val="00FA1842"/>
    <w:rsid w:val="00FB1584"/>
    <w:rsid w:val="00FB470E"/>
    <w:rsid w:val="00FB5B67"/>
    <w:rsid w:val="00FB77D5"/>
    <w:rsid w:val="00FC7486"/>
    <w:rsid w:val="00FD065B"/>
    <w:rsid w:val="00FD093E"/>
    <w:rsid w:val="00FD26C7"/>
    <w:rsid w:val="00FE2D53"/>
    <w:rsid w:val="00FF1C23"/>
    <w:rsid w:val="00FF2214"/>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uiPriority w:val="99"/>
    <w:qFormat/>
    <w:rPr>
      <w:vertAlign w:val="superscript"/>
    </w:rPr>
  </w:style>
  <w:style w:type="paragraph" w:styleId="FootnoteText">
    <w:name w:val="footnote text"/>
    <w:basedOn w:val="Normal"/>
    <w:link w:val="FootnoteTextChar"/>
    <w:uiPriority w:val="99"/>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uiPriority w:val="99"/>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99"/>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 w:type="character" w:styleId="PlaceholderText">
    <w:name w:val="Placeholder Text"/>
    <w:basedOn w:val="DefaultParagraphFont"/>
    <w:uiPriority w:val="99"/>
    <w:semiHidden/>
    <w:rsid w:val="00E7029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230726694">
      <w:bodyDiv w:val="1"/>
      <w:marLeft w:val="0"/>
      <w:marRight w:val="0"/>
      <w:marTop w:val="0"/>
      <w:marBottom w:val="0"/>
      <w:divBdr>
        <w:top w:val="none" w:sz="0" w:space="0" w:color="auto"/>
        <w:left w:val="none" w:sz="0" w:space="0" w:color="auto"/>
        <w:bottom w:val="none" w:sz="0" w:space="0" w:color="auto"/>
        <w:right w:val="none" w:sz="0" w:space="0" w:color="auto"/>
      </w:divBdr>
      <w:divsChild>
        <w:div w:id="40787860">
          <w:marLeft w:val="0"/>
          <w:marRight w:val="0"/>
          <w:marTop w:val="0"/>
          <w:marBottom w:val="0"/>
          <w:divBdr>
            <w:top w:val="none" w:sz="0" w:space="0" w:color="auto"/>
            <w:left w:val="none" w:sz="0" w:space="0" w:color="auto"/>
            <w:bottom w:val="none" w:sz="0" w:space="0" w:color="auto"/>
            <w:right w:val="none" w:sz="0" w:space="0" w:color="auto"/>
          </w:divBdr>
        </w:div>
        <w:div w:id="1372724324">
          <w:marLeft w:val="0"/>
          <w:marRight w:val="0"/>
          <w:marTop w:val="0"/>
          <w:marBottom w:val="0"/>
          <w:divBdr>
            <w:top w:val="none" w:sz="0" w:space="0" w:color="auto"/>
            <w:left w:val="none" w:sz="0" w:space="0" w:color="auto"/>
            <w:bottom w:val="none" w:sz="0" w:space="0" w:color="auto"/>
            <w:right w:val="none" w:sz="0" w:space="0" w:color="auto"/>
          </w:divBdr>
        </w:div>
        <w:div w:id="703091497">
          <w:marLeft w:val="0"/>
          <w:marRight w:val="0"/>
          <w:marTop w:val="0"/>
          <w:marBottom w:val="0"/>
          <w:divBdr>
            <w:top w:val="none" w:sz="0" w:space="0" w:color="auto"/>
            <w:left w:val="none" w:sz="0" w:space="0" w:color="auto"/>
            <w:bottom w:val="none" w:sz="0" w:space="0" w:color="auto"/>
            <w:right w:val="none" w:sz="0" w:space="0" w:color="auto"/>
          </w:divBdr>
        </w:div>
        <w:div w:id="1589533394">
          <w:marLeft w:val="0"/>
          <w:marRight w:val="0"/>
          <w:marTop w:val="0"/>
          <w:marBottom w:val="0"/>
          <w:divBdr>
            <w:top w:val="none" w:sz="0" w:space="0" w:color="auto"/>
            <w:left w:val="none" w:sz="0" w:space="0" w:color="auto"/>
            <w:bottom w:val="none" w:sz="0" w:space="0" w:color="auto"/>
            <w:right w:val="none" w:sz="0" w:space="0" w:color="auto"/>
          </w:divBdr>
        </w:div>
      </w:divsChild>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Metadata/LabelInfo.xml><?xml version="1.0" encoding="utf-8"?>
<clbl:labelList xmlns:clbl="http://schemas.microsoft.com/office/2020/mipLabelMetadata">
  <clbl:label id="{a2ecd211-649c-4298-a438-46a4bf1b9b86}" enabled="0" method="" siteId="{a2ecd211-649c-4298-a438-46a4bf1b9b86}" removed="1"/>
</clbl:labelList>
</file>

<file path=docProps/app.xml><?xml version="1.0" encoding="utf-8"?>
<Properties xmlns="http://schemas.openxmlformats.org/officeDocument/2006/extended-properties" xmlns:vt="http://schemas.openxmlformats.org/officeDocument/2006/docPropsVTypes">
  <Template>Normal</Template>
  <TotalTime>8</TotalTime>
  <Pages>4</Pages>
  <Words>795</Words>
  <Characters>4538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 Román</dc:creator>
  <cp:keywords/>
  <cp:lastModifiedBy>Gladys J. Burgos Torres</cp:lastModifiedBy>
  <cp:revision>5</cp:revision>
  <cp:lastPrinted>2025-04-30T15:58:00Z</cp:lastPrinted>
  <dcterms:created xsi:type="dcterms:W3CDTF">2025-05-05T17:10:00Z</dcterms:created>
  <dcterms:modified xsi:type="dcterms:W3CDTF">2025-05-05T19:03:00Z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