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r>
        <w:rPr>
          <w:rFonts w:ascii="Book Antiqua" w:hAnsi="Book Antiqua"/>
          <w:vertAlign w:val="superscript"/>
          <w:lang w:val="es-ES_tradnl"/>
        </w:rPr>
        <w:t>m</w:t>
      </w:r>
      <w:r w:rsidR="00AE4248">
        <w:rPr>
          <w:rFonts w:ascii="Book Antiqua" w:hAnsi="Book Antiqua"/>
          <w:vertAlign w:val="superscript"/>
          <w:lang w:val="es-ES_tradnl"/>
        </w:rPr>
        <w:t>a</w:t>
      </w:r>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r w:rsidR="00A06518">
        <w:rPr>
          <w:rFonts w:ascii="Book Antiqua" w:hAnsi="Book Antiqua"/>
          <w:vertAlign w:val="superscript"/>
          <w:lang w:val="es-ES_tradnl"/>
        </w:rPr>
        <w:t>r</w:t>
      </w:r>
      <w:r w:rsidR="00AE4248">
        <w:rPr>
          <w:rFonts w:ascii="Book Antiqua" w:hAnsi="Book Antiqua"/>
          <w:vertAlign w:val="superscript"/>
          <w:lang w:val="es-ES_tradnl"/>
        </w:rPr>
        <w:t>a</w:t>
      </w:r>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28716891"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B6301B">
        <w:rPr>
          <w:rFonts w:ascii="Book Antiqua" w:hAnsi="Book Antiqua"/>
          <w:b/>
          <w:sz w:val="52"/>
          <w:lang w:val="es-ES_tradnl"/>
        </w:rPr>
        <w:t xml:space="preserve"> 601</w:t>
      </w:r>
    </w:p>
    <w:p w14:paraId="4E9412AA" w14:textId="77777777" w:rsidR="002C43A2" w:rsidRPr="002C43A2" w:rsidRDefault="002C43A2" w:rsidP="002C43A2">
      <w:pPr>
        <w:jc w:val="center"/>
        <w:rPr>
          <w:rFonts w:ascii="Book Antiqua" w:hAnsi="Book Antiqua"/>
          <w:b/>
          <w:szCs w:val="24"/>
          <w:lang w:val="es-ES_tradnl"/>
        </w:rPr>
      </w:pPr>
    </w:p>
    <w:p w14:paraId="3832402D" w14:textId="386BE312" w:rsidR="00AE4248" w:rsidRDefault="007A18EF" w:rsidP="00C044B3">
      <w:pPr>
        <w:jc w:val="center"/>
        <w:rPr>
          <w:rFonts w:ascii="Book Antiqua" w:hAnsi="Book Antiqua"/>
          <w:lang w:val="es-ES_tradnl"/>
        </w:rPr>
      </w:pPr>
      <w:r>
        <w:rPr>
          <w:rFonts w:ascii="Book Antiqua" w:hAnsi="Book Antiqua"/>
          <w:lang w:val="es-ES_tradnl"/>
        </w:rPr>
        <w:t>6</w:t>
      </w:r>
      <w:r w:rsidR="00C044B3">
        <w:rPr>
          <w:rFonts w:ascii="Book Antiqua" w:hAnsi="Book Antiqua"/>
          <w:lang w:val="es-ES_tradnl"/>
        </w:rPr>
        <w:t xml:space="preserve"> </w:t>
      </w:r>
      <w:r w:rsidR="00AE4248">
        <w:rPr>
          <w:rFonts w:ascii="Book Antiqua" w:hAnsi="Book Antiqua"/>
          <w:lang w:val="es-ES_tradnl"/>
        </w:rPr>
        <w:t xml:space="preserve">DE </w:t>
      </w:r>
      <w:r w:rsidR="00787BE2">
        <w:rPr>
          <w:rFonts w:ascii="Book Antiqua" w:hAnsi="Book Antiqua"/>
          <w:lang w:val="es-ES_tradnl"/>
        </w:rPr>
        <w:t>MAYO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6F104144"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B04F5" w:rsidRPr="007B04F5">
        <w:rPr>
          <w:rFonts w:ascii="Book Antiqua" w:hAnsi="Book Antiqua"/>
          <w:lang w:val="es-ES_tradnl"/>
        </w:rPr>
        <w:t>Seguridad Pública</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413A14EE" w:rsidR="00E57842" w:rsidRDefault="00AE4248" w:rsidP="002C43A2">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787BE2">
        <w:rPr>
          <w:rFonts w:ascii="Book Antiqua" w:hAnsi="Book Antiqua"/>
          <w:lang w:val="es-ES_tradnl"/>
        </w:rPr>
        <w:t xml:space="preserve">enmendar el Artículo </w:t>
      </w:r>
      <w:r w:rsidR="00BF4189">
        <w:rPr>
          <w:rFonts w:ascii="Book Antiqua" w:hAnsi="Book Antiqua"/>
          <w:lang w:val="es-ES_tradnl"/>
        </w:rPr>
        <w:t>2</w:t>
      </w:r>
      <w:r w:rsidR="00251A9D">
        <w:rPr>
          <w:rFonts w:ascii="Book Antiqua" w:hAnsi="Book Antiqua"/>
          <w:lang w:val="es-ES_tradnl"/>
        </w:rPr>
        <w:t xml:space="preserve"> </w:t>
      </w:r>
      <w:r w:rsidR="00787BE2">
        <w:rPr>
          <w:rFonts w:ascii="Book Antiqua" w:hAnsi="Book Antiqua"/>
          <w:lang w:val="es-ES_tradnl"/>
        </w:rPr>
        <w:t>de la Ley Núm. 132 del 26 de octubre de 2009, (Ley 132-2009) mejor conocida como la “Ley Habilitadora para implantar el Plan de Alerta Silver”</w:t>
      </w:r>
      <w:r w:rsidR="00D73D4E">
        <w:rPr>
          <w:rFonts w:ascii="Book Antiqua" w:hAnsi="Book Antiqua"/>
          <w:lang w:val="es-ES_tradnl"/>
        </w:rPr>
        <w:t xml:space="preserve"> para aclarar </w:t>
      </w:r>
      <w:r w:rsidR="00BF4189">
        <w:rPr>
          <w:rFonts w:ascii="Book Antiqua" w:hAnsi="Book Antiqua"/>
          <w:lang w:val="es-ES_tradnl"/>
        </w:rPr>
        <w:t>el periodo de tiempo en el que se emitirá la alerta</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536B865C" w14:textId="0C97DA53" w:rsidR="00541BFE" w:rsidRPr="00BE5E1D" w:rsidRDefault="00AE4248" w:rsidP="00BE5E1D">
      <w:pPr>
        <w:ind w:firstLine="360"/>
        <w:jc w:val="center"/>
        <w:rPr>
          <w:rFonts w:ascii="Book Antiqua" w:hAnsi="Book Antiqua"/>
          <w:lang w:val="es-ES_tradnl"/>
        </w:rPr>
      </w:pPr>
      <w:r>
        <w:rPr>
          <w:rFonts w:ascii="Book Antiqua" w:hAnsi="Book Antiqua"/>
          <w:lang w:val="es-ES_tradnl"/>
        </w:rPr>
        <w:t>EXPOSICIÓN DE MOTIVOS</w:t>
      </w:r>
      <w:r w:rsidR="00541BFE">
        <w:rPr>
          <w:rFonts w:ascii="Book Antiqua" w:hAnsi="Book Antiqua"/>
          <w:lang w:val="es-PR"/>
        </w:rPr>
        <w:t xml:space="preserve"> </w:t>
      </w:r>
    </w:p>
    <w:p w14:paraId="7D995632" w14:textId="77777777" w:rsidR="00541BFE" w:rsidRDefault="00541BFE" w:rsidP="00B4442B">
      <w:pPr>
        <w:jc w:val="both"/>
        <w:rPr>
          <w:rFonts w:ascii="Book Antiqua" w:hAnsi="Book Antiqua"/>
          <w:lang w:val="es-PR"/>
        </w:rPr>
      </w:pPr>
    </w:p>
    <w:p w14:paraId="04A264E6" w14:textId="77777777" w:rsidR="00BE5E1D" w:rsidRDefault="00072F7E" w:rsidP="00B4442B">
      <w:pPr>
        <w:jc w:val="both"/>
        <w:rPr>
          <w:rFonts w:ascii="Book Antiqua" w:hAnsi="Book Antiqua"/>
          <w:lang w:val="es-PR"/>
        </w:rPr>
      </w:pPr>
      <w:r>
        <w:rPr>
          <w:rFonts w:ascii="Book Antiqua" w:hAnsi="Book Antiqua"/>
          <w:lang w:val="es-PR"/>
        </w:rPr>
        <w:tab/>
        <w:t xml:space="preserve">En el 2019, la Enfermedad de Alzheimer en Puerto Rico ocupó el cuarto lugar como causa de muerte. No obstante, a nivel mundial se considera que el Alzheimer es una de las principales causas de discapacidad y dependencia entre las personas mayores. Esta condición afecta, no sólo la calidad de vida de quienes la padecen sino además afecta al entorno social y familiar de quienes interactúan con el individuo diagnosticado con la condición. </w:t>
      </w:r>
    </w:p>
    <w:p w14:paraId="1CFB9DB2" w14:textId="77777777" w:rsidR="00BE5E1D" w:rsidRDefault="00BE5E1D" w:rsidP="00B4442B">
      <w:pPr>
        <w:jc w:val="both"/>
        <w:rPr>
          <w:rFonts w:ascii="Book Antiqua" w:hAnsi="Book Antiqua"/>
          <w:lang w:val="es-PR"/>
        </w:rPr>
      </w:pPr>
    </w:p>
    <w:p w14:paraId="015AE19F" w14:textId="065A548A" w:rsidR="00072F7E" w:rsidRDefault="00072F7E" w:rsidP="00BE5E1D">
      <w:pPr>
        <w:ind w:firstLine="720"/>
        <w:jc w:val="both"/>
        <w:rPr>
          <w:rFonts w:ascii="Book Antiqua" w:hAnsi="Book Antiqua"/>
          <w:lang w:val="es-PR"/>
        </w:rPr>
      </w:pPr>
      <w:r>
        <w:rPr>
          <w:rFonts w:ascii="Book Antiqua" w:hAnsi="Book Antiqua"/>
          <w:lang w:val="es-PR"/>
        </w:rPr>
        <w:t xml:space="preserve">Mientras la condición de Alzheimer de la persona </w:t>
      </w:r>
      <w:r w:rsidR="00D221B0">
        <w:rPr>
          <w:rFonts w:ascii="Book Antiqua" w:hAnsi="Book Antiqua"/>
          <w:lang w:val="es-PR"/>
        </w:rPr>
        <w:t>evoluciona en etapas</w:t>
      </w:r>
      <w:r>
        <w:rPr>
          <w:rFonts w:ascii="Book Antiqua" w:hAnsi="Book Antiqua"/>
          <w:lang w:val="es-PR"/>
        </w:rPr>
        <w:t xml:space="preserve">, a su vez aumenta la responsabilidad de quien le brinda atención y cuidados. </w:t>
      </w:r>
      <w:r w:rsidR="00B03A1E">
        <w:rPr>
          <w:rFonts w:ascii="Book Antiqua" w:hAnsi="Book Antiqua"/>
          <w:lang w:val="es-PR"/>
        </w:rPr>
        <w:t xml:space="preserve">La </w:t>
      </w:r>
      <w:r w:rsidR="00DD2048">
        <w:rPr>
          <w:rFonts w:ascii="Book Antiqua" w:hAnsi="Book Antiqua"/>
          <w:lang w:val="es-PR"/>
        </w:rPr>
        <w:t>pérdida</w:t>
      </w:r>
      <w:r w:rsidR="00B03A1E">
        <w:rPr>
          <w:rFonts w:ascii="Book Antiqua" w:hAnsi="Book Antiqua"/>
          <w:lang w:val="es-PR"/>
        </w:rPr>
        <w:t xml:space="preserve"> de memoria no sólo se traduce en olvidar objetos u olvidar palabras, la </w:t>
      </w:r>
      <w:r w:rsidR="001C12A0">
        <w:rPr>
          <w:rFonts w:ascii="Book Antiqua" w:hAnsi="Book Antiqua"/>
          <w:lang w:val="es-PR"/>
        </w:rPr>
        <w:t>pérdida</w:t>
      </w:r>
      <w:r w:rsidR="00B03A1E">
        <w:rPr>
          <w:rFonts w:ascii="Book Antiqua" w:hAnsi="Book Antiqua"/>
          <w:lang w:val="es-PR"/>
        </w:rPr>
        <w:t xml:space="preserve"> de memoria </w:t>
      </w:r>
      <w:r w:rsidR="001C12A0">
        <w:rPr>
          <w:rFonts w:ascii="Book Antiqua" w:hAnsi="Book Antiqua"/>
          <w:lang w:val="es-PR"/>
        </w:rPr>
        <w:t>aumenta</w:t>
      </w:r>
      <w:r w:rsidR="00B03A1E">
        <w:rPr>
          <w:rFonts w:ascii="Book Antiqua" w:hAnsi="Book Antiqua"/>
          <w:lang w:val="es-PR"/>
        </w:rPr>
        <w:t xml:space="preserve"> al nivel de que el paciente </w:t>
      </w:r>
      <w:r w:rsidR="00871634">
        <w:rPr>
          <w:rFonts w:ascii="Book Antiqua" w:hAnsi="Book Antiqua"/>
          <w:lang w:val="es-PR"/>
        </w:rPr>
        <w:t xml:space="preserve">también </w:t>
      </w:r>
      <w:r w:rsidR="00B03A1E">
        <w:rPr>
          <w:rFonts w:ascii="Book Antiqua" w:hAnsi="Book Antiqua"/>
          <w:lang w:val="es-PR"/>
        </w:rPr>
        <w:t xml:space="preserve">va olvidando su identidad, sus actividades programadas, realizar tareas por sí mismo y hasta se desorienta incluso, en su propio hogar. </w:t>
      </w:r>
    </w:p>
    <w:p w14:paraId="4A04CB24" w14:textId="77777777" w:rsidR="00B03A1E" w:rsidRDefault="00B03A1E" w:rsidP="00B4442B">
      <w:pPr>
        <w:jc w:val="both"/>
        <w:rPr>
          <w:rFonts w:ascii="Book Antiqua" w:hAnsi="Book Antiqua"/>
          <w:lang w:val="es-PR"/>
        </w:rPr>
      </w:pPr>
    </w:p>
    <w:p w14:paraId="45C32E38" w14:textId="5C620A29" w:rsidR="00B03A1E" w:rsidRDefault="00B03A1E" w:rsidP="00B4442B">
      <w:pPr>
        <w:jc w:val="both"/>
        <w:rPr>
          <w:rFonts w:ascii="Book Antiqua" w:hAnsi="Book Antiqua"/>
          <w:lang w:val="es-PR"/>
        </w:rPr>
      </w:pPr>
      <w:r>
        <w:rPr>
          <w:rFonts w:ascii="Book Antiqua" w:hAnsi="Book Antiqua"/>
          <w:lang w:val="es-PR"/>
        </w:rPr>
        <w:tab/>
      </w:r>
      <w:r w:rsidR="008A66A4">
        <w:rPr>
          <w:rFonts w:ascii="Book Antiqua" w:hAnsi="Book Antiqua"/>
          <w:lang w:val="es-PR"/>
        </w:rPr>
        <w:t>E</w:t>
      </w:r>
      <w:r>
        <w:rPr>
          <w:rFonts w:ascii="Book Antiqua" w:hAnsi="Book Antiqua"/>
          <w:lang w:val="es-PR"/>
        </w:rPr>
        <w:t>n</w:t>
      </w:r>
      <w:r w:rsidR="0069274C">
        <w:rPr>
          <w:rFonts w:ascii="Book Antiqua" w:hAnsi="Book Antiqua"/>
          <w:lang w:val="es-PR"/>
        </w:rPr>
        <w:t xml:space="preserve"> Puerto Rico existe El Registro Electrónico de la Enfermedad de Alzheimer, la Enfermedad de Huntington y otras Demencias. Dicha plataforma fue establecida por el Departamento de Salud para que los médicos pudiesen cumplir con los requisitos </w:t>
      </w:r>
      <w:r w:rsidR="0069274C">
        <w:rPr>
          <w:rFonts w:ascii="Book Antiqua" w:hAnsi="Book Antiqua"/>
          <w:lang w:val="es-PR"/>
        </w:rPr>
        <w:lastRenderedPageBreak/>
        <w:t xml:space="preserve">establecidos en la Ley 237-1999. Los datos recopilados </w:t>
      </w:r>
      <w:r w:rsidR="00EB2BDD">
        <w:rPr>
          <w:rFonts w:ascii="Book Antiqua" w:hAnsi="Book Antiqua"/>
          <w:lang w:val="es-PR"/>
        </w:rPr>
        <w:t xml:space="preserve">mediante esta plataforma </w:t>
      </w:r>
      <w:r w:rsidR="0069274C">
        <w:rPr>
          <w:rFonts w:ascii="Book Antiqua" w:hAnsi="Book Antiqua"/>
          <w:lang w:val="es-PR"/>
        </w:rPr>
        <w:t xml:space="preserve">tienen como propósito ser utilizados en evaluación, planificación y creación de iniciativas dirigidas a la población que vive con las </w:t>
      </w:r>
      <w:r w:rsidR="00D77A81">
        <w:rPr>
          <w:rFonts w:ascii="Book Antiqua" w:hAnsi="Book Antiqua"/>
          <w:lang w:val="es-PR"/>
        </w:rPr>
        <w:t>ya mencionadas</w:t>
      </w:r>
      <w:r w:rsidR="00DD7D6E">
        <w:rPr>
          <w:rFonts w:ascii="Book Antiqua" w:hAnsi="Book Antiqua"/>
          <w:lang w:val="es-PR"/>
        </w:rPr>
        <w:t xml:space="preserve"> condiciones de salud</w:t>
      </w:r>
      <w:r w:rsidR="0069274C">
        <w:rPr>
          <w:rFonts w:ascii="Book Antiqua" w:hAnsi="Book Antiqua"/>
          <w:lang w:val="es-PR"/>
        </w:rPr>
        <w:t xml:space="preserve">. </w:t>
      </w:r>
      <w:r>
        <w:rPr>
          <w:rFonts w:ascii="Book Antiqua" w:hAnsi="Book Antiqua"/>
          <w:lang w:val="es-PR"/>
        </w:rPr>
        <w:t xml:space="preserve"> </w:t>
      </w:r>
    </w:p>
    <w:p w14:paraId="3ADF0E04" w14:textId="77777777" w:rsidR="00B03A1E" w:rsidRDefault="00B03A1E" w:rsidP="00B4442B">
      <w:pPr>
        <w:jc w:val="both"/>
        <w:rPr>
          <w:rFonts w:ascii="Book Antiqua" w:hAnsi="Book Antiqua"/>
          <w:lang w:val="es-PR"/>
        </w:rPr>
      </w:pPr>
    </w:p>
    <w:p w14:paraId="79593E57" w14:textId="77777777" w:rsidR="00BE5E1D" w:rsidRPr="00BE5E1D" w:rsidRDefault="00BE5E1D" w:rsidP="00BE5E1D">
      <w:pPr>
        <w:jc w:val="both"/>
        <w:rPr>
          <w:rFonts w:ascii="Book Antiqua" w:hAnsi="Book Antiqua"/>
          <w:lang w:val="es-PR"/>
        </w:rPr>
      </w:pPr>
      <w:r>
        <w:rPr>
          <w:rFonts w:ascii="Book Antiqua" w:hAnsi="Book Antiqua"/>
          <w:lang w:val="es-PR"/>
        </w:rPr>
        <w:tab/>
      </w:r>
      <w:r w:rsidRPr="00BE5E1D">
        <w:rPr>
          <w:rFonts w:ascii="Book Antiqua" w:hAnsi="Book Antiqua"/>
          <w:lang w:val="es-PR"/>
        </w:rPr>
        <w:t>En Puerto Rico existen varias alertas de emergencia que podrían activarse en casos de emergencias, secuestros, desapariciones o hasta accidentes automovilísticos. Muchas de estas alertas han sido adoptadas de otras jurisdicciones en los Estados Unidos. Las mismas han probado tener resultados favorables para lo que inicialmente fueron creadas.</w:t>
      </w:r>
    </w:p>
    <w:p w14:paraId="6FB990B4" w14:textId="77777777" w:rsidR="00BE5E1D" w:rsidRPr="00BE5E1D" w:rsidRDefault="00BE5E1D" w:rsidP="00BE5E1D">
      <w:pPr>
        <w:jc w:val="both"/>
        <w:rPr>
          <w:rFonts w:ascii="Book Antiqua" w:hAnsi="Book Antiqua"/>
          <w:lang w:val="es-PR"/>
        </w:rPr>
      </w:pPr>
    </w:p>
    <w:p w14:paraId="0B8DE3DC" w14:textId="07D288C2" w:rsidR="00C77ED2" w:rsidRDefault="00BE5E1D" w:rsidP="00BE5E1D">
      <w:pPr>
        <w:jc w:val="both"/>
        <w:rPr>
          <w:rFonts w:ascii="Book Antiqua" w:hAnsi="Book Antiqua"/>
          <w:lang w:val="es-PR"/>
        </w:rPr>
      </w:pPr>
      <w:r w:rsidRPr="00BE5E1D">
        <w:rPr>
          <w:rFonts w:ascii="Book Antiqua" w:hAnsi="Book Antiqua"/>
          <w:lang w:val="es-PR"/>
        </w:rPr>
        <w:tab/>
      </w:r>
      <w:r>
        <w:rPr>
          <w:rFonts w:ascii="Book Antiqua" w:hAnsi="Book Antiqua"/>
          <w:lang w:val="es-PR"/>
        </w:rPr>
        <w:t>Por todo lo anterior, n</w:t>
      </w:r>
      <w:r w:rsidRPr="00BE5E1D">
        <w:rPr>
          <w:rFonts w:ascii="Book Antiqua" w:hAnsi="Book Antiqua"/>
          <w:lang w:val="es-PR"/>
        </w:rPr>
        <w:t xml:space="preserve">uestra Isla cuenta con la Alerta Silver, la cual </w:t>
      </w:r>
      <w:r w:rsidR="00F04FF5">
        <w:rPr>
          <w:rFonts w:ascii="Book Antiqua" w:hAnsi="Book Antiqua"/>
          <w:lang w:val="es-PR"/>
        </w:rPr>
        <w:t>se</w:t>
      </w:r>
      <w:r w:rsidRPr="00BE5E1D">
        <w:rPr>
          <w:rFonts w:ascii="Book Antiqua" w:hAnsi="Book Antiqua"/>
          <w:lang w:val="es-PR"/>
        </w:rPr>
        <w:t xml:space="preserve"> activa de manera local con el Negociado para el Manejo de Emergencias y Administración de Desastres (NMEAD) para que la misma sea recibida en los celulares de los ciudadanos. Con esta, se atienden casos de desapariciones en la que la persona esté diagnosticada por un médico autorizado a ejercer la medicina en Puerto Rico, con Alzheimer o algún tipo de demencia. </w:t>
      </w:r>
      <w:r>
        <w:rPr>
          <w:rFonts w:ascii="Book Antiqua" w:hAnsi="Book Antiqua"/>
          <w:lang w:val="es-PR"/>
        </w:rPr>
        <w:t xml:space="preserve">Ahora bien, </w:t>
      </w:r>
      <w:r w:rsidR="00C77ED2">
        <w:rPr>
          <w:rFonts w:ascii="Book Antiqua" w:hAnsi="Book Antiqua"/>
          <w:lang w:val="es-PR"/>
        </w:rPr>
        <w:t>la ley que establece la Ley Silver aquí en Puerto Rico, no contiene una disposición específica del periodo de tiempo para emitir la alerta. Este detalle otorga un amplio criterio a que las autoridades decidan si emitir o no la alerta en el periodo de tiempo que estos entiendan que deban emitirla.</w:t>
      </w:r>
    </w:p>
    <w:p w14:paraId="70E2C26F" w14:textId="77777777" w:rsidR="00C77ED2" w:rsidRDefault="00C77ED2" w:rsidP="00BE5E1D">
      <w:pPr>
        <w:jc w:val="both"/>
        <w:rPr>
          <w:rFonts w:ascii="Book Antiqua" w:hAnsi="Book Antiqua"/>
          <w:lang w:val="es-PR"/>
        </w:rPr>
      </w:pPr>
    </w:p>
    <w:p w14:paraId="041BF4C8" w14:textId="4D38DCC5" w:rsidR="006C77CF" w:rsidRDefault="00C77ED2" w:rsidP="00BE5E1D">
      <w:pPr>
        <w:jc w:val="both"/>
        <w:rPr>
          <w:rFonts w:ascii="Book Antiqua" w:hAnsi="Book Antiqua"/>
          <w:lang w:val="es-PR"/>
        </w:rPr>
      </w:pPr>
      <w:r>
        <w:rPr>
          <w:rFonts w:ascii="Book Antiqua" w:hAnsi="Book Antiqua"/>
          <w:lang w:val="es-PR"/>
        </w:rPr>
        <w:tab/>
        <w:t>Lo anterior, crea un estado de indefensión a</w:t>
      </w:r>
      <w:r w:rsidR="00572A32">
        <w:rPr>
          <w:rFonts w:ascii="Book Antiqua" w:hAnsi="Book Antiqua"/>
          <w:lang w:val="es-PR"/>
        </w:rPr>
        <w:t>l entorno familiar</w:t>
      </w:r>
      <w:r>
        <w:rPr>
          <w:rFonts w:ascii="Book Antiqua" w:hAnsi="Book Antiqua"/>
          <w:lang w:val="es-PR"/>
        </w:rPr>
        <w:t>, tutores y personas cerca</w:t>
      </w:r>
      <w:r w:rsidR="00C24B6E">
        <w:rPr>
          <w:rFonts w:ascii="Book Antiqua" w:hAnsi="Book Antiqua"/>
          <w:lang w:val="es-PR"/>
        </w:rPr>
        <w:t>n</w:t>
      </w:r>
      <w:r>
        <w:rPr>
          <w:rFonts w:ascii="Book Antiqua" w:hAnsi="Book Antiqua"/>
          <w:lang w:val="es-PR"/>
        </w:rPr>
        <w:t xml:space="preserve">as al individuo desaparecido una vez reportan su desaparición, porque aunque la ley </w:t>
      </w:r>
      <w:r w:rsidR="006C77CF">
        <w:rPr>
          <w:rFonts w:ascii="Book Antiqua" w:hAnsi="Book Antiqua"/>
          <w:lang w:val="es-PR"/>
        </w:rPr>
        <w:t xml:space="preserve">está creada para anunciar la desaparición de la persona y solicitar la ayuda de la ciudadanía para encontrarla, no hay criterios que obliguen a emitirla ni se establece un tiempo específico para emitirla. </w:t>
      </w:r>
      <w:r w:rsidR="004D1AC6">
        <w:rPr>
          <w:rFonts w:ascii="Book Antiqua" w:hAnsi="Book Antiqua"/>
          <w:lang w:val="es-PR"/>
        </w:rPr>
        <w:t>En ocasiones, algunos familiares han declarado que las autoridades les han orientado que para emitir la alerta, tienen que transcurrir veinticuatro (24) horas de</w:t>
      </w:r>
      <w:r w:rsidR="00CE69D0">
        <w:rPr>
          <w:rFonts w:ascii="Book Antiqua" w:hAnsi="Book Antiqua"/>
          <w:lang w:val="es-PR"/>
        </w:rPr>
        <w:t>sde</w:t>
      </w:r>
      <w:r w:rsidR="004D1AC6">
        <w:rPr>
          <w:rFonts w:ascii="Book Antiqua" w:hAnsi="Book Antiqua"/>
          <w:lang w:val="es-PR"/>
        </w:rPr>
        <w:t xml:space="preserve"> la desaparición</w:t>
      </w:r>
      <w:r w:rsidR="00CE69D0">
        <w:rPr>
          <w:rFonts w:ascii="Book Antiqua" w:hAnsi="Book Antiqua"/>
          <w:lang w:val="es-PR"/>
        </w:rPr>
        <w:t xml:space="preserve"> de la persona</w:t>
      </w:r>
      <w:r w:rsidR="004D1AC6">
        <w:rPr>
          <w:rFonts w:ascii="Book Antiqua" w:hAnsi="Book Antiqua"/>
          <w:lang w:val="es-PR"/>
        </w:rPr>
        <w:t xml:space="preserve">. Ese criterio no se establece en la ley. </w:t>
      </w:r>
      <w:r w:rsidR="006C77CF">
        <w:rPr>
          <w:rFonts w:ascii="Book Antiqua" w:hAnsi="Book Antiqua"/>
          <w:lang w:val="es-PR"/>
        </w:rPr>
        <w:t xml:space="preserve">En algunos casos, la alerta </w:t>
      </w:r>
      <w:r w:rsidR="004D1AC6">
        <w:rPr>
          <w:rFonts w:ascii="Book Antiqua" w:hAnsi="Book Antiqua"/>
          <w:lang w:val="es-PR"/>
        </w:rPr>
        <w:t xml:space="preserve">simplemente, </w:t>
      </w:r>
      <w:r w:rsidR="006C77CF">
        <w:rPr>
          <w:rFonts w:ascii="Book Antiqua" w:hAnsi="Book Antiqua"/>
          <w:lang w:val="es-PR"/>
        </w:rPr>
        <w:t xml:space="preserve">no se ha emitido. </w:t>
      </w:r>
    </w:p>
    <w:p w14:paraId="4EFD40E5" w14:textId="77777777" w:rsidR="006C77CF" w:rsidRDefault="006C77CF" w:rsidP="00B4442B">
      <w:pPr>
        <w:jc w:val="both"/>
        <w:rPr>
          <w:rFonts w:ascii="Book Antiqua" w:hAnsi="Book Antiqua"/>
          <w:lang w:val="es-PR"/>
        </w:rPr>
      </w:pPr>
    </w:p>
    <w:p w14:paraId="0D5C73B2" w14:textId="3C9D8A0C" w:rsidR="005078DB" w:rsidRDefault="006C77CF" w:rsidP="006C77CF">
      <w:pPr>
        <w:ind w:firstLine="720"/>
        <w:jc w:val="both"/>
        <w:rPr>
          <w:rFonts w:ascii="Book Antiqua" w:hAnsi="Book Antiqua"/>
          <w:lang w:val="es-PR"/>
        </w:rPr>
      </w:pPr>
      <w:r>
        <w:rPr>
          <w:rFonts w:ascii="Book Antiqua" w:hAnsi="Book Antiqua"/>
          <w:lang w:val="es-PR"/>
        </w:rPr>
        <w:t>E</w:t>
      </w:r>
      <w:r w:rsidR="001D03D2">
        <w:rPr>
          <w:rFonts w:ascii="Book Antiqua" w:hAnsi="Book Antiqua"/>
          <w:lang w:val="es-PR"/>
        </w:rPr>
        <w:t xml:space="preserve">s </w:t>
      </w:r>
      <w:r>
        <w:rPr>
          <w:rFonts w:ascii="Book Antiqua" w:hAnsi="Book Antiqua"/>
          <w:lang w:val="es-PR"/>
        </w:rPr>
        <w:t>por ello que es impostergable que se establezca en la ley una directriz más clara de cómo utilizar esta alerta y cuándo emitir la misma. Así las cosas</w:t>
      </w:r>
      <w:r w:rsidRPr="004D1AC6">
        <w:rPr>
          <w:rFonts w:ascii="Book Antiqua" w:hAnsi="Book Antiqua"/>
          <w:lang w:val="es-PR"/>
        </w:rPr>
        <w:t xml:space="preserve">, se enmienda el Artículo </w:t>
      </w:r>
      <w:r w:rsidR="004D1AC6" w:rsidRPr="004D1AC6">
        <w:rPr>
          <w:rFonts w:ascii="Book Antiqua" w:hAnsi="Book Antiqua"/>
          <w:lang w:val="es-PR"/>
        </w:rPr>
        <w:t>2</w:t>
      </w:r>
      <w:r w:rsidRPr="004D1AC6">
        <w:rPr>
          <w:rFonts w:ascii="Book Antiqua" w:hAnsi="Book Antiqua"/>
          <w:lang w:val="es-PR"/>
        </w:rPr>
        <w:t xml:space="preserve"> de la Ley para aclarar el </w:t>
      </w:r>
      <w:r w:rsidR="004D1AC6" w:rsidRPr="004D1AC6">
        <w:rPr>
          <w:rFonts w:ascii="Book Antiqua" w:hAnsi="Book Antiqua"/>
          <w:lang w:val="es-PR"/>
        </w:rPr>
        <w:t>periodo de tiempo para</w:t>
      </w:r>
      <w:r w:rsidRPr="004D1AC6">
        <w:rPr>
          <w:rFonts w:ascii="Book Antiqua" w:hAnsi="Book Antiqua"/>
          <w:lang w:val="es-PR"/>
        </w:rPr>
        <w:t xml:space="preserve"> </w:t>
      </w:r>
      <w:r w:rsidR="004D1AC6" w:rsidRPr="004D1AC6">
        <w:rPr>
          <w:rFonts w:ascii="Book Antiqua" w:hAnsi="Book Antiqua"/>
          <w:lang w:val="es-PR"/>
        </w:rPr>
        <w:t>emitir</w:t>
      </w:r>
      <w:r w:rsidRPr="004D1AC6">
        <w:rPr>
          <w:rFonts w:ascii="Book Antiqua" w:hAnsi="Book Antiqua"/>
          <w:lang w:val="es-PR"/>
        </w:rPr>
        <w:t xml:space="preserve"> la Alerta Silver.</w:t>
      </w:r>
      <w:r>
        <w:rPr>
          <w:rFonts w:ascii="Book Antiqua" w:hAnsi="Book Antiqua"/>
          <w:lang w:val="es-PR"/>
        </w:rPr>
        <w:t xml:space="preserve"> </w:t>
      </w:r>
      <w:r w:rsidR="001722A5">
        <w:rPr>
          <w:rFonts w:ascii="Book Antiqua" w:hAnsi="Book Antiqua"/>
          <w:lang w:val="es-PR"/>
        </w:rPr>
        <w:t xml:space="preserve"> </w:t>
      </w:r>
    </w:p>
    <w:p w14:paraId="1F71CC07" w14:textId="77777777" w:rsidR="002C43A2" w:rsidRDefault="002C43A2" w:rsidP="002C43A2">
      <w:pPr>
        <w:ind w:firstLine="36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6F58C037" w14:textId="77777777" w:rsidR="00EA4FD5"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Pr="00D41F3D">
        <w:rPr>
          <w:rFonts w:ascii="Book Antiqua" w:hAnsi="Book Antiqua"/>
          <w:lang w:val="es-ES_tradnl"/>
        </w:rPr>
        <w:t xml:space="preserve">Se </w:t>
      </w:r>
      <w:r w:rsidR="00EA4FD5" w:rsidRPr="00EA4FD5">
        <w:rPr>
          <w:rFonts w:ascii="Book Antiqua" w:hAnsi="Book Antiqua"/>
          <w:lang w:val="es-ES_tradnl"/>
        </w:rPr>
        <w:t xml:space="preserve">enmendar el Artículo 2 de la Ley Núm. 132 del 26 de octubre de 2009, (Ley 132-2009) mejor conocida como la “Ley Habilitadora para implantar el Plan de Alerta Silver” </w:t>
      </w:r>
      <w:r w:rsidR="00EA4FD5">
        <w:rPr>
          <w:rFonts w:ascii="Book Antiqua" w:hAnsi="Book Antiqua"/>
          <w:lang w:val="es-ES_tradnl"/>
        </w:rPr>
        <w:t xml:space="preserve">para que lea como sigue: </w:t>
      </w:r>
    </w:p>
    <w:p w14:paraId="17486F09" w14:textId="53906F1E" w:rsidR="00EA4FD5" w:rsidRDefault="00EA4FD5" w:rsidP="002C43A2">
      <w:pPr>
        <w:spacing w:line="480" w:lineRule="auto"/>
        <w:ind w:firstLine="360"/>
        <w:jc w:val="both"/>
        <w:rPr>
          <w:rFonts w:ascii="Book Antiqua" w:hAnsi="Book Antiqua"/>
          <w:lang w:val="es-PR"/>
        </w:rPr>
      </w:pPr>
      <w:r>
        <w:rPr>
          <w:rFonts w:ascii="Book Antiqua" w:hAnsi="Book Antiqua"/>
          <w:lang w:val="es-ES_tradnl"/>
        </w:rPr>
        <w:tab/>
      </w:r>
      <w:r>
        <w:rPr>
          <w:rFonts w:ascii="Book Antiqua" w:hAnsi="Book Antiqua"/>
          <w:lang w:val="es-ES_tradnl"/>
        </w:rPr>
        <w:tab/>
      </w:r>
      <w:r w:rsidR="00DD6405">
        <w:rPr>
          <w:rFonts w:ascii="Book Antiqua" w:hAnsi="Book Antiqua"/>
          <w:lang w:val="es-ES_tradnl"/>
        </w:rPr>
        <w:t>“</w:t>
      </w:r>
      <w:r>
        <w:rPr>
          <w:rFonts w:ascii="Book Antiqua" w:hAnsi="Book Antiqua"/>
          <w:lang w:val="es-ES_tradnl"/>
        </w:rPr>
        <w:t xml:space="preserve">Artículo 2. </w:t>
      </w:r>
      <w:r w:rsidRPr="00EA4FD5">
        <w:rPr>
          <w:rFonts w:ascii="Book Antiqua" w:hAnsi="Book Antiqua"/>
          <w:lang w:val="es-PR"/>
        </w:rPr>
        <w:t>— (25 L.P.R.A. § 982)</w:t>
      </w:r>
    </w:p>
    <w:p w14:paraId="64CEF346" w14:textId="13BEAE96" w:rsidR="00EA4FD5" w:rsidRPr="00EA4FD5" w:rsidRDefault="00EA4FD5" w:rsidP="00EA4FD5">
      <w:pPr>
        <w:spacing w:line="480" w:lineRule="auto"/>
        <w:ind w:left="720" w:right="720" w:firstLine="360"/>
        <w:jc w:val="both"/>
        <w:rPr>
          <w:rFonts w:ascii="Book Antiqua" w:hAnsi="Book Antiqua"/>
          <w:lang w:val="es-PR"/>
        </w:rPr>
      </w:pPr>
      <w:r>
        <w:rPr>
          <w:rFonts w:ascii="Book Antiqua" w:hAnsi="Book Antiqua"/>
          <w:lang w:val="es-PR"/>
        </w:rPr>
        <w:lastRenderedPageBreak/>
        <w:tab/>
      </w:r>
      <w:r w:rsidRPr="00EA4FD5">
        <w:rPr>
          <w:rFonts w:ascii="Book Antiqua" w:hAnsi="Book Antiqua"/>
          <w:lang w:val="es-PR"/>
        </w:rPr>
        <w:t xml:space="preserve">La Policía de Puerto Rico establecerá un “Plan SILVER”, cuyo propósito será alertar al público sobre la desaparición de una persona, que esté diagnosticado por un médico autorizado a ejercer la medicina en Puerto Rico, por las condiciones de Alzheimer o algún tipo de demencia. La Policía de Puerto Rico será la agencia primaria responsable de operar el Plan y </w:t>
      </w:r>
      <w:r w:rsidR="00DD6405" w:rsidRPr="00DD6405">
        <w:rPr>
          <w:rFonts w:ascii="Book Antiqua" w:hAnsi="Book Antiqua"/>
          <w:b/>
          <w:bCs/>
          <w:lang w:val="es-PR"/>
        </w:rPr>
        <w:t>[</w:t>
      </w:r>
      <w:r w:rsidRPr="00DD6405">
        <w:rPr>
          <w:rFonts w:ascii="Book Antiqua" w:hAnsi="Book Antiqua"/>
          <w:b/>
          <w:bCs/>
          <w:lang w:val="es-PR"/>
        </w:rPr>
        <w:t>determinar si procede o no emitir la alerta,</w:t>
      </w:r>
      <w:r w:rsidR="00DD6405" w:rsidRPr="00DD6405">
        <w:rPr>
          <w:rFonts w:ascii="Book Antiqua" w:hAnsi="Book Antiqua"/>
          <w:b/>
          <w:bCs/>
          <w:lang w:val="es-PR"/>
        </w:rPr>
        <w:t>]</w:t>
      </w:r>
      <w:r>
        <w:rPr>
          <w:rFonts w:ascii="Book Antiqua" w:hAnsi="Book Antiqua"/>
          <w:lang w:val="es-PR"/>
        </w:rPr>
        <w:t xml:space="preserve"> </w:t>
      </w:r>
      <w:r w:rsidRPr="00EA4FD5">
        <w:rPr>
          <w:rFonts w:ascii="Book Antiqua" w:hAnsi="Book Antiqua"/>
          <w:i/>
          <w:iCs/>
          <w:lang w:val="es-PR"/>
        </w:rPr>
        <w:t xml:space="preserve">emitir la alerta de inmediato tras recibir la querella de desaparición o en un periodo de doce (12) horas tras el último avistamiento </w:t>
      </w:r>
      <w:r>
        <w:rPr>
          <w:rFonts w:ascii="Book Antiqua" w:hAnsi="Book Antiqua"/>
          <w:i/>
          <w:iCs/>
          <w:lang w:val="es-PR"/>
        </w:rPr>
        <w:t>procurado</w:t>
      </w:r>
      <w:r w:rsidRPr="00EA4FD5">
        <w:rPr>
          <w:rFonts w:ascii="Book Antiqua" w:hAnsi="Book Antiqua"/>
          <w:i/>
          <w:iCs/>
          <w:lang w:val="es-PR"/>
        </w:rPr>
        <w:t xml:space="preserve"> de la persona </w:t>
      </w:r>
      <w:r>
        <w:rPr>
          <w:rFonts w:ascii="Book Antiqua" w:hAnsi="Book Antiqua"/>
          <w:i/>
          <w:iCs/>
          <w:lang w:val="es-PR"/>
        </w:rPr>
        <w:t xml:space="preserve">reportada como </w:t>
      </w:r>
      <w:r w:rsidRPr="00EA4FD5">
        <w:rPr>
          <w:rFonts w:ascii="Book Antiqua" w:hAnsi="Book Antiqua"/>
          <w:i/>
          <w:iCs/>
          <w:lang w:val="es-PR"/>
        </w:rPr>
        <w:t>desaparecida</w:t>
      </w:r>
      <w:r>
        <w:rPr>
          <w:rFonts w:ascii="Book Antiqua" w:hAnsi="Book Antiqua"/>
          <w:i/>
          <w:iCs/>
          <w:lang w:val="es-PR"/>
        </w:rPr>
        <w:t>,</w:t>
      </w:r>
      <w:r w:rsidRPr="00EA4FD5">
        <w:rPr>
          <w:rFonts w:ascii="Book Antiqua" w:hAnsi="Book Antiqua"/>
          <w:i/>
          <w:iCs/>
          <w:lang w:val="es-PR"/>
        </w:rPr>
        <w:t xml:space="preserve"> </w:t>
      </w:r>
      <w:r w:rsidRPr="00EA4FD5">
        <w:rPr>
          <w:rFonts w:ascii="Book Antiqua" w:hAnsi="Book Antiqua"/>
          <w:lang w:val="es-PR"/>
        </w:rPr>
        <w:t>en colaboración con el Departamento de Transportación y Obras Públicas y el Departamento de Salud. Además, cualquier otra entidad pública estatal, federal o municipal, empresa privada, al igual que cualquier medio de comunicación, podrá voluntariamente participar y unirse en este esfuerzo de colaboración</w:t>
      </w:r>
      <w:r>
        <w:rPr>
          <w:rFonts w:ascii="Book Antiqua" w:hAnsi="Book Antiqua"/>
          <w:lang w:val="es-PR"/>
        </w:rPr>
        <w:t>.</w:t>
      </w:r>
      <w:r w:rsidR="00DD6405">
        <w:rPr>
          <w:rFonts w:ascii="Book Antiqua" w:hAnsi="Book Antiqua"/>
          <w:lang w:val="es-PR"/>
        </w:rPr>
        <w:t>”</w:t>
      </w:r>
    </w:p>
    <w:p w14:paraId="3882F0FA" w14:textId="3332C4EB" w:rsidR="00AE4248" w:rsidRPr="009A3B85" w:rsidRDefault="00BB7343" w:rsidP="00213270">
      <w:pPr>
        <w:spacing w:line="480" w:lineRule="auto"/>
        <w:ind w:firstLine="720"/>
        <w:jc w:val="both"/>
        <w:rPr>
          <w:rFonts w:ascii="Book Antiqua" w:hAnsi="Book Antiqua"/>
          <w:lang w:val="es-ES_tradnl"/>
        </w:rPr>
      </w:pPr>
      <w:r>
        <w:rPr>
          <w:rFonts w:ascii="Book Antiqua" w:hAnsi="Book Antiqua"/>
          <w:lang w:val="es-PR"/>
        </w:rPr>
        <w:t xml:space="preserve">Artículo </w:t>
      </w:r>
      <w:r w:rsidR="00DD6405">
        <w:rPr>
          <w:rFonts w:ascii="Book Antiqua" w:hAnsi="Book Antiqua"/>
          <w:lang w:val="es-PR"/>
        </w:rPr>
        <w:t>2</w:t>
      </w:r>
      <w:r>
        <w:rPr>
          <w:rFonts w:ascii="Book Antiqua" w:hAnsi="Book Antiqua"/>
          <w:lang w:val="es-PR"/>
        </w:rPr>
        <w:t>.-</w:t>
      </w:r>
      <w:r w:rsidR="00D4495A" w:rsidRPr="00D66D3D">
        <w:rPr>
          <w:rFonts w:ascii="Book Antiqua" w:hAnsi="Book Antiqua"/>
          <w:lang w:val="es-ES_tradnl"/>
        </w:rPr>
        <w:t>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A4CBF" w14:textId="77777777" w:rsidR="00C10341" w:rsidRDefault="00C10341">
      <w:r>
        <w:separator/>
      </w:r>
    </w:p>
  </w:endnote>
  <w:endnote w:type="continuationSeparator" w:id="0">
    <w:p w14:paraId="1A748539" w14:textId="77777777" w:rsidR="00C10341" w:rsidRDefault="00C10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4364F" w14:textId="77777777" w:rsidR="00C10341" w:rsidRDefault="00C10341">
      <w:r>
        <w:separator/>
      </w:r>
    </w:p>
  </w:footnote>
  <w:footnote w:type="continuationSeparator" w:id="0">
    <w:p w14:paraId="3618C687" w14:textId="77777777" w:rsidR="00C10341" w:rsidRDefault="00C10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6060"/>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C12A0"/>
    <w:rsid w:val="001D03D2"/>
    <w:rsid w:val="001D4291"/>
    <w:rsid w:val="001D5099"/>
    <w:rsid w:val="001F1F22"/>
    <w:rsid w:val="001F4CA3"/>
    <w:rsid w:val="001F612A"/>
    <w:rsid w:val="00207D49"/>
    <w:rsid w:val="00211396"/>
    <w:rsid w:val="00213270"/>
    <w:rsid w:val="00220F11"/>
    <w:rsid w:val="00226AE6"/>
    <w:rsid w:val="00227DDD"/>
    <w:rsid w:val="00245B34"/>
    <w:rsid w:val="00251A9D"/>
    <w:rsid w:val="002528EB"/>
    <w:rsid w:val="00262151"/>
    <w:rsid w:val="00263355"/>
    <w:rsid w:val="00267494"/>
    <w:rsid w:val="00273792"/>
    <w:rsid w:val="002753C6"/>
    <w:rsid w:val="00290D1D"/>
    <w:rsid w:val="002B0946"/>
    <w:rsid w:val="002C43A2"/>
    <w:rsid w:val="002C5F91"/>
    <w:rsid w:val="002D4AC8"/>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34529"/>
    <w:rsid w:val="004440CB"/>
    <w:rsid w:val="004515EC"/>
    <w:rsid w:val="004713D2"/>
    <w:rsid w:val="00477312"/>
    <w:rsid w:val="00483DA5"/>
    <w:rsid w:val="004A2C01"/>
    <w:rsid w:val="004C532F"/>
    <w:rsid w:val="004D1AC6"/>
    <w:rsid w:val="004D4714"/>
    <w:rsid w:val="004D488B"/>
    <w:rsid w:val="004D611F"/>
    <w:rsid w:val="00502283"/>
    <w:rsid w:val="005040A1"/>
    <w:rsid w:val="005078DB"/>
    <w:rsid w:val="005176B4"/>
    <w:rsid w:val="00521639"/>
    <w:rsid w:val="005312EE"/>
    <w:rsid w:val="00532BB7"/>
    <w:rsid w:val="005332E4"/>
    <w:rsid w:val="0053550C"/>
    <w:rsid w:val="00541202"/>
    <w:rsid w:val="00541BFE"/>
    <w:rsid w:val="005467B8"/>
    <w:rsid w:val="00555018"/>
    <w:rsid w:val="00565BAB"/>
    <w:rsid w:val="005723DC"/>
    <w:rsid w:val="00572A32"/>
    <w:rsid w:val="0058280A"/>
    <w:rsid w:val="00587253"/>
    <w:rsid w:val="00587E70"/>
    <w:rsid w:val="00593C61"/>
    <w:rsid w:val="005B4A32"/>
    <w:rsid w:val="005D59DC"/>
    <w:rsid w:val="005D6C44"/>
    <w:rsid w:val="005E67FB"/>
    <w:rsid w:val="005F0FDB"/>
    <w:rsid w:val="005F507D"/>
    <w:rsid w:val="00601BFB"/>
    <w:rsid w:val="00613B60"/>
    <w:rsid w:val="00614EED"/>
    <w:rsid w:val="00620C94"/>
    <w:rsid w:val="006210DC"/>
    <w:rsid w:val="00622AC8"/>
    <w:rsid w:val="0063447D"/>
    <w:rsid w:val="006374A2"/>
    <w:rsid w:val="006376E1"/>
    <w:rsid w:val="0064349D"/>
    <w:rsid w:val="00663F4A"/>
    <w:rsid w:val="00680B1C"/>
    <w:rsid w:val="00685549"/>
    <w:rsid w:val="00687C6E"/>
    <w:rsid w:val="0069274C"/>
    <w:rsid w:val="0069665A"/>
    <w:rsid w:val="006A2B1B"/>
    <w:rsid w:val="006A66A0"/>
    <w:rsid w:val="006B0A1D"/>
    <w:rsid w:val="006B55E9"/>
    <w:rsid w:val="006B7365"/>
    <w:rsid w:val="006C2D81"/>
    <w:rsid w:val="006C77CF"/>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77575"/>
    <w:rsid w:val="00787BE2"/>
    <w:rsid w:val="00796C19"/>
    <w:rsid w:val="007A18EF"/>
    <w:rsid w:val="007B04F5"/>
    <w:rsid w:val="007B0660"/>
    <w:rsid w:val="007B2806"/>
    <w:rsid w:val="007B7BD7"/>
    <w:rsid w:val="007D36CC"/>
    <w:rsid w:val="007E1B33"/>
    <w:rsid w:val="007E1CAE"/>
    <w:rsid w:val="007E3868"/>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34CD"/>
    <w:rsid w:val="008738FF"/>
    <w:rsid w:val="00892C48"/>
    <w:rsid w:val="00893B88"/>
    <w:rsid w:val="008A08FA"/>
    <w:rsid w:val="008A29C0"/>
    <w:rsid w:val="008A66A4"/>
    <w:rsid w:val="008B3BDF"/>
    <w:rsid w:val="008B4E69"/>
    <w:rsid w:val="008C12B6"/>
    <w:rsid w:val="008D47B6"/>
    <w:rsid w:val="008E22B8"/>
    <w:rsid w:val="00903764"/>
    <w:rsid w:val="0091103E"/>
    <w:rsid w:val="009138B3"/>
    <w:rsid w:val="00913C37"/>
    <w:rsid w:val="00925EA5"/>
    <w:rsid w:val="00942FD4"/>
    <w:rsid w:val="00951997"/>
    <w:rsid w:val="009568CD"/>
    <w:rsid w:val="00957877"/>
    <w:rsid w:val="00963A46"/>
    <w:rsid w:val="00990352"/>
    <w:rsid w:val="009A3B85"/>
    <w:rsid w:val="009A783E"/>
    <w:rsid w:val="009C299D"/>
    <w:rsid w:val="009C4151"/>
    <w:rsid w:val="009D25FC"/>
    <w:rsid w:val="009D33EA"/>
    <w:rsid w:val="009D4196"/>
    <w:rsid w:val="009D4807"/>
    <w:rsid w:val="009D5316"/>
    <w:rsid w:val="009D59F3"/>
    <w:rsid w:val="009D6632"/>
    <w:rsid w:val="009E2D88"/>
    <w:rsid w:val="009E4B89"/>
    <w:rsid w:val="009F6371"/>
    <w:rsid w:val="00A03405"/>
    <w:rsid w:val="00A06518"/>
    <w:rsid w:val="00A1528A"/>
    <w:rsid w:val="00A33918"/>
    <w:rsid w:val="00A352EE"/>
    <w:rsid w:val="00A414E9"/>
    <w:rsid w:val="00A63F28"/>
    <w:rsid w:val="00A758C2"/>
    <w:rsid w:val="00A7629F"/>
    <w:rsid w:val="00A952D5"/>
    <w:rsid w:val="00AB5532"/>
    <w:rsid w:val="00AD2FEE"/>
    <w:rsid w:val="00AE2766"/>
    <w:rsid w:val="00AE4248"/>
    <w:rsid w:val="00AE42F8"/>
    <w:rsid w:val="00AE4B40"/>
    <w:rsid w:val="00AF0CEE"/>
    <w:rsid w:val="00B03A1E"/>
    <w:rsid w:val="00B1767B"/>
    <w:rsid w:val="00B411EC"/>
    <w:rsid w:val="00B4442B"/>
    <w:rsid w:val="00B511F7"/>
    <w:rsid w:val="00B5258D"/>
    <w:rsid w:val="00B5398B"/>
    <w:rsid w:val="00B621B3"/>
    <w:rsid w:val="00B6301B"/>
    <w:rsid w:val="00B65B41"/>
    <w:rsid w:val="00B667AD"/>
    <w:rsid w:val="00B82CD8"/>
    <w:rsid w:val="00B84C38"/>
    <w:rsid w:val="00B86C00"/>
    <w:rsid w:val="00B93CC3"/>
    <w:rsid w:val="00B947F6"/>
    <w:rsid w:val="00BA2FC3"/>
    <w:rsid w:val="00BA3241"/>
    <w:rsid w:val="00BA3984"/>
    <w:rsid w:val="00BA3E9C"/>
    <w:rsid w:val="00BA4522"/>
    <w:rsid w:val="00BA6BDB"/>
    <w:rsid w:val="00BB19ED"/>
    <w:rsid w:val="00BB7343"/>
    <w:rsid w:val="00BB78F1"/>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335E"/>
    <w:rsid w:val="00CF5274"/>
    <w:rsid w:val="00D221B0"/>
    <w:rsid w:val="00D417C2"/>
    <w:rsid w:val="00D4495A"/>
    <w:rsid w:val="00D45D54"/>
    <w:rsid w:val="00D50E54"/>
    <w:rsid w:val="00D57497"/>
    <w:rsid w:val="00D60936"/>
    <w:rsid w:val="00D66D3D"/>
    <w:rsid w:val="00D678FA"/>
    <w:rsid w:val="00D709EB"/>
    <w:rsid w:val="00D73D4E"/>
    <w:rsid w:val="00D74714"/>
    <w:rsid w:val="00D77A81"/>
    <w:rsid w:val="00D822B3"/>
    <w:rsid w:val="00D82F3F"/>
    <w:rsid w:val="00D921C6"/>
    <w:rsid w:val="00D958C2"/>
    <w:rsid w:val="00D9680E"/>
    <w:rsid w:val="00DB0958"/>
    <w:rsid w:val="00DB09E9"/>
    <w:rsid w:val="00DB7E86"/>
    <w:rsid w:val="00DD2048"/>
    <w:rsid w:val="00DD6405"/>
    <w:rsid w:val="00DD7D6E"/>
    <w:rsid w:val="00DE13A2"/>
    <w:rsid w:val="00DF14E9"/>
    <w:rsid w:val="00E00A11"/>
    <w:rsid w:val="00E04AB5"/>
    <w:rsid w:val="00E07160"/>
    <w:rsid w:val="00E27A70"/>
    <w:rsid w:val="00E37609"/>
    <w:rsid w:val="00E40B09"/>
    <w:rsid w:val="00E44AEE"/>
    <w:rsid w:val="00E50EEA"/>
    <w:rsid w:val="00E52F58"/>
    <w:rsid w:val="00E535E2"/>
    <w:rsid w:val="00E53757"/>
    <w:rsid w:val="00E57842"/>
    <w:rsid w:val="00E67E4E"/>
    <w:rsid w:val="00E76A11"/>
    <w:rsid w:val="00EA4FD5"/>
    <w:rsid w:val="00EB2BDD"/>
    <w:rsid w:val="00EC26AA"/>
    <w:rsid w:val="00EC7EB3"/>
    <w:rsid w:val="00ED7A53"/>
    <w:rsid w:val="00EE05FF"/>
    <w:rsid w:val="00EE3EEE"/>
    <w:rsid w:val="00EE4273"/>
    <w:rsid w:val="00EF2B32"/>
    <w:rsid w:val="00EF6F1A"/>
    <w:rsid w:val="00F02004"/>
    <w:rsid w:val="00F042CB"/>
    <w:rsid w:val="00F04FF5"/>
    <w:rsid w:val="00F07A6D"/>
    <w:rsid w:val="00F214B0"/>
    <w:rsid w:val="00F24916"/>
    <w:rsid w:val="00F51118"/>
    <w:rsid w:val="00F569FD"/>
    <w:rsid w:val="00F56A05"/>
    <w:rsid w:val="00F731BF"/>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842</Words>
  <Characters>4382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2025-03-31T12:55:00Z</cp:lastPrinted>
  <dcterms:created xsi:type="dcterms:W3CDTF">2025-05-06T13:32:00Z</dcterms:created>
  <dcterms:modified xsi:type="dcterms:W3CDTF">2025-05-06T20:24:00Z</dcterms:modified>
</cp:coreProperties>
</file>