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737FFF13"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3203DD">
        <w:rPr>
          <w:rFonts w:ascii="Book Antiqua" w:eastAsia="Book Antiqua" w:hAnsi="Book Antiqua" w:cs="Book Antiqua"/>
          <w:b/>
          <w:sz w:val="52"/>
          <w:szCs w:val="52"/>
        </w:rPr>
        <w:t>602</w:t>
      </w:r>
    </w:p>
    <w:p w14:paraId="5BC0F4BD" w14:textId="6DBDBC84"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w:t>
      </w:r>
      <w:r w:rsidR="00B46572">
        <w:rPr>
          <w:rFonts w:ascii="Book Antiqua" w:eastAsia="Book Antiqua" w:hAnsi="Book Antiqua" w:cs="Book Antiqua"/>
          <w:b/>
          <w:sz w:val="28"/>
          <w:szCs w:val="28"/>
        </w:rPr>
        <w:t xml:space="preserve"> </w:t>
      </w:r>
      <w:r>
        <w:rPr>
          <w:rFonts w:ascii="Book Antiqua" w:eastAsia="Book Antiqua" w:hAnsi="Book Antiqua" w:cs="Book Antiqua"/>
          <w:b/>
          <w:sz w:val="28"/>
          <w:szCs w:val="28"/>
        </w:rPr>
        <w:t>POSITIVO</w:t>
      </w:r>
    </w:p>
    <w:p w14:paraId="1479D453" w14:textId="6C17255B" w:rsidR="003C593C" w:rsidRPr="00700566" w:rsidRDefault="0040682A" w:rsidP="003C593C">
      <w:pPr>
        <w:spacing w:line="360" w:lineRule="auto"/>
        <w:jc w:val="center"/>
        <w:rPr>
          <w:rFonts w:ascii="Book Antiqua" w:eastAsia="Book Antiqua" w:hAnsi="Book Antiqua" w:cs="Book Antiqua"/>
          <w:b/>
        </w:rPr>
      </w:pPr>
      <w:r>
        <w:rPr>
          <w:rFonts w:ascii="Book Antiqua" w:eastAsia="Book Antiqua" w:hAnsi="Book Antiqua" w:cs="Book Antiqua"/>
        </w:rPr>
        <w:t>9</w:t>
      </w:r>
      <w:r w:rsidR="003C593C" w:rsidRPr="00700566">
        <w:rPr>
          <w:rFonts w:ascii="Book Antiqua" w:eastAsia="Book Antiqua" w:hAnsi="Book Antiqua" w:cs="Book Antiqua"/>
        </w:rPr>
        <w:t xml:space="preserve"> de </w:t>
      </w:r>
      <w:r w:rsidR="003203DD">
        <w:rPr>
          <w:rFonts w:ascii="Book Antiqua" w:eastAsia="Book Antiqua" w:hAnsi="Book Antiqua" w:cs="Book Antiqua"/>
        </w:rPr>
        <w:t>octubre</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772923D1"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Núm. </w:t>
      </w:r>
      <w:r w:rsidR="003203DD">
        <w:rPr>
          <w:rFonts w:ascii="Book Antiqua" w:eastAsia="Book Antiqua" w:hAnsi="Book Antiqua" w:cs="Book Antiqua"/>
        </w:rPr>
        <w:t>602</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3F899AE7" w14:textId="3E345674" w:rsidR="00AD78B8" w:rsidRPr="00BD4DE6" w:rsidRDefault="00490F7A" w:rsidP="00AD78B8">
      <w:pPr>
        <w:jc w:val="both"/>
        <w:rPr>
          <w:rFonts w:ascii="Book Antiqua" w:eastAsia="Book Antiqua" w:hAnsi="Book Antiqua" w:cs="Book Antiqua"/>
          <w:bCs/>
          <w:lang w:val="es-PR"/>
        </w:rPr>
      </w:pPr>
      <w:r>
        <w:rPr>
          <w:rFonts w:ascii="Book Antiqua" w:eastAsia="Book Antiqua" w:hAnsi="Book Antiqua" w:cs="Book Antiqua"/>
          <w:lang w:val="es-ES"/>
        </w:rPr>
        <w:tab/>
      </w:r>
      <w:r w:rsidR="00590645" w:rsidRPr="00BD4DE6">
        <w:rPr>
          <w:rFonts w:ascii="Book Antiqua" w:eastAsia="Book Antiqua" w:hAnsi="Book Antiqua" w:cs="Book Antiqua"/>
          <w:lang w:val="es-PR"/>
        </w:rPr>
        <w:t>El Proyecto</w:t>
      </w:r>
      <w:r w:rsidRPr="00BD4DE6">
        <w:rPr>
          <w:rFonts w:ascii="Book Antiqua" w:eastAsia="Book Antiqua" w:hAnsi="Book Antiqua" w:cs="Book Antiqua"/>
          <w:bCs/>
          <w:lang w:val="es-PR"/>
        </w:rPr>
        <w:t xml:space="preserve"> de la Cámara </w:t>
      </w:r>
      <w:r w:rsidR="00D84021">
        <w:rPr>
          <w:rFonts w:ascii="Book Antiqua" w:eastAsia="Book Antiqua" w:hAnsi="Book Antiqua" w:cs="Book Antiqua"/>
          <w:bCs/>
          <w:lang w:val="es-PR"/>
        </w:rPr>
        <w:t>Núm. 602</w:t>
      </w:r>
      <w:r w:rsidR="00746DF8" w:rsidRPr="00BD4DE6">
        <w:rPr>
          <w:rFonts w:ascii="Book Antiqua" w:eastAsia="Book Antiqua" w:hAnsi="Book Antiqua" w:cs="Book Antiqua"/>
          <w:bCs/>
          <w:lang w:val="es-PR"/>
        </w:rPr>
        <w:t xml:space="preserve">, </w:t>
      </w:r>
      <w:r w:rsidR="00746DF8" w:rsidRPr="00BD4DE6">
        <w:rPr>
          <w:rFonts w:ascii="Book Antiqua" w:eastAsia="Book Antiqua" w:hAnsi="Book Antiqua" w:cs="Book Antiqua"/>
          <w:bCs/>
        </w:rPr>
        <w:t xml:space="preserve">tiene el propósito </w:t>
      </w:r>
      <w:r w:rsidR="00D75382" w:rsidRPr="00BD4DE6">
        <w:rPr>
          <w:rFonts w:ascii="Book Antiqua" w:eastAsia="Book Antiqua" w:hAnsi="Book Antiqua" w:cs="Book Antiqua"/>
          <w:bCs/>
        </w:rPr>
        <w:t xml:space="preserve">de </w:t>
      </w:r>
      <w:r w:rsidR="00E324CE" w:rsidRPr="00E324CE">
        <w:rPr>
          <w:rFonts w:ascii="Book Antiqua" w:hAnsi="Book Antiqua"/>
        </w:rPr>
        <w:t xml:space="preserve">conceder </w:t>
      </w:r>
      <w:r w:rsidR="00E324CE" w:rsidRPr="00E324CE">
        <w:rPr>
          <w:rFonts w:ascii="Book Antiqua" w:hAnsi="Book Antiqua"/>
          <w:szCs w:val="24"/>
        </w:rPr>
        <w:t xml:space="preserve">un incentivo que promueva el pago acelerado de multas expedidas, y así registradas, por falta de pago en las estaciones de Auto Expreso, por faltas administrativas relacionadas con derechos vencidos de permisos de vehículos de motor o arrastre (marbete) y por faltas administrativas, incluyendo los intereses, recargos y penalidades asociados a estas, en virtud de la Ley </w:t>
      </w:r>
      <w:r w:rsidR="00E16EDF">
        <w:rPr>
          <w:rFonts w:ascii="Book Antiqua" w:hAnsi="Book Antiqua"/>
          <w:szCs w:val="24"/>
        </w:rPr>
        <w:t xml:space="preserve">Núm. </w:t>
      </w:r>
      <w:r w:rsidR="00E324CE" w:rsidRPr="00E324CE">
        <w:rPr>
          <w:rFonts w:ascii="Book Antiqua" w:hAnsi="Book Antiqua"/>
          <w:szCs w:val="24"/>
        </w:rPr>
        <w:t xml:space="preserve">22-2000, según enmendada, conocida como “Ley de Vehículos y Tránsito de Puerto Rico”, </w:t>
      </w:r>
      <w:r w:rsidR="00E324CE" w:rsidRPr="00E324CE">
        <w:rPr>
          <w:rFonts w:ascii="Book Antiqua" w:hAnsi="Book Antiqua"/>
          <w:szCs w:val="24"/>
          <w:lang w:val="es-PR"/>
        </w:rPr>
        <w:t>conceder un descue</w:t>
      </w:r>
      <w:r w:rsidR="00BC0B1A">
        <w:rPr>
          <w:rFonts w:ascii="Book Antiqua" w:hAnsi="Book Antiqua"/>
          <w:szCs w:val="24"/>
          <w:lang w:val="es-PR"/>
        </w:rPr>
        <w:t>n</w:t>
      </w:r>
      <w:r w:rsidR="00E324CE" w:rsidRPr="00E324CE">
        <w:rPr>
          <w:rFonts w:ascii="Book Antiqua" w:hAnsi="Book Antiqua"/>
          <w:szCs w:val="24"/>
          <w:lang w:val="es-PR"/>
        </w:rPr>
        <w:t xml:space="preserve">to de cuarenta por ciento (40%) de la totalidad de la deuda, </w:t>
      </w:r>
      <w:r w:rsidR="00BC1AEB">
        <w:rPr>
          <w:rFonts w:ascii="Book Antiqua" w:hAnsi="Book Antiqua"/>
          <w:szCs w:val="24"/>
          <w:lang w:val="es-PR"/>
        </w:rPr>
        <w:t xml:space="preserve">incluyendo </w:t>
      </w:r>
      <w:r w:rsidR="00EE3D2E">
        <w:rPr>
          <w:rFonts w:ascii="Book Antiqua" w:hAnsi="Book Antiqua"/>
          <w:szCs w:val="24"/>
          <w:lang w:val="es-PR"/>
        </w:rPr>
        <w:t xml:space="preserve">principal, </w:t>
      </w:r>
      <w:r w:rsidR="00E324CE" w:rsidRPr="00E324CE">
        <w:rPr>
          <w:rFonts w:ascii="Book Antiqua" w:hAnsi="Book Antiqua"/>
          <w:szCs w:val="24"/>
          <w:lang w:val="es-PR"/>
        </w:rPr>
        <w:t>intereses, recargos y penalidades por concepto de dicha</w:t>
      </w:r>
      <w:r w:rsidR="0032353E">
        <w:rPr>
          <w:rFonts w:ascii="Book Antiqua" w:hAnsi="Book Antiqua"/>
          <w:szCs w:val="24"/>
          <w:lang w:val="es-PR"/>
        </w:rPr>
        <w:t>s</w:t>
      </w:r>
      <w:r w:rsidR="00E324CE" w:rsidRPr="00E324CE">
        <w:rPr>
          <w:rFonts w:ascii="Book Antiqua" w:hAnsi="Book Antiqua"/>
          <w:szCs w:val="24"/>
          <w:lang w:val="es-PR"/>
        </w:rPr>
        <w:t xml:space="preserve"> multa</w:t>
      </w:r>
      <w:r w:rsidR="0032353E">
        <w:rPr>
          <w:rFonts w:ascii="Book Antiqua" w:hAnsi="Book Antiqua"/>
          <w:szCs w:val="24"/>
          <w:lang w:val="es-PR"/>
        </w:rPr>
        <w:t>s</w:t>
      </w:r>
      <w:r w:rsidR="00514890">
        <w:rPr>
          <w:rFonts w:ascii="Book Antiqua" w:hAnsi="Book Antiqua"/>
          <w:lang w:val="es-PR"/>
        </w:rPr>
        <w:t>.</w:t>
      </w:r>
    </w:p>
    <w:p w14:paraId="73CC7D22" w14:textId="60316B95" w:rsidR="008C48C5" w:rsidRDefault="008C48C5" w:rsidP="00E91458">
      <w:pPr>
        <w:ind w:firstLine="720"/>
        <w:jc w:val="both"/>
        <w:rPr>
          <w:rFonts w:ascii="Book Antiqua" w:eastAsia="Book Antiqua" w:hAnsi="Book Antiqua" w:cs="Book Antiqua"/>
          <w:bCs/>
          <w:lang w:val="es-PR"/>
        </w:rPr>
      </w:pPr>
    </w:p>
    <w:p w14:paraId="05E0B97B" w14:textId="188D81A0" w:rsidR="00D151EE" w:rsidRPr="00D151EE" w:rsidRDefault="00D151EE" w:rsidP="00D151EE">
      <w:pPr>
        <w:ind w:firstLine="720"/>
        <w:jc w:val="both"/>
        <w:rPr>
          <w:rFonts w:ascii="Book Antiqua" w:eastAsia="Book Antiqua" w:hAnsi="Book Antiqua" w:cs="Book Antiqua"/>
          <w:bCs/>
          <w:lang w:val="es-PR"/>
        </w:rPr>
      </w:pPr>
      <w:r w:rsidRPr="00D151EE">
        <w:rPr>
          <w:rFonts w:ascii="Book Antiqua" w:eastAsia="Book Antiqua" w:hAnsi="Book Antiqua" w:cs="Book Antiqua"/>
          <w:bCs/>
          <w:lang w:val="es-PR"/>
        </w:rPr>
        <w:t xml:space="preserve">La </w:t>
      </w:r>
      <w:r w:rsidR="00516ECF">
        <w:rPr>
          <w:rFonts w:ascii="Book Antiqua" w:eastAsia="Book Antiqua" w:hAnsi="Book Antiqua" w:cs="Book Antiqua"/>
          <w:bCs/>
          <w:lang w:val="es-PR"/>
        </w:rPr>
        <w:t>e</w:t>
      </w:r>
      <w:r w:rsidRPr="00D151EE">
        <w:rPr>
          <w:rFonts w:ascii="Book Antiqua" w:eastAsia="Book Antiqua" w:hAnsi="Book Antiqua" w:cs="Book Antiqua"/>
          <w:bCs/>
          <w:lang w:val="es-PR"/>
        </w:rPr>
        <w:t xml:space="preserve">xposición de </w:t>
      </w:r>
      <w:r w:rsidR="00516ECF">
        <w:rPr>
          <w:rFonts w:ascii="Book Antiqua" w:eastAsia="Book Antiqua" w:hAnsi="Book Antiqua" w:cs="Book Antiqua"/>
          <w:bCs/>
          <w:lang w:val="es-PR"/>
        </w:rPr>
        <w:t>m</w:t>
      </w:r>
      <w:r w:rsidRPr="00D151EE">
        <w:rPr>
          <w:rFonts w:ascii="Book Antiqua" w:eastAsia="Book Antiqua" w:hAnsi="Book Antiqua" w:cs="Book Antiqua"/>
          <w:bCs/>
          <w:lang w:val="es-PR"/>
        </w:rPr>
        <w:t>otivos del Proyecto de la Cámara</w:t>
      </w:r>
      <w:r w:rsidR="00516ECF">
        <w:rPr>
          <w:rFonts w:ascii="Book Antiqua" w:eastAsia="Book Antiqua" w:hAnsi="Book Antiqua" w:cs="Book Antiqua"/>
          <w:bCs/>
          <w:lang w:val="es-PR"/>
        </w:rPr>
        <w:t xml:space="preserve"> Núm.</w:t>
      </w:r>
      <w:r w:rsidRPr="00D151EE">
        <w:rPr>
          <w:rFonts w:ascii="Book Antiqua" w:eastAsia="Book Antiqua" w:hAnsi="Book Antiqua" w:cs="Book Antiqua"/>
          <w:bCs/>
          <w:lang w:val="es-PR"/>
        </w:rPr>
        <w:t xml:space="preserve"> 602 establece que persisten problemas relacionados con el sistema de </w:t>
      </w:r>
      <w:proofErr w:type="spellStart"/>
      <w:r w:rsidRPr="00D151EE">
        <w:rPr>
          <w:rFonts w:ascii="Book Antiqua" w:eastAsia="Book Antiqua" w:hAnsi="Book Antiqua" w:cs="Book Antiqua"/>
          <w:bCs/>
          <w:lang w:val="es-PR"/>
        </w:rPr>
        <w:t>AutoExpreso</w:t>
      </w:r>
      <w:proofErr w:type="spellEnd"/>
      <w:r w:rsidRPr="00D151EE">
        <w:rPr>
          <w:rFonts w:ascii="Book Antiqua" w:eastAsia="Book Antiqua" w:hAnsi="Book Antiqua" w:cs="Book Antiqua"/>
          <w:bCs/>
          <w:lang w:val="es-PR"/>
        </w:rPr>
        <w:t>, particularmente en la acumulación de multas por falta de pago en las estaciones, los derechos vencidos de permisos de vehículos de motor o arrastre (marbetes), y las faltas administrativas contempladas en la Ley</w:t>
      </w:r>
      <w:r w:rsidR="00AA6B64">
        <w:rPr>
          <w:rFonts w:ascii="Book Antiqua" w:eastAsia="Book Antiqua" w:hAnsi="Book Antiqua" w:cs="Book Antiqua"/>
          <w:bCs/>
          <w:lang w:val="es-PR"/>
        </w:rPr>
        <w:t xml:space="preserve"> Núm.</w:t>
      </w:r>
      <w:r w:rsidRPr="00D151EE">
        <w:rPr>
          <w:rFonts w:ascii="Book Antiqua" w:eastAsia="Book Antiqua" w:hAnsi="Book Antiqua" w:cs="Book Antiqua"/>
          <w:bCs/>
          <w:lang w:val="es-PR"/>
        </w:rPr>
        <w:t xml:space="preserve"> 22-2000, según enmendada. Aunque en el 2015 se aprobó </w:t>
      </w:r>
      <w:r w:rsidRPr="00D151EE">
        <w:rPr>
          <w:rFonts w:ascii="Book Antiqua" w:eastAsia="Book Antiqua" w:hAnsi="Book Antiqua" w:cs="Book Antiqua"/>
          <w:bCs/>
          <w:lang w:val="es-PR"/>
        </w:rPr>
        <w:lastRenderedPageBreak/>
        <w:t>la Ley</w:t>
      </w:r>
      <w:r w:rsidR="00AA6B64">
        <w:rPr>
          <w:rFonts w:ascii="Book Antiqua" w:eastAsia="Book Antiqua" w:hAnsi="Book Antiqua" w:cs="Book Antiqua"/>
          <w:bCs/>
          <w:lang w:val="es-PR"/>
        </w:rPr>
        <w:t xml:space="preserve"> Núm.</w:t>
      </w:r>
      <w:r w:rsidRPr="00D151EE">
        <w:rPr>
          <w:rFonts w:ascii="Book Antiqua" w:eastAsia="Book Antiqua" w:hAnsi="Book Antiqua" w:cs="Book Antiqua"/>
          <w:bCs/>
          <w:lang w:val="es-PR"/>
        </w:rPr>
        <w:t xml:space="preserve"> 239</w:t>
      </w:r>
      <w:r w:rsidR="00AA6B64">
        <w:rPr>
          <w:rFonts w:ascii="Book Antiqua" w:eastAsia="Book Antiqua" w:hAnsi="Book Antiqua" w:cs="Book Antiqua"/>
          <w:bCs/>
          <w:lang w:val="es-PR"/>
        </w:rPr>
        <w:t>-2015</w:t>
      </w:r>
      <w:r w:rsidRPr="00D151EE">
        <w:rPr>
          <w:rFonts w:ascii="Book Antiqua" w:eastAsia="Book Antiqua" w:hAnsi="Book Antiqua" w:cs="Book Antiqua"/>
          <w:bCs/>
          <w:lang w:val="es-PR"/>
        </w:rPr>
        <w:t xml:space="preserve"> con el fin de atender estas dificultades, las quejas ciudadanas no han cesado, especialmente en torno a errores en procesos de multas y la facilidad con que se acumulan cargos adicionales.</w:t>
      </w:r>
    </w:p>
    <w:p w14:paraId="19385776" w14:textId="77777777" w:rsidR="00D151EE" w:rsidRPr="00D151EE" w:rsidRDefault="00D151EE" w:rsidP="00D151EE">
      <w:pPr>
        <w:ind w:firstLine="720"/>
        <w:jc w:val="both"/>
        <w:rPr>
          <w:rFonts w:ascii="Book Antiqua" w:eastAsia="Book Antiqua" w:hAnsi="Book Antiqua" w:cs="Book Antiqua"/>
          <w:bCs/>
          <w:lang w:val="es-PR"/>
        </w:rPr>
      </w:pPr>
    </w:p>
    <w:p w14:paraId="2180110D" w14:textId="77777777" w:rsidR="00D151EE" w:rsidRPr="00D151EE" w:rsidRDefault="00D151EE" w:rsidP="00D151EE">
      <w:pPr>
        <w:ind w:firstLine="720"/>
        <w:jc w:val="both"/>
        <w:rPr>
          <w:rFonts w:ascii="Book Antiqua" w:eastAsia="Book Antiqua" w:hAnsi="Book Antiqua" w:cs="Book Antiqua"/>
          <w:bCs/>
          <w:lang w:val="es-PR"/>
        </w:rPr>
      </w:pPr>
      <w:r w:rsidRPr="00D151EE">
        <w:rPr>
          <w:rFonts w:ascii="Book Antiqua" w:eastAsia="Book Antiqua" w:hAnsi="Book Antiqua" w:cs="Book Antiqua"/>
          <w:bCs/>
          <w:lang w:val="es-PR"/>
        </w:rPr>
        <w:t xml:space="preserve">La medida reconoce que la transición hacia un sistema digital de evidencia de pago de marbetes ha generado complicaciones adicionales para los conductores y que estas situaciones deben atenderse con sensibilidad, diligencia y justicia para los ciudadanos. Se resalta que, por dinámicas de recarga y balance del sistema de </w:t>
      </w:r>
      <w:proofErr w:type="spellStart"/>
      <w:r w:rsidRPr="00D151EE">
        <w:rPr>
          <w:rFonts w:ascii="Book Antiqua" w:eastAsia="Book Antiqua" w:hAnsi="Book Antiqua" w:cs="Book Antiqua"/>
          <w:bCs/>
          <w:lang w:val="es-PR"/>
        </w:rPr>
        <w:t>AutoExpreso</w:t>
      </w:r>
      <w:proofErr w:type="spellEnd"/>
      <w:r w:rsidRPr="00D151EE">
        <w:rPr>
          <w:rFonts w:ascii="Book Antiqua" w:eastAsia="Book Antiqua" w:hAnsi="Book Antiqua" w:cs="Book Antiqua"/>
          <w:bCs/>
          <w:lang w:val="es-PR"/>
        </w:rPr>
        <w:t>, los usuarios enfrentan condiciones onerosas que afectan su capacidad de cumplimiento.</w:t>
      </w:r>
    </w:p>
    <w:p w14:paraId="491AE8A1" w14:textId="77777777" w:rsidR="00D151EE" w:rsidRPr="00D151EE" w:rsidRDefault="00D151EE" w:rsidP="00D151EE">
      <w:pPr>
        <w:ind w:firstLine="720"/>
        <w:jc w:val="both"/>
        <w:rPr>
          <w:rFonts w:ascii="Book Antiqua" w:eastAsia="Book Antiqua" w:hAnsi="Book Antiqua" w:cs="Book Antiqua"/>
          <w:bCs/>
          <w:lang w:val="es-PR"/>
        </w:rPr>
      </w:pPr>
    </w:p>
    <w:p w14:paraId="285B3837" w14:textId="77777777" w:rsidR="00D151EE" w:rsidRPr="00D151EE" w:rsidRDefault="00D151EE" w:rsidP="00D151EE">
      <w:pPr>
        <w:ind w:firstLine="720"/>
        <w:jc w:val="both"/>
        <w:rPr>
          <w:rFonts w:ascii="Book Antiqua" w:eastAsia="Book Antiqua" w:hAnsi="Book Antiqua" w:cs="Book Antiqua"/>
          <w:bCs/>
          <w:lang w:val="es-PR"/>
        </w:rPr>
      </w:pPr>
      <w:r w:rsidRPr="00D151EE">
        <w:rPr>
          <w:rFonts w:ascii="Book Antiqua" w:eastAsia="Book Antiqua" w:hAnsi="Book Antiqua" w:cs="Book Antiqua"/>
          <w:bCs/>
          <w:lang w:val="es-PR"/>
        </w:rPr>
        <w:t>Al mismo tiempo, se justifica la aprobación del proyecto porque en el pasado, mecanismos de incentivos similares resultaron exitosos. En particular, se recuerda la experiencia del 2016, cuando un programa de descuento de multas obtuvo resultados positivos al permitir el pago acelerado de deudas y aliviar cargas económicas a los ciudadanos, a la vez que se fortalecieron los recaudos del Estado.</w:t>
      </w:r>
    </w:p>
    <w:p w14:paraId="4E8853A5" w14:textId="77777777" w:rsidR="00D151EE" w:rsidRPr="00D151EE" w:rsidRDefault="00D151EE" w:rsidP="00D151EE">
      <w:pPr>
        <w:ind w:firstLine="720"/>
        <w:jc w:val="both"/>
        <w:rPr>
          <w:rFonts w:ascii="Book Antiqua" w:eastAsia="Book Antiqua" w:hAnsi="Book Antiqua" w:cs="Book Antiqua"/>
          <w:bCs/>
          <w:lang w:val="es-PR"/>
        </w:rPr>
      </w:pPr>
    </w:p>
    <w:p w14:paraId="5EFDCD96" w14:textId="0D19E192" w:rsidR="00D151EE" w:rsidRPr="00D151EE" w:rsidRDefault="00D151EE" w:rsidP="00D151EE">
      <w:pPr>
        <w:ind w:firstLine="720"/>
        <w:jc w:val="both"/>
        <w:rPr>
          <w:rFonts w:ascii="Book Antiqua" w:eastAsia="Book Antiqua" w:hAnsi="Book Antiqua" w:cs="Book Antiqua"/>
          <w:bCs/>
          <w:lang w:val="es-PR"/>
        </w:rPr>
      </w:pPr>
      <w:r w:rsidRPr="00D151EE">
        <w:rPr>
          <w:rFonts w:ascii="Book Antiqua" w:eastAsia="Book Antiqua" w:hAnsi="Book Antiqua" w:cs="Book Antiqua"/>
          <w:bCs/>
          <w:lang w:val="es-PR"/>
        </w:rPr>
        <w:t xml:space="preserve">En este contexto, la </w:t>
      </w:r>
      <w:r w:rsidR="00AC5253">
        <w:rPr>
          <w:rFonts w:ascii="Book Antiqua" w:eastAsia="Book Antiqua" w:hAnsi="Book Antiqua" w:cs="Book Antiqua"/>
          <w:bCs/>
          <w:lang w:val="es-PR"/>
        </w:rPr>
        <w:t>e</w:t>
      </w:r>
      <w:r w:rsidRPr="00D151EE">
        <w:rPr>
          <w:rFonts w:ascii="Book Antiqua" w:eastAsia="Book Antiqua" w:hAnsi="Book Antiqua" w:cs="Book Antiqua"/>
          <w:bCs/>
          <w:lang w:val="es-PR"/>
        </w:rPr>
        <w:t xml:space="preserve">xposición de </w:t>
      </w:r>
      <w:r w:rsidR="00AC5253">
        <w:rPr>
          <w:rFonts w:ascii="Book Antiqua" w:eastAsia="Book Antiqua" w:hAnsi="Book Antiqua" w:cs="Book Antiqua"/>
          <w:bCs/>
          <w:lang w:val="es-PR"/>
        </w:rPr>
        <w:t>m</w:t>
      </w:r>
      <w:r w:rsidRPr="00D151EE">
        <w:rPr>
          <w:rFonts w:ascii="Book Antiqua" w:eastAsia="Book Antiqua" w:hAnsi="Book Antiqua" w:cs="Book Antiqua"/>
          <w:bCs/>
          <w:lang w:val="es-PR"/>
        </w:rPr>
        <w:t xml:space="preserve">otivos plantea que el P. de la C. </w:t>
      </w:r>
      <w:r w:rsidR="00AC5253">
        <w:rPr>
          <w:rFonts w:ascii="Book Antiqua" w:eastAsia="Book Antiqua" w:hAnsi="Book Antiqua" w:cs="Book Antiqua"/>
          <w:bCs/>
          <w:lang w:val="es-PR"/>
        </w:rPr>
        <w:t xml:space="preserve">Núm. </w:t>
      </w:r>
      <w:r w:rsidRPr="00D151EE">
        <w:rPr>
          <w:rFonts w:ascii="Book Antiqua" w:eastAsia="Book Antiqua" w:hAnsi="Book Antiqua" w:cs="Book Antiqua"/>
          <w:bCs/>
          <w:lang w:val="es-PR"/>
        </w:rPr>
        <w:t>602 es una medida necesaria que atiende un reclamo recurrente de la ciudadanía y busca balancear el interés público: aliviar la carga económica de los conductores mediante un mecanismo de descuento y, a la vez, garantizar que el Estado reciba los fondos necesarios para el financiamiento, construcción y mantenimiento de la infraestructura vial del país.</w:t>
      </w:r>
    </w:p>
    <w:p w14:paraId="099905C1" w14:textId="77777777" w:rsidR="00BD4DE6" w:rsidRPr="008C48C5" w:rsidRDefault="00BD4DE6" w:rsidP="00E91458">
      <w:pPr>
        <w:ind w:firstLine="720"/>
        <w:jc w:val="both"/>
        <w:rPr>
          <w:rFonts w:ascii="Book Antiqua" w:eastAsia="Book Antiqua" w:hAnsi="Book Antiqua" w:cs="Book Antiqua"/>
          <w:bCs/>
          <w:lang w:val="es-PR"/>
        </w:rPr>
      </w:pP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0D9B4267" w14:textId="4C0DFAB3" w:rsidR="003C593C" w:rsidRDefault="003C593C" w:rsidP="003C593C">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w:t>
      </w:r>
      <w:r w:rsidR="00E91458">
        <w:rPr>
          <w:rFonts w:ascii="Book Antiqua" w:eastAsia="Book Antiqua" w:hAnsi="Book Antiqua" w:cs="Book Antiqua"/>
        </w:rPr>
        <w:t>l Proyecto</w:t>
      </w:r>
      <w:r w:rsidRPr="00523B9F">
        <w:rPr>
          <w:rFonts w:ascii="Book Antiqua" w:eastAsia="Book Antiqua" w:hAnsi="Book Antiqua" w:cs="Book Antiqua"/>
        </w:rPr>
        <w:t xml:space="preserve"> de</w:t>
      </w:r>
      <w:r>
        <w:rPr>
          <w:rFonts w:ascii="Book Antiqua" w:eastAsia="Book Antiqua" w:hAnsi="Book Antiqua" w:cs="Book Antiqua"/>
        </w:rPr>
        <w:t xml:space="preserve"> </w:t>
      </w:r>
      <w:r w:rsidRPr="00523B9F">
        <w:rPr>
          <w:rFonts w:ascii="Book Antiqua" w:eastAsia="Book Antiqua" w:hAnsi="Book Antiqua" w:cs="Book Antiqua"/>
        </w:rPr>
        <w:t>l</w:t>
      </w:r>
      <w:r>
        <w:rPr>
          <w:rFonts w:ascii="Book Antiqua" w:eastAsia="Book Antiqua" w:hAnsi="Book Antiqua" w:cs="Book Antiqua"/>
        </w:rPr>
        <w:t>a</w:t>
      </w:r>
      <w:r w:rsidRPr="00523B9F">
        <w:rPr>
          <w:rFonts w:ascii="Book Antiqua" w:eastAsia="Book Antiqua" w:hAnsi="Book Antiqua" w:cs="Book Antiqua"/>
        </w:rPr>
        <w:t xml:space="preserve"> </w:t>
      </w:r>
      <w:r>
        <w:rPr>
          <w:rFonts w:ascii="Book Antiqua" w:eastAsia="Book Antiqua" w:hAnsi="Book Antiqua" w:cs="Book Antiqua"/>
        </w:rPr>
        <w:t>Cámara</w:t>
      </w:r>
      <w:r w:rsidRPr="00523B9F">
        <w:rPr>
          <w:rFonts w:ascii="Book Antiqua" w:eastAsia="Book Antiqua" w:hAnsi="Book Antiqua" w:cs="Book Antiqua"/>
        </w:rPr>
        <w:t xml:space="preserve"> Núm. </w:t>
      </w:r>
      <w:r w:rsidR="004E493B">
        <w:rPr>
          <w:rFonts w:ascii="Book Antiqua" w:eastAsia="Book Antiqua" w:hAnsi="Book Antiqua" w:cs="Book Antiqua"/>
        </w:rPr>
        <w:t>602</w:t>
      </w:r>
      <w:r>
        <w:rPr>
          <w:rFonts w:ascii="Book Antiqua" w:eastAsia="Book Antiqua" w:hAnsi="Book Antiqua" w:cs="Book Antiqua"/>
        </w:rPr>
        <w:t xml:space="preserve"> </w:t>
      </w:r>
      <w:r w:rsidR="004E493B">
        <w:rPr>
          <w:rFonts w:ascii="Book Antiqua" w:eastAsia="Book Antiqua" w:hAnsi="Book Antiqua" w:cs="Book Antiqua"/>
        </w:rPr>
        <w:t>re</w:t>
      </w:r>
      <w:r w:rsidR="00E1355F">
        <w:rPr>
          <w:rFonts w:ascii="Book Antiqua" w:eastAsia="Book Antiqua" w:hAnsi="Book Antiqua" w:cs="Book Antiqua"/>
        </w:rPr>
        <w:t>aliz</w:t>
      </w:r>
      <w:r w:rsidR="00541AAC">
        <w:rPr>
          <w:rFonts w:ascii="Book Antiqua" w:eastAsia="Book Antiqua" w:hAnsi="Book Antiqua" w:cs="Book Antiqua"/>
        </w:rPr>
        <w:t>ó</w:t>
      </w:r>
      <w:r w:rsidR="00E1355F">
        <w:rPr>
          <w:rFonts w:ascii="Book Antiqua" w:eastAsia="Book Antiqua" w:hAnsi="Book Antiqua" w:cs="Book Antiqua"/>
        </w:rPr>
        <w:t xml:space="preserve"> una vista p</w:t>
      </w:r>
      <w:r w:rsidR="00161938">
        <w:rPr>
          <w:rFonts w:ascii="Book Antiqua" w:eastAsia="Book Antiqua" w:hAnsi="Book Antiqua" w:cs="Book Antiqua"/>
        </w:rPr>
        <w:t>ú</w:t>
      </w:r>
      <w:r w:rsidR="00E1355F">
        <w:rPr>
          <w:rFonts w:ascii="Book Antiqua" w:eastAsia="Book Antiqua" w:hAnsi="Book Antiqua" w:cs="Book Antiqua"/>
        </w:rPr>
        <w:t xml:space="preserve">blica el pasado </w:t>
      </w:r>
      <w:r w:rsidR="00801D73">
        <w:rPr>
          <w:rFonts w:ascii="Book Antiqua" w:eastAsia="Book Antiqua" w:hAnsi="Book Antiqua" w:cs="Book Antiqua"/>
        </w:rPr>
        <w:t>15 de mayo</w:t>
      </w:r>
      <w:r w:rsidR="00161938">
        <w:rPr>
          <w:rFonts w:ascii="Book Antiqua" w:eastAsia="Book Antiqua" w:hAnsi="Book Antiqua" w:cs="Book Antiqua"/>
        </w:rPr>
        <w:t xml:space="preserve"> de 2025 en donde participaron las siguientes </w:t>
      </w:r>
      <w:r w:rsidR="00C41351">
        <w:rPr>
          <w:rFonts w:ascii="Book Antiqua" w:eastAsia="Book Antiqua" w:hAnsi="Book Antiqua" w:cs="Book Antiqua"/>
        </w:rPr>
        <w:t>agencias gubernamentales;</w:t>
      </w:r>
      <w:r w:rsidR="002626D8">
        <w:rPr>
          <w:rFonts w:ascii="Book Antiqua" w:eastAsia="Book Antiqua" w:hAnsi="Book Antiqua" w:cs="Book Antiqua"/>
        </w:rPr>
        <w:t xml:space="preserve"> </w:t>
      </w:r>
      <w:bookmarkStart w:id="0" w:name="_Hlk210389821"/>
      <w:r w:rsidR="0033480C">
        <w:rPr>
          <w:rFonts w:ascii="Book Antiqua" w:eastAsia="Book Antiqua" w:hAnsi="Book Antiqua" w:cs="Book Antiqua"/>
        </w:rPr>
        <w:t>Departamento de Transportación y Obras Públicas</w:t>
      </w:r>
      <w:r w:rsidR="00B118EC">
        <w:rPr>
          <w:rFonts w:ascii="Book Antiqua" w:eastAsia="Book Antiqua" w:hAnsi="Book Antiqua" w:cs="Book Antiqua"/>
        </w:rPr>
        <w:t xml:space="preserve"> (DTOP)</w:t>
      </w:r>
      <w:bookmarkEnd w:id="0"/>
      <w:r w:rsidR="00D246B1">
        <w:rPr>
          <w:rFonts w:ascii="Book Antiqua" w:eastAsia="Book Antiqua" w:hAnsi="Book Antiqua" w:cs="Book Antiqua"/>
        </w:rPr>
        <w:t xml:space="preserve"> y </w:t>
      </w:r>
      <w:bookmarkStart w:id="1" w:name="_Hlk210389895"/>
      <w:r w:rsidR="00A7614C">
        <w:rPr>
          <w:rFonts w:ascii="Book Antiqua" w:eastAsia="Book Antiqua" w:hAnsi="Book Antiqua" w:cs="Book Antiqua"/>
        </w:rPr>
        <w:t xml:space="preserve">Autoridad de </w:t>
      </w:r>
      <w:r w:rsidR="00E76C95">
        <w:rPr>
          <w:rFonts w:ascii="Book Antiqua" w:eastAsia="Book Antiqua" w:hAnsi="Book Antiqua" w:cs="Book Antiqua"/>
        </w:rPr>
        <w:t>Asesoría</w:t>
      </w:r>
      <w:r w:rsidR="00A7614C">
        <w:rPr>
          <w:rFonts w:ascii="Book Antiqua" w:eastAsia="Book Antiqua" w:hAnsi="Book Antiqua" w:cs="Book Antiqua"/>
        </w:rPr>
        <w:t xml:space="preserve"> Financiera y Agencia Fiscal de Puerto Rico (</w:t>
      </w:r>
      <w:r w:rsidR="00BA1D1A">
        <w:rPr>
          <w:rFonts w:ascii="Book Antiqua" w:eastAsia="Book Antiqua" w:hAnsi="Book Antiqua" w:cs="Book Antiqua"/>
        </w:rPr>
        <w:t>AAFAF)</w:t>
      </w:r>
      <w:bookmarkEnd w:id="1"/>
      <w:r w:rsidR="009C6874">
        <w:rPr>
          <w:rFonts w:ascii="Book Antiqua" w:eastAsia="Book Antiqua" w:hAnsi="Book Antiqua" w:cs="Book Antiqua"/>
        </w:rPr>
        <w:t xml:space="preserve">, </w:t>
      </w:r>
      <w:bookmarkStart w:id="2" w:name="_Hlk210390179"/>
      <w:bookmarkStart w:id="3" w:name="_Hlk210390053"/>
      <w:r w:rsidR="009C6874">
        <w:rPr>
          <w:rFonts w:ascii="Book Antiqua" w:eastAsia="Book Antiqua" w:hAnsi="Book Antiqua" w:cs="Book Antiqua"/>
        </w:rPr>
        <w:t>De</w:t>
      </w:r>
      <w:r w:rsidR="00DA0BBF">
        <w:rPr>
          <w:rFonts w:ascii="Book Antiqua" w:eastAsia="Book Antiqua" w:hAnsi="Book Antiqua" w:cs="Book Antiqua"/>
        </w:rPr>
        <w:t>partamento de Hacienda</w:t>
      </w:r>
      <w:bookmarkEnd w:id="2"/>
      <w:r w:rsidR="00DA0BBF">
        <w:rPr>
          <w:rFonts w:ascii="Book Antiqua" w:eastAsia="Book Antiqua" w:hAnsi="Book Antiqua" w:cs="Book Antiqua"/>
        </w:rPr>
        <w:t xml:space="preserve">, Oficina de Gerencia y Presupuesto (OGP) </w:t>
      </w:r>
      <w:bookmarkEnd w:id="3"/>
      <w:r w:rsidR="00DA0BBF">
        <w:rPr>
          <w:rFonts w:ascii="Book Antiqua" w:eastAsia="Book Antiqua" w:hAnsi="Book Antiqua" w:cs="Book Antiqua"/>
        </w:rPr>
        <w:t xml:space="preserve">y </w:t>
      </w:r>
      <w:proofErr w:type="spellStart"/>
      <w:r w:rsidR="00DA0BBF">
        <w:rPr>
          <w:rFonts w:ascii="Book Antiqua" w:eastAsia="Book Antiqua" w:hAnsi="Book Antiqua" w:cs="Book Antiqua"/>
        </w:rPr>
        <w:t>Metropistas</w:t>
      </w:r>
      <w:proofErr w:type="spellEnd"/>
      <w:r>
        <w:rPr>
          <w:rFonts w:ascii="Book Antiqua" w:eastAsia="Book Antiqua" w:hAnsi="Book Antiqua" w:cs="Book Antiqua"/>
        </w:rPr>
        <w:t xml:space="preserve">. </w:t>
      </w:r>
    </w:p>
    <w:p w14:paraId="184F188D" w14:textId="77777777" w:rsidR="003C593C" w:rsidRPr="00500BFE" w:rsidRDefault="003C593C" w:rsidP="003C593C">
      <w:pPr>
        <w:ind w:firstLine="720"/>
        <w:jc w:val="both"/>
        <w:rPr>
          <w:rFonts w:ascii="Book Antiqua" w:eastAsia="Book Antiqua" w:hAnsi="Book Antiqua" w:cs="Book Antiqua"/>
        </w:rPr>
      </w:pPr>
    </w:p>
    <w:p w14:paraId="13F1C0C5" w14:textId="1FAEE67B" w:rsidR="00B118EC" w:rsidRDefault="00F024AB" w:rsidP="00937868">
      <w:pPr>
        <w:jc w:val="center"/>
        <w:rPr>
          <w:rFonts w:ascii="Book Antiqua" w:eastAsia="Book Antiqua" w:hAnsi="Book Antiqua" w:cs="Book Antiqua"/>
          <w:b/>
          <w:bCs/>
          <w:u w:val="single"/>
        </w:rPr>
      </w:pPr>
      <w:r w:rsidRPr="00F024AB">
        <w:rPr>
          <w:rFonts w:ascii="Book Antiqua" w:eastAsia="Book Antiqua" w:hAnsi="Book Antiqua" w:cs="Book Antiqua"/>
          <w:b/>
          <w:bCs/>
          <w:u w:val="single"/>
        </w:rPr>
        <w:t>Departamento de Transportación y Obras Públicas (DTOP)</w:t>
      </w:r>
    </w:p>
    <w:p w14:paraId="047B4794" w14:textId="77777777" w:rsidR="00B118EC" w:rsidRDefault="00B118EC" w:rsidP="00937868">
      <w:pPr>
        <w:jc w:val="center"/>
        <w:rPr>
          <w:rFonts w:ascii="Book Antiqua" w:eastAsia="Book Antiqua" w:hAnsi="Book Antiqua" w:cs="Book Antiqua"/>
          <w:b/>
          <w:bCs/>
          <w:u w:val="single"/>
        </w:rPr>
      </w:pPr>
    </w:p>
    <w:p w14:paraId="52071D25" w14:textId="0D11B4F5" w:rsidR="00F53C60" w:rsidRPr="00F53C60" w:rsidRDefault="00B118EC" w:rsidP="00F53C60">
      <w:pPr>
        <w:jc w:val="both"/>
        <w:rPr>
          <w:rFonts w:ascii="Book Antiqua" w:eastAsia="Book Antiqua" w:hAnsi="Book Antiqua" w:cs="Book Antiqua"/>
          <w:lang w:val="es-PR"/>
        </w:rPr>
      </w:pPr>
      <w:r>
        <w:rPr>
          <w:rFonts w:ascii="Book Antiqua" w:eastAsia="Book Antiqua" w:hAnsi="Book Antiqua" w:cs="Book Antiqua"/>
        </w:rPr>
        <w:tab/>
      </w:r>
      <w:r w:rsidR="00F53C60" w:rsidRPr="00F53C60">
        <w:rPr>
          <w:rFonts w:ascii="Book Antiqua" w:eastAsia="Book Antiqua" w:hAnsi="Book Antiqua" w:cs="Book Antiqua"/>
          <w:lang w:val="es-PR"/>
        </w:rPr>
        <w:t>El DTOP favorece la aprobación del proyecto, pero plantea varias observaciones. Primero, solicita que se clarifique el lenguaje en cuanto al por</w:t>
      </w:r>
      <w:r w:rsidR="00533BBD">
        <w:rPr>
          <w:rFonts w:ascii="Book Antiqua" w:eastAsia="Book Antiqua" w:hAnsi="Book Antiqua" w:cs="Book Antiqua"/>
          <w:lang w:val="es-PR"/>
        </w:rPr>
        <w:t xml:space="preserve"> </w:t>
      </w:r>
      <w:r w:rsidR="00F53C60" w:rsidRPr="00F53C60">
        <w:rPr>
          <w:rFonts w:ascii="Book Antiqua" w:eastAsia="Book Antiqua" w:hAnsi="Book Antiqua" w:cs="Book Antiqua"/>
          <w:lang w:val="es-PR"/>
        </w:rPr>
        <w:t xml:space="preserve">ciento de descuento que aplicará al monto total de las multas, ya que el texto solo menciona expresamente los intereses, recargos y penalidades. Además, resalta que las multas de </w:t>
      </w:r>
      <w:proofErr w:type="spellStart"/>
      <w:r w:rsidR="00F53C60" w:rsidRPr="00F53C60">
        <w:rPr>
          <w:rFonts w:ascii="Book Antiqua" w:eastAsia="Book Antiqua" w:hAnsi="Book Antiqua" w:cs="Book Antiqua"/>
          <w:lang w:val="es-PR"/>
        </w:rPr>
        <w:t>AutoExpreso</w:t>
      </w:r>
      <w:proofErr w:type="spellEnd"/>
      <w:r w:rsidR="00F53C60" w:rsidRPr="00F53C60">
        <w:rPr>
          <w:rFonts w:ascii="Book Antiqua" w:eastAsia="Book Antiqua" w:hAnsi="Book Antiqua" w:cs="Book Antiqua"/>
          <w:lang w:val="es-PR"/>
        </w:rPr>
        <w:t xml:space="preserve"> emitidas antes de abril de 2022 pueden acogerse al descuento, pero se debe precisar que cualquier plan de pago incluirá la totalidad de los peajes adeudados.</w:t>
      </w:r>
    </w:p>
    <w:p w14:paraId="75F5EDC1" w14:textId="77777777" w:rsidR="00F53C60" w:rsidRPr="00F53C60" w:rsidRDefault="00F53C60" w:rsidP="00F53C60">
      <w:pPr>
        <w:jc w:val="both"/>
        <w:rPr>
          <w:rFonts w:ascii="Book Antiqua" w:eastAsia="Book Antiqua" w:hAnsi="Book Antiqua" w:cs="Book Antiqua"/>
          <w:lang w:val="es-PR"/>
        </w:rPr>
      </w:pPr>
    </w:p>
    <w:p w14:paraId="76AEF2BB" w14:textId="77777777" w:rsidR="00F53C60" w:rsidRPr="00F53C60" w:rsidRDefault="00F53C60" w:rsidP="00F53C60">
      <w:pPr>
        <w:ind w:firstLine="720"/>
        <w:jc w:val="both"/>
        <w:rPr>
          <w:rFonts w:ascii="Book Antiqua" w:eastAsia="Book Antiqua" w:hAnsi="Book Antiqua" w:cs="Book Antiqua"/>
          <w:lang w:val="es-PR"/>
        </w:rPr>
      </w:pPr>
      <w:r w:rsidRPr="00F53C60">
        <w:rPr>
          <w:rFonts w:ascii="Book Antiqua" w:eastAsia="Book Antiqua" w:hAnsi="Book Antiqua" w:cs="Book Antiqua"/>
          <w:lang w:val="es-PR"/>
        </w:rPr>
        <w:t xml:space="preserve">El memorial también enfatiza que el DTOP no tiene jurisdicción sobre las multas de tránsito municipales, por lo que recomienda que el Departamento de Hacienda opine </w:t>
      </w:r>
      <w:r w:rsidRPr="00F53C60">
        <w:rPr>
          <w:rFonts w:ascii="Book Antiqua" w:eastAsia="Book Antiqua" w:hAnsi="Book Antiqua" w:cs="Book Antiqua"/>
          <w:lang w:val="es-PR"/>
        </w:rPr>
        <w:lastRenderedPageBreak/>
        <w:t>sobre la viabilidad de incluirlas. Finalmente, el DTOP sugiere aclarar la duración del beneficio, recomendando que el periodo para solicitar el descuento sea de 90 días a partir de la vigencia del reglamento que ordena la medida.</w:t>
      </w:r>
    </w:p>
    <w:p w14:paraId="30A2E63F" w14:textId="77777777" w:rsidR="00F53C60" w:rsidRPr="00F53C60" w:rsidRDefault="00F53C60" w:rsidP="00F53C60">
      <w:pPr>
        <w:jc w:val="both"/>
        <w:rPr>
          <w:rFonts w:ascii="Book Antiqua" w:eastAsia="Book Antiqua" w:hAnsi="Book Antiqua" w:cs="Book Antiqua"/>
          <w:lang w:val="es-PR"/>
        </w:rPr>
      </w:pPr>
    </w:p>
    <w:p w14:paraId="7467D188" w14:textId="77777777" w:rsidR="00F53C60" w:rsidRPr="00F53C60" w:rsidRDefault="00F53C60" w:rsidP="00F53C60">
      <w:pPr>
        <w:ind w:firstLine="720"/>
        <w:jc w:val="both"/>
        <w:rPr>
          <w:rFonts w:ascii="Book Antiqua" w:eastAsia="Book Antiqua" w:hAnsi="Book Antiqua" w:cs="Book Antiqua"/>
          <w:lang w:val="es-PR"/>
        </w:rPr>
      </w:pPr>
      <w:r w:rsidRPr="00F53C60">
        <w:rPr>
          <w:rFonts w:ascii="Book Antiqua" w:eastAsia="Book Antiqua" w:hAnsi="Book Antiqua" w:cs="Book Antiqua"/>
          <w:lang w:val="es-PR"/>
        </w:rPr>
        <w:t>En conclusión, el Departamento apoya la aprobación del proyecto siempre que se incorporen sus recomendaciones para garantizar claridad en el alcance y una implementación efectiva.</w:t>
      </w:r>
    </w:p>
    <w:p w14:paraId="54A58D81" w14:textId="4DDE35A8" w:rsidR="008051CE" w:rsidRDefault="008051CE" w:rsidP="00F024AB">
      <w:pPr>
        <w:jc w:val="both"/>
        <w:rPr>
          <w:rFonts w:ascii="Book Antiqua" w:eastAsia="Book Antiqua" w:hAnsi="Book Antiqua" w:cs="Book Antiqua"/>
          <w:lang w:val="es-PR"/>
        </w:rPr>
      </w:pPr>
    </w:p>
    <w:p w14:paraId="3FC605AF" w14:textId="01172FAA" w:rsidR="006C6043" w:rsidRPr="006C6043" w:rsidRDefault="006C6043" w:rsidP="006C6043">
      <w:pPr>
        <w:jc w:val="center"/>
        <w:rPr>
          <w:rFonts w:ascii="Book Antiqua" w:eastAsia="Book Antiqua" w:hAnsi="Book Antiqua" w:cs="Book Antiqua"/>
          <w:b/>
          <w:bCs/>
          <w:u w:val="single"/>
          <w:lang w:val="es-PR"/>
        </w:rPr>
      </w:pPr>
      <w:r w:rsidRPr="006C6043">
        <w:rPr>
          <w:rFonts w:ascii="Book Antiqua" w:eastAsia="Book Antiqua" w:hAnsi="Book Antiqua" w:cs="Book Antiqua"/>
          <w:b/>
          <w:bCs/>
          <w:u w:val="single"/>
        </w:rPr>
        <w:t>Oficina de Gerencia y Presupuesto (OGP)</w:t>
      </w:r>
    </w:p>
    <w:p w14:paraId="1C4D536F" w14:textId="77777777" w:rsidR="006C6043" w:rsidRDefault="006C6043" w:rsidP="00740A3C">
      <w:pPr>
        <w:jc w:val="both"/>
        <w:rPr>
          <w:rFonts w:ascii="Book Antiqua" w:eastAsia="Book Antiqua" w:hAnsi="Book Antiqua" w:cs="Book Antiqua"/>
          <w:lang w:val="es-PR"/>
        </w:rPr>
      </w:pPr>
    </w:p>
    <w:p w14:paraId="51CB48D3" w14:textId="055184BC" w:rsidR="00740A3C" w:rsidRPr="00740A3C" w:rsidRDefault="00740A3C" w:rsidP="006C6043">
      <w:pPr>
        <w:ind w:firstLine="720"/>
        <w:jc w:val="both"/>
        <w:rPr>
          <w:rFonts w:ascii="Book Antiqua" w:eastAsia="Book Antiqua" w:hAnsi="Book Antiqua" w:cs="Book Antiqua"/>
          <w:lang w:val="es-PR"/>
        </w:rPr>
      </w:pPr>
      <w:r w:rsidRPr="00740A3C">
        <w:rPr>
          <w:rFonts w:ascii="Book Antiqua" w:eastAsia="Book Antiqua" w:hAnsi="Book Antiqua" w:cs="Book Antiqua"/>
          <w:lang w:val="es-PR"/>
        </w:rPr>
        <w:t xml:space="preserve">La Oficina de Gerencia y Presupuesto (OGP) reconoce que el P. de la C. </w:t>
      </w:r>
      <w:r w:rsidR="00533BBD">
        <w:rPr>
          <w:rFonts w:ascii="Book Antiqua" w:eastAsia="Book Antiqua" w:hAnsi="Book Antiqua" w:cs="Book Antiqua"/>
          <w:lang w:val="es-PR"/>
        </w:rPr>
        <w:t xml:space="preserve">Núm. </w:t>
      </w:r>
      <w:r w:rsidRPr="00740A3C">
        <w:rPr>
          <w:rFonts w:ascii="Book Antiqua" w:eastAsia="Book Antiqua" w:hAnsi="Book Antiqua" w:cs="Book Antiqua"/>
          <w:lang w:val="es-PR"/>
        </w:rPr>
        <w:t>602 “representa un mecanismo para mejorar la liquidez del Estado sin aumentar tasas”, ya que permite condonar parcialmente multas, recargos e intereses y facilita que los ciudadanos actualicen licencias y permisos. Según la OGP, la medida responde a principios de responsabilidad fiscal y constituye “una solución fiscal sensata ante el cúmulo de deudas impagas”.</w:t>
      </w:r>
    </w:p>
    <w:p w14:paraId="7EB59B9E" w14:textId="77777777" w:rsidR="00740A3C" w:rsidRPr="00740A3C" w:rsidRDefault="00740A3C" w:rsidP="00740A3C">
      <w:pPr>
        <w:jc w:val="both"/>
        <w:rPr>
          <w:rFonts w:ascii="Book Antiqua" w:eastAsia="Book Antiqua" w:hAnsi="Book Antiqua" w:cs="Book Antiqua"/>
          <w:lang w:val="es-PR"/>
        </w:rPr>
      </w:pPr>
    </w:p>
    <w:p w14:paraId="181FFBDB" w14:textId="77777777" w:rsidR="00740A3C" w:rsidRPr="00740A3C" w:rsidRDefault="00740A3C" w:rsidP="006C6043">
      <w:pPr>
        <w:ind w:firstLine="720"/>
        <w:jc w:val="both"/>
        <w:rPr>
          <w:rFonts w:ascii="Book Antiqua" w:eastAsia="Book Antiqua" w:hAnsi="Book Antiqua" w:cs="Book Antiqua"/>
          <w:lang w:val="es-PR"/>
        </w:rPr>
      </w:pPr>
      <w:r w:rsidRPr="00740A3C">
        <w:rPr>
          <w:rFonts w:ascii="Book Antiqua" w:eastAsia="Book Antiqua" w:hAnsi="Book Antiqua" w:cs="Book Antiqua"/>
          <w:lang w:val="es-PR"/>
        </w:rPr>
        <w:t>Conforme a la información provista por el Departamento de Transportación y Obras Públicas (DTOP), la OGP señala que la deuda total asciende a $40.7 millones en principal y $12.3 millones en recargos. En este marco, proyecta dos escenarios: si el ciudadano paga la totalidad de la deuda, se aplicaría un 35% de descuento al principal y la eliminación del 100% de los recargos; en el caso de acogerse a un plan de pago, se mantendría solo un 50% de descuento sobre los recargos.</w:t>
      </w:r>
    </w:p>
    <w:p w14:paraId="1E0DB2FD" w14:textId="77777777" w:rsidR="00740A3C" w:rsidRPr="00740A3C" w:rsidRDefault="00740A3C" w:rsidP="00740A3C">
      <w:pPr>
        <w:jc w:val="both"/>
        <w:rPr>
          <w:rFonts w:ascii="Book Antiqua" w:eastAsia="Book Antiqua" w:hAnsi="Book Antiqua" w:cs="Book Antiqua"/>
          <w:lang w:val="es-PR"/>
        </w:rPr>
      </w:pPr>
    </w:p>
    <w:p w14:paraId="0E9850C1" w14:textId="77777777" w:rsidR="00740A3C" w:rsidRPr="00740A3C" w:rsidRDefault="00740A3C" w:rsidP="006C6043">
      <w:pPr>
        <w:ind w:firstLine="720"/>
        <w:jc w:val="both"/>
        <w:rPr>
          <w:rFonts w:ascii="Book Antiqua" w:eastAsia="Book Antiqua" w:hAnsi="Book Antiqua" w:cs="Book Antiqua"/>
          <w:lang w:val="es-PR"/>
        </w:rPr>
      </w:pPr>
      <w:r w:rsidRPr="00740A3C">
        <w:rPr>
          <w:rFonts w:ascii="Book Antiqua" w:eastAsia="Book Antiqua" w:hAnsi="Book Antiqua" w:cs="Book Antiqua"/>
          <w:lang w:val="es-PR"/>
        </w:rPr>
        <w:t xml:space="preserve">La OGP, no obstante, advierte que la implementación requiere coordinación </w:t>
      </w:r>
      <w:proofErr w:type="spellStart"/>
      <w:r w:rsidRPr="00740A3C">
        <w:rPr>
          <w:rFonts w:ascii="Book Antiqua" w:eastAsia="Book Antiqua" w:hAnsi="Book Antiqua" w:cs="Book Antiqua"/>
          <w:lang w:val="es-PR"/>
        </w:rPr>
        <w:t>interagencial</w:t>
      </w:r>
      <w:proofErr w:type="spellEnd"/>
      <w:r w:rsidRPr="00740A3C">
        <w:rPr>
          <w:rFonts w:ascii="Book Antiqua" w:eastAsia="Book Antiqua" w:hAnsi="Book Antiqua" w:cs="Book Antiqua"/>
          <w:lang w:val="es-PR"/>
        </w:rPr>
        <w:t xml:space="preserve"> con DTOP, Hacienda, la Autoridad de Carreteras y Transportación, CESCO y PRITS, y recomienda: “establecer controles automatizados para validar las deudas elegibles”, “incluir una evaluación fiscal </w:t>
      </w:r>
      <w:proofErr w:type="spellStart"/>
      <w:r w:rsidRPr="00740A3C">
        <w:rPr>
          <w:rFonts w:ascii="Book Antiqua" w:eastAsia="Book Antiqua" w:hAnsi="Book Antiqua" w:cs="Book Antiqua"/>
          <w:lang w:val="es-PR"/>
        </w:rPr>
        <w:t>post-implementación</w:t>
      </w:r>
      <w:proofErr w:type="spellEnd"/>
      <w:r w:rsidRPr="00740A3C">
        <w:rPr>
          <w:rFonts w:ascii="Book Antiqua" w:eastAsia="Book Antiqua" w:hAnsi="Book Antiqua" w:cs="Book Antiqua"/>
          <w:lang w:val="es-PR"/>
        </w:rPr>
        <w:t>”, “requerir un informe de auditoría del proceso” y “desarrollar una campaña de orientación ciudadana”.</w:t>
      </w:r>
    </w:p>
    <w:p w14:paraId="045EC27A" w14:textId="77777777" w:rsidR="00740A3C" w:rsidRPr="00740A3C" w:rsidRDefault="00740A3C" w:rsidP="00740A3C">
      <w:pPr>
        <w:jc w:val="both"/>
        <w:rPr>
          <w:rFonts w:ascii="Book Antiqua" w:eastAsia="Book Antiqua" w:hAnsi="Book Antiqua" w:cs="Book Antiqua"/>
          <w:lang w:val="es-PR"/>
        </w:rPr>
      </w:pPr>
    </w:p>
    <w:p w14:paraId="425764F0" w14:textId="77777777" w:rsidR="00740A3C" w:rsidRDefault="00740A3C" w:rsidP="006C6043">
      <w:pPr>
        <w:ind w:firstLine="720"/>
        <w:jc w:val="both"/>
        <w:rPr>
          <w:rFonts w:ascii="Book Antiqua" w:eastAsia="Book Antiqua" w:hAnsi="Book Antiqua" w:cs="Book Antiqua"/>
          <w:lang w:val="es-PR"/>
        </w:rPr>
      </w:pPr>
      <w:r w:rsidRPr="00740A3C">
        <w:rPr>
          <w:rFonts w:ascii="Book Antiqua" w:eastAsia="Book Antiqua" w:hAnsi="Book Antiqua" w:cs="Book Antiqua"/>
          <w:lang w:val="es-PR"/>
        </w:rPr>
        <w:t>En conclusión, la OGP no objeta la medida, pero condiciona su aval a la adopción de controles fiscales y administrativos rigurosos que aseguren la transparencia y eficiencia en su ejecución.</w:t>
      </w:r>
    </w:p>
    <w:p w14:paraId="2CCE8914" w14:textId="77777777" w:rsidR="00B10161" w:rsidRDefault="00B10161" w:rsidP="006C6043">
      <w:pPr>
        <w:ind w:firstLine="720"/>
        <w:jc w:val="both"/>
        <w:rPr>
          <w:rFonts w:ascii="Book Antiqua" w:eastAsia="Book Antiqua" w:hAnsi="Book Antiqua" w:cs="Book Antiqua"/>
          <w:lang w:val="es-PR"/>
        </w:rPr>
      </w:pPr>
    </w:p>
    <w:p w14:paraId="44817C04" w14:textId="17DFC767" w:rsidR="00457D72" w:rsidRPr="00457D72" w:rsidRDefault="00457D72" w:rsidP="00457D72">
      <w:pPr>
        <w:ind w:firstLine="720"/>
        <w:rPr>
          <w:rFonts w:ascii="Book Antiqua" w:eastAsia="Book Antiqua" w:hAnsi="Book Antiqua" w:cs="Book Antiqua"/>
          <w:b/>
          <w:bCs/>
          <w:u w:val="single"/>
          <w:lang w:val="es-PR"/>
        </w:rPr>
      </w:pPr>
      <w:r w:rsidRPr="00457D72">
        <w:rPr>
          <w:rFonts w:ascii="Book Antiqua" w:eastAsia="Book Antiqua" w:hAnsi="Book Antiqua" w:cs="Book Antiqua"/>
          <w:b/>
          <w:bCs/>
        </w:rPr>
        <w:t xml:space="preserve">                                          </w:t>
      </w:r>
      <w:r w:rsidRPr="00457D72">
        <w:rPr>
          <w:rFonts w:ascii="Book Antiqua" w:eastAsia="Book Antiqua" w:hAnsi="Book Antiqua" w:cs="Book Antiqua"/>
          <w:b/>
          <w:bCs/>
          <w:u w:val="single"/>
        </w:rPr>
        <w:t>Departamento de Hacienda</w:t>
      </w:r>
    </w:p>
    <w:p w14:paraId="1534C3C8" w14:textId="77777777" w:rsidR="00B10161" w:rsidRDefault="00B10161" w:rsidP="00B10161">
      <w:pPr>
        <w:ind w:firstLine="720"/>
        <w:jc w:val="both"/>
        <w:rPr>
          <w:rFonts w:ascii="Book Antiqua" w:eastAsia="Book Antiqua" w:hAnsi="Book Antiqua" w:cs="Book Antiqua"/>
          <w:lang w:val="es-PR"/>
        </w:rPr>
      </w:pPr>
    </w:p>
    <w:p w14:paraId="4C864226" w14:textId="661BAA7B" w:rsidR="00B10161" w:rsidRPr="00B10161" w:rsidRDefault="00B10161" w:rsidP="00B10161">
      <w:pPr>
        <w:ind w:firstLine="720"/>
        <w:jc w:val="both"/>
        <w:rPr>
          <w:rFonts w:ascii="Book Antiqua" w:eastAsia="Book Antiqua" w:hAnsi="Book Antiqua" w:cs="Book Antiqua"/>
          <w:lang w:val="es-PR"/>
        </w:rPr>
      </w:pPr>
      <w:r w:rsidRPr="00B10161">
        <w:rPr>
          <w:rFonts w:ascii="Book Antiqua" w:eastAsia="Book Antiqua" w:hAnsi="Book Antiqua" w:cs="Book Antiqua"/>
          <w:lang w:val="es-PR"/>
        </w:rPr>
        <w:t xml:space="preserve">El Departamento de Hacienda reconoce que el P. de la C. </w:t>
      </w:r>
      <w:r w:rsidR="00650F9B">
        <w:rPr>
          <w:rFonts w:ascii="Book Antiqua" w:eastAsia="Book Antiqua" w:hAnsi="Book Antiqua" w:cs="Book Antiqua"/>
          <w:lang w:val="es-PR"/>
        </w:rPr>
        <w:t xml:space="preserve">Núm. </w:t>
      </w:r>
      <w:r w:rsidRPr="00B10161">
        <w:rPr>
          <w:rFonts w:ascii="Book Antiqua" w:eastAsia="Book Antiqua" w:hAnsi="Book Antiqua" w:cs="Book Antiqua"/>
          <w:lang w:val="es-PR"/>
        </w:rPr>
        <w:t>602 propone un incentivo temporero para promover el pago acelerado de multas bajo la Ley</w:t>
      </w:r>
      <w:r w:rsidR="00650F9B">
        <w:rPr>
          <w:rFonts w:ascii="Book Antiqua" w:eastAsia="Book Antiqua" w:hAnsi="Book Antiqua" w:cs="Book Antiqua"/>
          <w:lang w:val="es-PR"/>
        </w:rPr>
        <w:t xml:space="preserve"> Núm. </w:t>
      </w:r>
      <w:r w:rsidRPr="00B10161">
        <w:rPr>
          <w:rFonts w:ascii="Book Antiqua" w:eastAsia="Book Antiqua" w:hAnsi="Book Antiqua" w:cs="Book Antiqua"/>
          <w:lang w:val="es-PR"/>
        </w:rPr>
        <w:t xml:space="preserve">22-2000, otorgando descuentos de 35% sobre el principal y 100% sobre recargos e intereses si se paga en su totalidad, o un 50% de descuento en recargos e intereses si se acoge a un plan de pago. Según Hacienda, esta medida responde a las constantes quejas ciudadanas sobre errores en los procesos de multas y a la dificultad de atender deudas acumuladas en el sistema de </w:t>
      </w:r>
      <w:proofErr w:type="spellStart"/>
      <w:r w:rsidRPr="00B10161">
        <w:rPr>
          <w:rFonts w:ascii="Book Antiqua" w:eastAsia="Book Antiqua" w:hAnsi="Book Antiqua" w:cs="Book Antiqua"/>
          <w:lang w:val="es-PR"/>
        </w:rPr>
        <w:t>AutoExpreso</w:t>
      </w:r>
      <w:proofErr w:type="spellEnd"/>
      <w:r w:rsidRPr="00B10161">
        <w:rPr>
          <w:rFonts w:ascii="Book Antiqua" w:eastAsia="Book Antiqua" w:hAnsi="Book Antiqua" w:cs="Book Antiqua"/>
          <w:lang w:val="es-PR"/>
        </w:rPr>
        <w:t>.</w:t>
      </w:r>
    </w:p>
    <w:p w14:paraId="55A494B4" w14:textId="77777777" w:rsidR="00B10161" w:rsidRPr="00B10161" w:rsidRDefault="00B10161" w:rsidP="00B10161">
      <w:pPr>
        <w:ind w:firstLine="720"/>
        <w:jc w:val="both"/>
        <w:rPr>
          <w:rFonts w:ascii="Book Antiqua" w:eastAsia="Book Antiqua" w:hAnsi="Book Antiqua" w:cs="Book Antiqua"/>
          <w:lang w:val="es-PR"/>
        </w:rPr>
      </w:pPr>
    </w:p>
    <w:p w14:paraId="25E9A29F" w14:textId="77777777" w:rsidR="00B10161" w:rsidRPr="00B10161" w:rsidRDefault="00B10161" w:rsidP="00B10161">
      <w:pPr>
        <w:ind w:firstLine="720"/>
        <w:jc w:val="both"/>
        <w:rPr>
          <w:rFonts w:ascii="Book Antiqua" w:eastAsia="Book Antiqua" w:hAnsi="Book Antiqua" w:cs="Book Antiqua"/>
          <w:lang w:val="es-PR"/>
        </w:rPr>
      </w:pPr>
      <w:r w:rsidRPr="00B10161">
        <w:rPr>
          <w:rFonts w:ascii="Book Antiqua" w:eastAsia="Book Antiqua" w:hAnsi="Book Antiqua" w:cs="Book Antiqua"/>
          <w:lang w:val="es-PR"/>
        </w:rPr>
        <w:t xml:space="preserve">La agencia advierte, sin embargo, que toda iniciativa legislativa de este tipo debe cumplir con el Plan Fiscal certificado y el Principio de Neutralidad Fiscal, lo que exige identificar fuentes de financiamiento alternas para evitar impactos negativos sobre el Fondo General. Asimismo, subraya que existe actualmente una moratoria en el cobro de multas de </w:t>
      </w:r>
      <w:proofErr w:type="spellStart"/>
      <w:r w:rsidRPr="00B10161">
        <w:rPr>
          <w:rFonts w:ascii="Book Antiqua" w:eastAsia="Book Antiqua" w:hAnsi="Book Antiqua" w:cs="Book Antiqua"/>
          <w:lang w:val="es-PR"/>
        </w:rPr>
        <w:t>AutoExpreso</w:t>
      </w:r>
      <w:proofErr w:type="spellEnd"/>
      <w:r w:rsidRPr="00B10161">
        <w:rPr>
          <w:rFonts w:ascii="Book Antiqua" w:eastAsia="Book Antiqua" w:hAnsi="Book Antiqua" w:cs="Book Antiqua"/>
          <w:lang w:val="es-PR"/>
        </w:rPr>
        <w:t xml:space="preserve"> hasta diciembre de 2025, por lo que debe aclararse cómo interactúa la medida con dicha disposición.</w:t>
      </w:r>
    </w:p>
    <w:p w14:paraId="0F107074" w14:textId="77777777" w:rsidR="00B10161" w:rsidRPr="00B10161" w:rsidRDefault="00B10161" w:rsidP="00B10161">
      <w:pPr>
        <w:ind w:firstLine="720"/>
        <w:jc w:val="both"/>
        <w:rPr>
          <w:rFonts w:ascii="Book Antiqua" w:eastAsia="Book Antiqua" w:hAnsi="Book Antiqua" w:cs="Book Antiqua"/>
          <w:lang w:val="es-PR"/>
        </w:rPr>
      </w:pPr>
    </w:p>
    <w:p w14:paraId="1DA4C142" w14:textId="302A581A" w:rsidR="00740A3C" w:rsidRDefault="00B10161" w:rsidP="00457D72">
      <w:pPr>
        <w:ind w:firstLine="720"/>
        <w:jc w:val="both"/>
        <w:rPr>
          <w:rFonts w:ascii="Book Antiqua" w:eastAsia="Book Antiqua" w:hAnsi="Book Antiqua" w:cs="Book Antiqua"/>
          <w:lang w:val="es-PR"/>
        </w:rPr>
      </w:pPr>
      <w:r w:rsidRPr="00B10161">
        <w:rPr>
          <w:rFonts w:ascii="Book Antiqua" w:eastAsia="Book Antiqua" w:hAnsi="Book Antiqua" w:cs="Book Antiqua"/>
          <w:lang w:val="es-PR"/>
        </w:rPr>
        <w:t xml:space="preserve">Finalmente, Hacienda señala que, aunque el proyecto persigue un fin loable, se requiere la certificación de impacto fiscal de la Oficina de Presupuesto de la Asamblea Legislativa (OPAL) antes de su aprobación. Además, recomienda coordinar con el DTOP y la Autoridad de Carreteras por ser las entidades custodias de la información sobre multas de </w:t>
      </w:r>
      <w:proofErr w:type="spellStart"/>
      <w:r w:rsidRPr="00B10161">
        <w:rPr>
          <w:rFonts w:ascii="Book Antiqua" w:eastAsia="Book Antiqua" w:hAnsi="Book Antiqua" w:cs="Book Antiqua"/>
          <w:lang w:val="es-PR"/>
        </w:rPr>
        <w:t>AutoExpreso</w:t>
      </w:r>
      <w:proofErr w:type="spellEnd"/>
      <w:r w:rsidRPr="00B10161">
        <w:rPr>
          <w:rFonts w:ascii="Book Antiqua" w:eastAsia="Book Antiqua" w:hAnsi="Book Antiqua" w:cs="Book Antiqua"/>
          <w:lang w:val="es-PR"/>
        </w:rPr>
        <w:t>. Concluye reiterando que apoya el análisis de la medida, pero condicionado a que se cumpla con las disposiciones del Plan Fiscal y se garantice neutralidad presupuestaria.</w:t>
      </w:r>
    </w:p>
    <w:p w14:paraId="272EAF2B" w14:textId="77777777" w:rsidR="00457D72" w:rsidRPr="00457D72" w:rsidRDefault="00457D72" w:rsidP="00457D72">
      <w:pPr>
        <w:ind w:firstLine="720"/>
        <w:jc w:val="both"/>
        <w:rPr>
          <w:rFonts w:ascii="Book Antiqua" w:eastAsia="Book Antiqua" w:hAnsi="Book Antiqua" w:cs="Book Antiqua"/>
          <w:lang w:val="es-PR"/>
        </w:rPr>
      </w:pPr>
    </w:p>
    <w:p w14:paraId="37CBB2D3" w14:textId="77777777" w:rsidR="00740A3C" w:rsidRDefault="00740A3C" w:rsidP="00F53C60">
      <w:pPr>
        <w:jc w:val="center"/>
        <w:rPr>
          <w:rFonts w:ascii="Book Antiqua" w:eastAsia="Book Antiqua" w:hAnsi="Book Antiqua" w:cs="Book Antiqua"/>
          <w:b/>
          <w:bCs/>
          <w:u w:val="single"/>
        </w:rPr>
      </w:pPr>
    </w:p>
    <w:p w14:paraId="27E47218" w14:textId="5496C9E2" w:rsidR="00B118EC" w:rsidRDefault="00F53C60" w:rsidP="00F53C60">
      <w:pPr>
        <w:jc w:val="center"/>
        <w:rPr>
          <w:rFonts w:ascii="Book Antiqua" w:eastAsia="Book Antiqua" w:hAnsi="Book Antiqua" w:cs="Book Antiqua"/>
          <w:b/>
          <w:bCs/>
          <w:u w:val="single"/>
        </w:rPr>
      </w:pPr>
      <w:r w:rsidRPr="00F53C60">
        <w:rPr>
          <w:rFonts w:ascii="Book Antiqua" w:eastAsia="Book Antiqua" w:hAnsi="Book Antiqua" w:cs="Book Antiqua"/>
          <w:b/>
          <w:bCs/>
          <w:u w:val="single"/>
        </w:rPr>
        <w:t>Autoridad de Asesoría Financiera y Agencia Fiscal de Puerto Rico (AAFAF)</w:t>
      </w:r>
    </w:p>
    <w:p w14:paraId="529961C1" w14:textId="77777777" w:rsidR="00D10113" w:rsidRDefault="00D10113" w:rsidP="00F53C60">
      <w:pPr>
        <w:jc w:val="center"/>
        <w:rPr>
          <w:rFonts w:ascii="Book Antiqua" w:eastAsia="Book Antiqua" w:hAnsi="Book Antiqua" w:cs="Book Antiqua"/>
          <w:b/>
          <w:bCs/>
          <w:u w:val="single"/>
        </w:rPr>
      </w:pPr>
    </w:p>
    <w:p w14:paraId="67835C71" w14:textId="34C2F9C4" w:rsidR="00F8750B" w:rsidRPr="00F8750B" w:rsidRDefault="00F8750B" w:rsidP="00F8750B">
      <w:pPr>
        <w:ind w:firstLine="720"/>
        <w:jc w:val="both"/>
        <w:rPr>
          <w:rFonts w:ascii="Book Antiqua" w:eastAsia="Book Antiqua" w:hAnsi="Book Antiqua" w:cs="Book Antiqua"/>
          <w:lang w:val="es-PR"/>
        </w:rPr>
      </w:pPr>
      <w:r w:rsidRPr="00F8750B">
        <w:rPr>
          <w:rFonts w:ascii="Book Antiqua" w:eastAsia="Book Antiqua" w:hAnsi="Book Antiqua" w:cs="Book Antiqua"/>
          <w:lang w:val="es-PR"/>
        </w:rPr>
        <w:t>La AAFAF reconoce el propósito del P. de la C.</w:t>
      </w:r>
      <w:r w:rsidR="00650F9B">
        <w:rPr>
          <w:rFonts w:ascii="Book Antiqua" w:eastAsia="Book Antiqua" w:hAnsi="Book Antiqua" w:cs="Book Antiqua"/>
          <w:lang w:val="es-PR"/>
        </w:rPr>
        <w:t xml:space="preserve"> Núm.</w:t>
      </w:r>
      <w:r w:rsidRPr="00F8750B">
        <w:rPr>
          <w:rFonts w:ascii="Book Antiqua" w:eastAsia="Book Antiqua" w:hAnsi="Book Antiqua" w:cs="Book Antiqua"/>
          <w:lang w:val="es-PR"/>
        </w:rPr>
        <w:t xml:space="preserve"> 602 de incentivar el pago acelerado de multas de tránsito impuestas bajo la Ley</w:t>
      </w:r>
      <w:r w:rsidR="00650F9B">
        <w:rPr>
          <w:rFonts w:ascii="Book Antiqua" w:eastAsia="Book Antiqua" w:hAnsi="Book Antiqua" w:cs="Book Antiqua"/>
          <w:lang w:val="es-PR"/>
        </w:rPr>
        <w:t xml:space="preserve"> Núm.</w:t>
      </w:r>
      <w:r w:rsidRPr="00F8750B">
        <w:rPr>
          <w:rFonts w:ascii="Book Antiqua" w:eastAsia="Book Antiqua" w:hAnsi="Book Antiqua" w:cs="Book Antiqua"/>
          <w:lang w:val="es-PR"/>
        </w:rPr>
        <w:t xml:space="preserve"> 22-2000, mediante descuentos de 35% sobre el principal y 100% sobre recargos e intereses si la deuda se paga en su totalidad, o un 50% de descuento en recargos e intereses si se acoge a un plan de pago. La medida, según la agencia, puede beneficiar a los ciudadanos y contribuir a la liquidez del Estado, pero requiere un análisis fiscal riguroso antes de su aprobación.</w:t>
      </w:r>
    </w:p>
    <w:p w14:paraId="357E57F5" w14:textId="77777777" w:rsidR="00F8750B" w:rsidRPr="00F8750B" w:rsidRDefault="00F8750B" w:rsidP="00F8750B">
      <w:pPr>
        <w:jc w:val="both"/>
        <w:rPr>
          <w:rFonts w:ascii="Book Antiqua" w:eastAsia="Book Antiqua" w:hAnsi="Book Antiqua" w:cs="Book Antiqua"/>
          <w:lang w:val="es-PR"/>
        </w:rPr>
      </w:pPr>
    </w:p>
    <w:p w14:paraId="4B0123FA" w14:textId="77777777" w:rsidR="00F8750B" w:rsidRPr="00F8750B" w:rsidRDefault="00F8750B" w:rsidP="00F8750B">
      <w:pPr>
        <w:ind w:firstLine="720"/>
        <w:jc w:val="both"/>
        <w:rPr>
          <w:rFonts w:ascii="Book Antiqua" w:eastAsia="Book Antiqua" w:hAnsi="Book Antiqua" w:cs="Book Antiqua"/>
          <w:lang w:val="es-PR"/>
        </w:rPr>
      </w:pPr>
      <w:r w:rsidRPr="00F8750B">
        <w:rPr>
          <w:rFonts w:ascii="Book Antiqua" w:eastAsia="Book Antiqua" w:hAnsi="Book Antiqua" w:cs="Book Antiqua"/>
          <w:lang w:val="es-PR"/>
        </w:rPr>
        <w:t>La agencia enfatiza que toda legislación con impacto sobre ingresos o gastos del Gobierno debe cumplir con el Principio de Neutralidad Fiscal contenido en la Ley PROMESA y el Plan Fiscal certificado. Por ello, resalta la necesidad de que el proyecto esté acompañado de un informe de impacto fiscal emitido por la Oficina de Presupuesto de la Asamblea Legislativa (OPAL). La AAFAF advierte que, según la revisión del trámite ante la OPAL, no surge que se haya preparado un informe sobre el impacto fiscal del PC 602, lo cual consideran indispensable.</w:t>
      </w:r>
    </w:p>
    <w:p w14:paraId="05CDFCB9" w14:textId="77777777" w:rsidR="00F8750B" w:rsidRPr="00F8750B" w:rsidRDefault="00F8750B" w:rsidP="00F8750B">
      <w:pPr>
        <w:jc w:val="both"/>
        <w:rPr>
          <w:rFonts w:ascii="Book Antiqua" w:eastAsia="Book Antiqua" w:hAnsi="Book Antiqua" w:cs="Book Antiqua"/>
          <w:lang w:val="es-PR"/>
        </w:rPr>
      </w:pPr>
    </w:p>
    <w:p w14:paraId="4A6502F3" w14:textId="77777777" w:rsidR="00F8750B" w:rsidRDefault="00F8750B" w:rsidP="00740A3C">
      <w:pPr>
        <w:ind w:firstLine="720"/>
        <w:jc w:val="both"/>
        <w:rPr>
          <w:rFonts w:ascii="Book Antiqua" w:eastAsia="Book Antiqua" w:hAnsi="Book Antiqua" w:cs="Book Antiqua"/>
          <w:lang w:val="es-PR"/>
        </w:rPr>
      </w:pPr>
      <w:r w:rsidRPr="00F8750B">
        <w:rPr>
          <w:rFonts w:ascii="Book Antiqua" w:eastAsia="Book Antiqua" w:hAnsi="Book Antiqua" w:cs="Book Antiqua"/>
          <w:lang w:val="es-PR"/>
        </w:rPr>
        <w:t>La AAFAF recuerda experiencias previas, como el PC 1738, donde la OPAL estimó un impacto fiscal de $113.3 millones por la concesión de una amnistía parcial, y señala que medidas similares deben evaluarse con datos presupuestarios precisos. También resalta que toda política de condonación parcial puede implicar una disminución en ingresos previamente comprometidos en el Plan Fiscal, por lo que solicita que se presenten estimados oficiales de Hacienda y DTOP antes de su aprobación. En conclusión, la AAFAF reconoce el mérito de la medida, pero condiciona su aval a que se clarifiquen los efectos fiscales y se acompañe de un informe formal que asegure su consistencia con el Plan Fiscal certificado.</w:t>
      </w:r>
    </w:p>
    <w:p w14:paraId="47A078E6" w14:textId="77777777" w:rsidR="00917278" w:rsidRDefault="00917278" w:rsidP="00740A3C">
      <w:pPr>
        <w:ind w:firstLine="720"/>
        <w:jc w:val="both"/>
        <w:rPr>
          <w:rFonts w:ascii="Book Antiqua" w:eastAsia="Book Antiqua" w:hAnsi="Book Antiqua" w:cs="Book Antiqua"/>
          <w:lang w:val="es-PR"/>
        </w:rPr>
      </w:pPr>
    </w:p>
    <w:p w14:paraId="3D254DAB" w14:textId="70836293" w:rsidR="00917278" w:rsidRPr="00F8750B" w:rsidRDefault="008D6873" w:rsidP="008D6873">
      <w:pPr>
        <w:ind w:firstLine="720"/>
        <w:rPr>
          <w:rFonts w:ascii="Book Antiqua" w:eastAsia="Book Antiqua" w:hAnsi="Book Antiqua" w:cs="Book Antiqua"/>
          <w:b/>
          <w:bCs/>
          <w:u w:val="single"/>
          <w:lang w:val="es-PR"/>
        </w:rPr>
      </w:pPr>
      <w:r>
        <w:rPr>
          <w:rFonts w:ascii="Book Antiqua" w:eastAsia="Book Antiqua" w:hAnsi="Book Antiqua" w:cs="Book Antiqua"/>
          <w:lang w:val="es-PR"/>
        </w:rPr>
        <w:t xml:space="preserve">                                                      </w:t>
      </w:r>
      <w:proofErr w:type="spellStart"/>
      <w:r>
        <w:rPr>
          <w:rFonts w:ascii="Book Antiqua" w:eastAsia="Book Antiqua" w:hAnsi="Book Antiqua" w:cs="Book Antiqua"/>
          <w:b/>
          <w:bCs/>
          <w:u w:val="single"/>
          <w:lang w:val="es-PR"/>
        </w:rPr>
        <w:t>Metropistas</w:t>
      </w:r>
      <w:proofErr w:type="spellEnd"/>
    </w:p>
    <w:p w14:paraId="251B9FFE" w14:textId="77777777" w:rsidR="00D10113" w:rsidRPr="00D10113" w:rsidRDefault="00D10113" w:rsidP="00D10113">
      <w:pPr>
        <w:jc w:val="both"/>
        <w:rPr>
          <w:rFonts w:ascii="Book Antiqua" w:eastAsia="Book Antiqua" w:hAnsi="Book Antiqua" w:cs="Book Antiqua"/>
          <w:lang w:val="es-PR"/>
        </w:rPr>
      </w:pPr>
    </w:p>
    <w:p w14:paraId="4192F8F1" w14:textId="6B5D1CAA" w:rsidR="000D1EC0" w:rsidRPr="000D1EC0" w:rsidRDefault="000D1EC0" w:rsidP="00917278">
      <w:pPr>
        <w:ind w:firstLine="720"/>
        <w:jc w:val="both"/>
        <w:rPr>
          <w:rFonts w:ascii="Book Antiqua" w:eastAsia="Book Antiqua" w:hAnsi="Book Antiqua" w:cs="Book Antiqua"/>
          <w:lang w:val="es-PR"/>
        </w:rPr>
      </w:pPr>
      <w:proofErr w:type="spellStart"/>
      <w:r w:rsidRPr="000D1EC0">
        <w:rPr>
          <w:rFonts w:ascii="Book Antiqua" w:eastAsia="Book Antiqua" w:hAnsi="Book Antiqua" w:cs="Book Antiqua"/>
          <w:lang w:val="es-PR"/>
        </w:rPr>
        <w:t>Metropistas</w:t>
      </w:r>
      <w:proofErr w:type="spellEnd"/>
      <w:r w:rsidRPr="000D1EC0">
        <w:rPr>
          <w:rFonts w:ascii="Book Antiqua" w:eastAsia="Book Antiqua" w:hAnsi="Book Antiqua" w:cs="Book Antiqua"/>
          <w:lang w:val="es-PR"/>
        </w:rPr>
        <w:t xml:space="preserve"> reconoce que el P. de la C. </w:t>
      </w:r>
      <w:r w:rsidR="00F575E6">
        <w:rPr>
          <w:rFonts w:ascii="Book Antiqua" w:eastAsia="Book Antiqua" w:hAnsi="Book Antiqua" w:cs="Book Antiqua"/>
          <w:lang w:val="es-PR"/>
        </w:rPr>
        <w:t xml:space="preserve">Núm. </w:t>
      </w:r>
      <w:r w:rsidRPr="000D1EC0">
        <w:rPr>
          <w:rFonts w:ascii="Book Antiqua" w:eastAsia="Book Antiqua" w:hAnsi="Book Antiqua" w:cs="Book Antiqua"/>
          <w:lang w:val="es-PR"/>
        </w:rPr>
        <w:t xml:space="preserve">602 tiene como objetivo establecer un mecanismo de amnistía temporera sobre multas, intereses y recargos relacionados al sistema de </w:t>
      </w:r>
      <w:proofErr w:type="spellStart"/>
      <w:r w:rsidRPr="000D1EC0">
        <w:rPr>
          <w:rFonts w:ascii="Book Antiqua" w:eastAsia="Book Antiqua" w:hAnsi="Book Antiqua" w:cs="Book Antiqua"/>
          <w:lang w:val="es-PR"/>
        </w:rPr>
        <w:t>AutoExpreso</w:t>
      </w:r>
      <w:proofErr w:type="spellEnd"/>
      <w:r w:rsidRPr="000D1EC0">
        <w:rPr>
          <w:rFonts w:ascii="Book Antiqua" w:eastAsia="Book Antiqua" w:hAnsi="Book Antiqua" w:cs="Book Antiqua"/>
          <w:lang w:val="es-PR"/>
        </w:rPr>
        <w:t>, con el fin de que los ciudadanos se pongan al día con sus responsabilidades bajo la Ley de Vehículos y Tránsito de Puerto Rico. La empresa resalta que la administración y el cobro de estas multas son responsabilidad de la ACT y del DTOP, mientras que la AAFAF lidera las alianzas público-privadas que enmarcan su operación como concesionarios.</w:t>
      </w:r>
    </w:p>
    <w:p w14:paraId="3E64FDDB" w14:textId="77777777" w:rsidR="000D1EC0" w:rsidRPr="000D1EC0" w:rsidRDefault="000D1EC0" w:rsidP="00917278">
      <w:pPr>
        <w:jc w:val="both"/>
        <w:rPr>
          <w:rFonts w:ascii="Book Antiqua" w:eastAsia="Book Antiqua" w:hAnsi="Book Antiqua" w:cs="Book Antiqua"/>
          <w:lang w:val="es-PR"/>
        </w:rPr>
      </w:pPr>
    </w:p>
    <w:p w14:paraId="436B9F43" w14:textId="77777777" w:rsidR="000D1EC0" w:rsidRPr="000D1EC0" w:rsidRDefault="000D1EC0" w:rsidP="00917278">
      <w:pPr>
        <w:ind w:firstLine="720"/>
        <w:jc w:val="both"/>
        <w:rPr>
          <w:rFonts w:ascii="Book Antiqua" w:eastAsia="Book Antiqua" w:hAnsi="Book Antiqua" w:cs="Book Antiqua"/>
          <w:lang w:val="es-PR"/>
        </w:rPr>
      </w:pPr>
      <w:proofErr w:type="spellStart"/>
      <w:r w:rsidRPr="000D1EC0">
        <w:rPr>
          <w:rFonts w:ascii="Book Antiqua" w:eastAsia="Book Antiqua" w:hAnsi="Book Antiqua" w:cs="Book Antiqua"/>
          <w:lang w:val="es-PR"/>
        </w:rPr>
        <w:t>Metropistas</w:t>
      </w:r>
      <w:proofErr w:type="spellEnd"/>
      <w:r w:rsidRPr="000D1EC0">
        <w:rPr>
          <w:rFonts w:ascii="Book Antiqua" w:eastAsia="Book Antiqua" w:hAnsi="Book Antiqua" w:cs="Book Antiqua"/>
          <w:lang w:val="es-PR"/>
        </w:rPr>
        <w:t xml:space="preserve"> plantea que la medida debe salvaguardar los mecanismos legales y contractuales vigentes, garantizando el pago de los cargos aprobados por la Asamblea Legislativa y el cumplimiento con las obligaciones establecidas en los contratos de concesión. Subrayan que la finalidad del proyecto debe ser fomentar el cumplimiento ciudadano sin afectar la estabilidad del modelo de alianzas público-privadas.</w:t>
      </w:r>
    </w:p>
    <w:p w14:paraId="12C9ABFA" w14:textId="77777777" w:rsidR="000D1EC0" w:rsidRPr="000D1EC0" w:rsidRDefault="000D1EC0" w:rsidP="00917278">
      <w:pPr>
        <w:jc w:val="both"/>
        <w:rPr>
          <w:rFonts w:ascii="Book Antiqua" w:eastAsia="Book Antiqua" w:hAnsi="Book Antiqua" w:cs="Book Antiqua"/>
          <w:lang w:val="es-PR"/>
        </w:rPr>
      </w:pPr>
    </w:p>
    <w:p w14:paraId="5DD7591B" w14:textId="26B35A3D" w:rsidR="000D1EC0" w:rsidRDefault="000D1EC0" w:rsidP="00917278">
      <w:pPr>
        <w:ind w:firstLine="720"/>
        <w:jc w:val="both"/>
        <w:rPr>
          <w:rFonts w:ascii="Book Antiqua" w:eastAsia="Book Antiqua" w:hAnsi="Book Antiqua" w:cs="Book Antiqua"/>
          <w:lang w:val="es-PR"/>
        </w:rPr>
      </w:pPr>
      <w:r w:rsidRPr="000D1EC0">
        <w:rPr>
          <w:rFonts w:ascii="Book Antiqua" w:eastAsia="Book Antiqua" w:hAnsi="Book Antiqua" w:cs="Book Antiqua"/>
          <w:lang w:val="es-PR"/>
        </w:rPr>
        <w:t xml:space="preserve">Finalmente, </w:t>
      </w:r>
      <w:proofErr w:type="spellStart"/>
      <w:r w:rsidRPr="000D1EC0">
        <w:rPr>
          <w:rFonts w:ascii="Book Antiqua" w:eastAsia="Book Antiqua" w:hAnsi="Book Antiqua" w:cs="Book Antiqua"/>
          <w:lang w:val="es-PR"/>
        </w:rPr>
        <w:t>Metropistas</w:t>
      </w:r>
      <w:proofErr w:type="spellEnd"/>
      <w:r w:rsidRPr="000D1EC0">
        <w:rPr>
          <w:rFonts w:ascii="Book Antiqua" w:eastAsia="Book Antiqua" w:hAnsi="Book Antiqua" w:cs="Book Antiqua"/>
          <w:lang w:val="es-PR"/>
        </w:rPr>
        <w:t xml:space="preserve"> indica que no tienen objeción a la aprobación del P. de la C. </w:t>
      </w:r>
      <w:r w:rsidR="00F575E6">
        <w:rPr>
          <w:rFonts w:ascii="Book Antiqua" w:eastAsia="Book Antiqua" w:hAnsi="Book Antiqua" w:cs="Book Antiqua"/>
          <w:lang w:val="es-PR"/>
        </w:rPr>
        <w:t xml:space="preserve">Núm. </w:t>
      </w:r>
      <w:r w:rsidRPr="000D1EC0">
        <w:rPr>
          <w:rFonts w:ascii="Book Antiqua" w:eastAsia="Book Antiqua" w:hAnsi="Book Antiqua" w:cs="Book Antiqua"/>
          <w:lang w:val="es-PR"/>
        </w:rPr>
        <w:t>602, siempre y cuando se mantenga el respeto a los contratos vigentes y se consideren los comentarios de las agencias competentes como la ACT, DTOP, Hacienda y AAFAF. Reafirman que el proyecto puede ser una herramienta útil para balancear el interés público con el marco jurídico aplicable.</w:t>
      </w:r>
    </w:p>
    <w:p w14:paraId="497B41F5" w14:textId="77777777" w:rsidR="003638D7" w:rsidRDefault="003638D7" w:rsidP="00917278">
      <w:pPr>
        <w:ind w:firstLine="720"/>
        <w:jc w:val="both"/>
        <w:rPr>
          <w:rFonts w:ascii="Book Antiqua" w:eastAsia="Book Antiqua" w:hAnsi="Book Antiqua" w:cs="Book Antiqua"/>
          <w:lang w:val="es-PR"/>
        </w:rPr>
      </w:pPr>
    </w:p>
    <w:p w14:paraId="17994C44" w14:textId="598C54D5" w:rsidR="0028586B" w:rsidRDefault="003638D7" w:rsidP="001A5C59">
      <w:pPr>
        <w:ind w:firstLine="720"/>
        <w:jc w:val="both"/>
        <w:rPr>
          <w:rFonts w:ascii="Book Antiqua" w:eastAsia="Book Antiqua" w:hAnsi="Book Antiqua" w:cs="Book Antiqua"/>
          <w:lang w:val="es-PR"/>
        </w:rPr>
      </w:pPr>
      <w:r w:rsidRPr="003638D7">
        <w:rPr>
          <w:rFonts w:ascii="Book Antiqua" w:eastAsia="Book Antiqua" w:hAnsi="Book Antiqua" w:cs="Book Antiqua"/>
        </w:rPr>
        <w:t>Luego de celebrada la vista pública del 15 de mayo de 2025, esta Comisión envió una petición formal a la Oficina de Presupuesto de la Asamblea Legislativa (OPAL) para que evaluara el impacto fiscal de la medida con base en los cambios propuestos en los porcientos de descuento aplicables. Esta solicitud respondía a las recomendaciones expresadas por las agencias de Hacienda, DTOP y AAFAF durante el proceso de evaluación, y tenía como fin asegurar que cualquier incentivo aprobado estuviese debidamente alineado con el Plan Fiscal certificado, así como con el principio de neutralidad fiscal. En atención a dicha petición, la OPAL emitió el Informe 2026-165 que se resume a continuación</w:t>
      </w:r>
      <w:r w:rsidR="001A5C59">
        <w:rPr>
          <w:rFonts w:ascii="Book Antiqua" w:eastAsia="Book Antiqua" w:hAnsi="Book Antiqua" w:cs="Book Antiqua"/>
        </w:rPr>
        <w:t>;</w:t>
      </w:r>
    </w:p>
    <w:p w14:paraId="087E630D" w14:textId="77777777" w:rsidR="00416857" w:rsidRDefault="0048597D" w:rsidP="0048597D">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             </w:t>
      </w:r>
    </w:p>
    <w:p w14:paraId="434498E6" w14:textId="59DA2662" w:rsidR="0028586B" w:rsidRPr="000D1EC0" w:rsidRDefault="00416857" w:rsidP="0048597D">
      <w:pPr>
        <w:ind w:firstLine="720"/>
        <w:jc w:val="both"/>
        <w:rPr>
          <w:rFonts w:ascii="Book Antiqua" w:eastAsia="Book Antiqua" w:hAnsi="Book Antiqua" w:cs="Book Antiqua"/>
          <w:b/>
          <w:bCs/>
          <w:u w:val="single"/>
          <w:lang w:val="es-PR"/>
        </w:rPr>
      </w:pPr>
      <w:r>
        <w:rPr>
          <w:rFonts w:ascii="Book Antiqua" w:eastAsia="Book Antiqua" w:hAnsi="Book Antiqua" w:cs="Book Antiqua"/>
          <w:lang w:val="es-PR"/>
        </w:rPr>
        <w:t xml:space="preserve">                </w:t>
      </w:r>
      <w:r w:rsidR="0048597D">
        <w:rPr>
          <w:rFonts w:ascii="Book Antiqua" w:eastAsia="Book Antiqua" w:hAnsi="Book Antiqua" w:cs="Book Antiqua"/>
          <w:b/>
          <w:bCs/>
          <w:u w:val="single"/>
          <w:lang w:val="es-PR"/>
        </w:rPr>
        <w:t xml:space="preserve">Oficina de Presupuesto de la </w:t>
      </w:r>
      <w:r w:rsidR="00C37353">
        <w:rPr>
          <w:rFonts w:ascii="Book Antiqua" w:eastAsia="Book Antiqua" w:hAnsi="Book Antiqua" w:cs="Book Antiqua"/>
          <w:b/>
          <w:bCs/>
          <w:u w:val="single"/>
          <w:lang w:val="es-PR"/>
        </w:rPr>
        <w:t>Asamblea Legislativa (OPAL)</w:t>
      </w:r>
    </w:p>
    <w:p w14:paraId="7FB05B87" w14:textId="3D3C954F" w:rsidR="006E334B" w:rsidRPr="006E334B" w:rsidRDefault="006E334B" w:rsidP="000D1EC0">
      <w:pPr>
        <w:jc w:val="center"/>
        <w:rPr>
          <w:rFonts w:ascii="Book Antiqua" w:eastAsia="Book Antiqua" w:hAnsi="Book Antiqua" w:cs="Book Antiqua"/>
          <w:lang w:val="es-PR"/>
        </w:rPr>
      </w:pPr>
    </w:p>
    <w:p w14:paraId="2D491718" w14:textId="3C088D6C" w:rsidR="00416857" w:rsidRPr="00416857" w:rsidRDefault="00416857" w:rsidP="00416857">
      <w:pPr>
        <w:ind w:firstLine="720"/>
        <w:jc w:val="both"/>
        <w:rPr>
          <w:rFonts w:ascii="Book Antiqua" w:eastAsia="Book Antiqua" w:hAnsi="Book Antiqua" w:cs="Book Antiqua"/>
          <w:lang w:val="es-PR"/>
        </w:rPr>
      </w:pPr>
      <w:r w:rsidRPr="00416857">
        <w:rPr>
          <w:rFonts w:ascii="Book Antiqua" w:eastAsia="Book Antiqua" w:hAnsi="Book Antiqua" w:cs="Book Antiqua"/>
          <w:lang w:val="es-PR"/>
        </w:rPr>
        <w:t>La Oficina de Presupuesto de la Asamblea Legislativa (OPAL) emitió el Informe 2026-165 para evaluar el efecto fiscal del Proyecto de la Cámara</w:t>
      </w:r>
      <w:r w:rsidR="00565439">
        <w:rPr>
          <w:rFonts w:ascii="Book Antiqua" w:eastAsia="Book Antiqua" w:hAnsi="Book Antiqua" w:cs="Book Antiqua"/>
          <w:lang w:val="es-PR"/>
        </w:rPr>
        <w:t xml:space="preserve"> Núm.</w:t>
      </w:r>
      <w:r w:rsidRPr="00416857">
        <w:rPr>
          <w:rFonts w:ascii="Book Antiqua" w:eastAsia="Book Antiqua" w:hAnsi="Book Antiqua" w:cs="Book Antiqua"/>
          <w:lang w:val="es-PR"/>
        </w:rPr>
        <w:t xml:space="preserve"> 602. Dicho proyecto propone conceder un incentivo que promueva el pago acelerado de multas de tránsito expedidas, incluyendo recargos, intereses y penalidades, conforme a la Ley</w:t>
      </w:r>
      <w:r w:rsidR="00565439">
        <w:rPr>
          <w:rFonts w:ascii="Book Antiqua" w:eastAsia="Book Antiqua" w:hAnsi="Book Antiqua" w:cs="Book Antiqua"/>
          <w:lang w:val="es-PR"/>
        </w:rPr>
        <w:t xml:space="preserve"> Núm.</w:t>
      </w:r>
      <w:r w:rsidRPr="00416857">
        <w:rPr>
          <w:rFonts w:ascii="Book Antiqua" w:eastAsia="Book Antiqua" w:hAnsi="Book Antiqua" w:cs="Book Antiqua"/>
          <w:lang w:val="es-PR"/>
        </w:rPr>
        <w:t xml:space="preserve"> 22-2000, conocida como “Ley de Vehículos y Tránsito de Puerto Rico”. La medida </w:t>
      </w:r>
      <w:proofErr w:type="gramStart"/>
      <w:r w:rsidRPr="00416857">
        <w:rPr>
          <w:rFonts w:ascii="Book Antiqua" w:eastAsia="Book Antiqua" w:hAnsi="Book Antiqua" w:cs="Book Antiqua"/>
          <w:lang w:val="es-PR"/>
        </w:rPr>
        <w:t>se enmarca dentro de</w:t>
      </w:r>
      <w:proofErr w:type="gramEnd"/>
      <w:r w:rsidRPr="00416857">
        <w:rPr>
          <w:rFonts w:ascii="Book Antiqua" w:eastAsia="Book Antiqua" w:hAnsi="Book Antiqua" w:cs="Book Antiqua"/>
          <w:lang w:val="es-PR"/>
        </w:rPr>
        <w:t xml:space="preserve"> las iniciativas recurrentes de amnistía que ha considerado el Estado con el fin de incentivar el cumplimiento ciudadano y allegar recursos inmediatos al Fondo General.</w:t>
      </w:r>
    </w:p>
    <w:p w14:paraId="6807CD1B" w14:textId="77777777" w:rsidR="00416857" w:rsidRPr="00416857" w:rsidRDefault="00416857" w:rsidP="00416857">
      <w:pPr>
        <w:jc w:val="both"/>
        <w:rPr>
          <w:rFonts w:ascii="Book Antiqua" w:eastAsia="Book Antiqua" w:hAnsi="Book Antiqua" w:cs="Book Antiqua"/>
          <w:lang w:val="es-PR"/>
        </w:rPr>
      </w:pPr>
    </w:p>
    <w:p w14:paraId="0E547966" w14:textId="77777777" w:rsidR="00416857" w:rsidRPr="00416857" w:rsidRDefault="00416857" w:rsidP="00416857">
      <w:pPr>
        <w:ind w:firstLine="720"/>
        <w:jc w:val="both"/>
        <w:rPr>
          <w:rFonts w:ascii="Book Antiqua" w:eastAsia="Book Antiqua" w:hAnsi="Book Antiqua" w:cs="Book Antiqua"/>
          <w:lang w:val="es-PR"/>
        </w:rPr>
      </w:pPr>
      <w:r w:rsidRPr="00416857">
        <w:rPr>
          <w:rFonts w:ascii="Book Antiqua" w:eastAsia="Book Antiqua" w:hAnsi="Book Antiqua" w:cs="Book Antiqua"/>
          <w:lang w:val="es-PR"/>
        </w:rPr>
        <w:t>De acuerdo con la información suministrada por el Departamento de Transportación y Obras Públicas (DTOP) y la Comisión de Transportación e Infraestructura, al mes de mayo de 2025 el total de deudas acumuladas por concepto de multas ascendía a $560.5 millones. Esta cantidad se compone de $315.7 millones en principal y $244.8 millones en recargos. Para su análisis, la OPAL utilizó una tasa de cumplimiento promedio de 55%, lo que significa que, sin una amnistía, el Gobierno podría recaudar aproximadamente $310.1 millones de estas deudas.</w:t>
      </w:r>
    </w:p>
    <w:p w14:paraId="59C209CE" w14:textId="77777777" w:rsidR="00416857" w:rsidRPr="00416857" w:rsidRDefault="00416857" w:rsidP="00416857">
      <w:pPr>
        <w:jc w:val="both"/>
        <w:rPr>
          <w:rFonts w:ascii="Book Antiqua" w:eastAsia="Book Antiqua" w:hAnsi="Book Antiqua" w:cs="Book Antiqua"/>
          <w:lang w:val="es-PR"/>
        </w:rPr>
      </w:pPr>
    </w:p>
    <w:p w14:paraId="03FF162E" w14:textId="090AFE3B" w:rsidR="00416857" w:rsidRPr="00416857" w:rsidRDefault="00416857" w:rsidP="00416857">
      <w:pPr>
        <w:ind w:firstLine="720"/>
        <w:jc w:val="both"/>
        <w:rPr>
          <w:rFonts w:ascii="Book Antiqua" w:eastAsia="Book Antiqua" w:hAnsi="Book Antiqua" w:cs="Book Antiqua"/>
          <w:lang w:val="es-PR"/>
        </w:rPr>
      </w:pPr>
      <w:r w:rsidRPr="00416857">
        <w:rPr>
          <w:rFonts w:ascii="Book Antiqua" w:eastAsia="Book Antiqua" w:hAnsi="Book Antiqua" w:cs="Book Antiqua"/>
          <w:lang w:val="es-PR"/>
        </w:rPr>
        <w:t xml:space="preserve">El P. de la C. </w:t>
      </w:r>
      <w:r w:rsidR="00565439">
        <w:rPr>
          <w:rFonts w:ascii="Book Antiqua" w:eastAsia="Book Antiqua" w:hAnsi="Book Antiqua" w:cs="Book Antiqua"/>
          <w:lang w:val="es-PR"/>
        </w:rPr>
        <w:t xml:space="preserve">Núm. </w:t>
      </w:r>
      <w:r w:rsidRPr="00416857">
        <w:rPr>
          <w:rFonts w:ascii="Book Antiqua" w:eastAsia="Book Antiqua" w:hAnsi="Book Antiqua" w:cs="Book Antiqua"/>
          <w:lang w:val="es-PR"/>
        </w:rPr>
        <w:t>602 plantea ofrecer un descuento de 40% sobre el total adeudado, lo cual alteraría la forma en que se proyectan los recaudos. Bajo los escenarios trabajados por la OPAL, la aprobación del proyecto adelantaría aproximadamente $169.1 millones en ingresos, de los cuales $93 millones corresponden a multas que en condiciones ordinarias serían pagadas sin incentivos, mientras que $76.1 millones se atribuyen al segmento moroso que usualmente no paga sus deudas sin un programa de amnistía. En ese sentido, la OPAL reconoce que la medida tiene un componente positivo al capturar parte de un sector de difícil cobro.</w:t>
      </w:r>
    </w:p>
    <w:p w14:paraId="0868CA4A" w14:textId="77777777" w:rsidR="00416857" w:rsidRPr="00416857" w:rsidRDefault="00416857" w:rsidP="00416857">
      <w:pPr>
        <w:jc w:val="both"/>
        <w:rPr>
          <w:rFonts w:ascii="Book Antiqua" w:eastAsia="Book Antiqua" w:hAnsi="Book Antiqua" w:cs="Book Antiqua"/>
          <w:lang w:val="es-PR"/>
        </w:rPr>
      </w:pPr>
    </w:p>
    <w:p w14:paraId="37251D99" w14:textId="77777777" w:rsidR="00416857" w:rsidRPr="00416857" w:rsidRDefault="00416857" w:rsidP="00416857">
      <w:pPr>
        <w:ind w:firstLine="720"/>
        <w:jc w:val="both"/>
        <w:rPr>
          <w:rFonts w:ascii="Book Antiqua" w:eastAsia="Book Antiqua" w:hAnsi="Book Antiqua" w:cs="Book Antiqua"/>
          <w:lang w:val="es-PR"/>
        </w:rPr>
      </w:pPr>
      <w:r w:rsidRPr="00416857">
        <w:rPr>
          <w:rFonts w:ascii="Book Antiqua" w:eastAsia="Book Antiqua" w:hAnsi="Book Antiqua" w:cs="Book Antiqua"/>
          <w:lang w:val="es-PR"/>
        </w:rPr>
        <w:t>La OPAL advierte que, aunque la medida provee un beneficio inmediato en términos de flujo de efectivo, también conlleva un costo de oportunidad fiscal que debe ser cuidadosamente evaluado a la luz del principio de neutralidad fiscal establecido en el Plan Fiscal certificado para Puerto Rico.</w:t>
      </w:r>
    </w:p>
    <w:p w14:paraId="1CC30072" w14:textId="77777777" w:rsidR="003C593C" w:rsidRPr="00416857" w:rsidRDefault="003C593C" w:rsidP="00416857">
      <w:pPr>
        <w:jc w:val="both"/>
        <w:rPr>
          <w:rFonts w:ascii="Book Antiqua" w:eastAsia="Book Antiqua" w:hAnsi="Book Antiqua" w:cs="Book Antiqua"/>
          <w:b/>
          <w:bCs/>
          <w:lang w:val="es-PR"/>
        </w:rPr>
      </w:pPr>
    </w:p>
    <w:p w14:paraId="1D23E10F" w14:textId="77777777" w:rsidR="00810023" w:rsidRDefault="00810023" w:rsidP="003C593C">
      <w:pPr>
        <w:jc w:val="center"/>
        <w:rPr>
          <w:rFonts w:ascii="Book Antiqua" w:eastAsia="Book Antiqua" w:hAnsi="Book Antiqua" w:cs="Book Antiqua"/>
          <w:b/>
          <w:bCs/>
          <w:lang w:val="es-ES"/>
        </w:rPr>
      </w:pPr>
    </w:p>
    <w:p w14:paraId="645A2E33" w14:textId="77777777" w:rsidR="00810023" w:rsidRDefault="00810023" w:rsidP="003C593C">
      <w:pPr>
        <w:jc w:val="center"/>
        <w:rPr>
          <w:rFonts w:ascii="Book Antiqua" w:eastAsia="Book Antiqua" w:hAnsi="Book Antiqua" w:cs="Book Antiqua"/>
          <w:b/>
          <w:bCs/>
          <w:lang w:val="es-ES"/>
        </w:rPr>
      </w:pPr>
    </w:p>
    <w:p w14:paraId="7FF4C9B6" w14:textId="047DACC8"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B49C8EE" w14:textId="6B49769C" w:rsidR="005E6EE1" w:rsidRPr="005E6EE1" w:rsidRDefault="003C593C" w:rsidP="005E6EE1">
      <w:pPr>
        <w:jc w:val="both"/>
        <w:rPr>
          <w:rFonts w:ascii="Book Antiqua" w:eastAsia="Book Antiqua" w:hAnsi="Book Antiqua" w:cs="Book Antiqua"/>
          <w:bCs/>
          <w:lang w:val="es-PR"/>
        </w:rPr>
      </w:pPr>
      <w:r w:rsidRPr="00E135D5">
        <w:rPr>
          <w:rFonts w:ascii="Book Antiqua" w:eastAsia="Book Antiqua" w:hAnsi="Book Antiqua" w:cs="Book Antiqua"/>
          <w:bCs/>
        </w:rPr>
        <w:tab/>
      </w:r>
      <w:r w:rsidR="005E6EE1" w:rsidRPr="005E6EE1">
        <w:rPr>
          <w:rFonts w:ascii="Book Antiqua" w:eastAsia="Book Antiqua" w:hAnsi="Book Antiqua" w:cs="Book Antiqua"/>
          <w:bCs/>
          <w:lang w:val="es-PR"/>
        </w:rPr>
        <w:t>Según el informe 2026-165 emitido por la Oficina de Presupuesto de la Asamblea Legislativa (OPAL), la deuda total acumulada por concepto de multas administrativas asciende a $560.5 millones, desglosados en $315.7 millones en principal y $244.8 millones en recargos, intereses y penalidades.</w:t>
      </w:r>
    </w:p>
    <w:p w14:paraId="40CCC01B" w14:textId="77777777" w:rsidR="005E6EE1" w:rsidRDefault="005E6EE1" w:rsidP="005E6EE1">
      <w:pPr>
        <w:jc w:val="both"/>
        <w:rPr>
          <w:rFonts w:ascii="Book Antiqua" w:eastAsia="Book Antiqua" w:hAnsi="Book Antiqua" w:cs="Book Antiqua"/>
          <w:bCs/>
          <w:lang w:val="es-PR"/>
        </w:rPr>
      </w:pPr>
    </w:p>
    <w:p w14:paraId="18AE3153" w14:textId="293B78C8" w:rsidR="005E6EE1" w:rsidRDefault="005E6EE1" w:rsidP="005E6EE1">
      <w:pPr>
        <w:ind w:firstLine="720"/>
        <w:jc w:val="both"/>
        <w:rPr>
          <w:rFonts w:ascii="Book Antiqua" w:eastAsia="Book Antiqua" w:hAnsi="Book Antiqua" w:cs="Book Antiqua"/>
          <w:bCs/>
          <w:lang w:val="es-PR"/>
        </w:rPr>
      </w:pPr>
      <w:r w:rsidRPr="005E6EE1">
        <w:rPr>
          <w:rFonts w:ascii="Book Antiqua" w:eastAsia="Book Antiqua" w:hAnsi="Book Antiqua" w:cs="Book Antiqua"/>
          <w:bCs/>
          <w:lang w:val="es-PR"/>
        </w:rPr>
        <w:t>La OPAL estima que, bajo condiciones normales, el Estado podría recuperar cerca del 55% de esa deuda, equivalente a $310.1 millones. Sin embargo, con la implementación del incentivo contenido en el P. de la C. 602</w:t>
      </w:r>
      <w:r w:rsidR="00C06D98">
        <w:rPr>
          <w:rFonts w:ascii="Book Antiqua" w:eastAsia="Book Antiqua" w:hAnsi="Book Antiqua" w:cs="Book Antiqua"/>
          <w:bCs/>
          <w:lang w:val="es-PR"/>
        </w:rPr>
        <w:t xml:space="preserve"> </w:t>
      </w:r>
      <w:r w:rsidRPr="005E6EE1">
        <w:rPr>
          <w:rFonts w:ascii="Book Antiqua" w:eastAsia="Book Antiqua" w:hAnsi="Book Antiqua" w:cs="Book Antiqua"/>
          <w:bCs/>
          <w:lang w:val="es-PR"/>
        </w:rPr>
        <w:t>que ofrece un descuento de 40% sobre el total adeudado</w:t>
      </w:r>
      <w:r w:rsidR="00C06D98">
        <w:rPr>
          <w:rFonts w:ascii="Book Antiqua" w:eastAsia="Book Antiqua" w:hAnsi="Book Antiqua" w:cs="Book Antiqua"/>
          <w:bCs/>
          <w:lang w:val="es-PR"/>
        </w:rPr>
        <w:t xml:space="preserve"> </w:t>
      </w:r>
      <w:r w:rsidRPr="005E6EE1">
        <w:rPr>
          <w:rFonts w:ascii="Book Antiqua" w:eastAsia="Book Antiqua" w:hAnsi="Book Antiqua" w:cs="Book Antiqua"/>
          <w:bCs/>
          <w:lang w:val="es-PR"/>
        </w:rPr>
        <w:t>se proyecta un recaudo inmediato de $169.1 millones. De esa cantidad, $93 millones provienen de deudores que probablemente pagarían aún sin incentivos, mientras que $76.1 millones representan ingresos potenciales provenientes de sectores morosos que usualmente no cumplen sus obligaciones sin programas de amnistía.</w:t>
      </w:r>
    </w:p>
    <w:p w14:paraId="07F50F86" w14:textId="77777777" w:rsidR="002672AF" w:rsidRDefault="002672AF" w:rsidP="005E6EE1">
      <w:pPr>
        <w:ind w:firstLine="720"/>
        <w:jc w:val="both"/>
        <w:rPr>
          <w:rFonts w:ascii="Book Antiqua" w:eastAsia="Book Antiqua" w:hAnsi="Book Antiqua" w:cs="Book Antiqua"/>
          <w:bCs/>
          <w:lang w:val="es-PR"/>
        </w:rPr>
      </w:pPr>
    </w:p>
    <w:p w14:paraId="30AB7941" w14:textId="2EB6D6EE" w:rsidR="002672AF" w:rsidRPr="005E6EE1" w:rsidRDefault="002672AF" w:rsidP="005E6EE1">
      <w:pPr>
        <w:ind w:firstLine="720"/>
        <w:jc w:val="both"/>
        <w:rPr>
          <w:rFonts w:ascii="Book Antiqua" w:eastAsia="Book Antiqua" w:hAnsi="Book Antiqua" w:cs="Book Antiqua"/>
          <w:bCs/>
          <w:lang w:val="es-PR"/>
        </w:rPr>
      </w:pPr>
      <w:r w:rsidRPr="002672AF">
        <w:rPr>
          <w:rFonts w:ascii="Book Antiqua" w:eastAsia="Book Antiqua" w:hAnsi="Book Antiqua" w:cs="Book Antiqua"/>
          <w:bCs/>
        </w:rPr>
        <w:t xml:space="preserve">En este contexto, la OPAL concluye que, si bien el P. de la C. </w:t>
      </w:r>
      <w:r w:rsidR="00F22264">
        <w:rPr>
          <w:rFonts w:ascii="Book Antiqua" w:eastAsia="Book Antiqua" w:hAnsi="Book Antiqua" w:cs="Book Antiqua"/>
          <w:bCs/>
        </w:rPr>
        <w:t xml:space="preserve">Núm. </w:t>
      </w:r>
      <w:r w:rsidRPr="002672AF">
        <w:rPr>
          <w:rFonts w:ascii="Book Antiqua" w:eastAsia="Book Antiqua" w:hAnsi="Book Antiqua" w:cs="Book Antiqua"/>
          <w:bCs/>
        </w:rPr>
        <w:t xml:space="preserve">602 implica una reducción en el monto total potencialmente recaudable bajo condiciones ordinarias, también tiene un efecto positivo al capturar ingresos de sectores que históricamente no </w:t>
      </w:r>
      <w:r w:rsidRPr="002672AF">
        <w:rPr>
          <w:rFonts w:ascii="Book Antiqua" w:eastAsia="Book Antiqua" w:hAnsi="Book Antiqua" w:cs="Book Antiqua"/>
          <w:bCs/>
        </w:rPr>
        <w:lastRenderedPageBreak/>
        <w:t>cumplen con sus obligaciones. La medida, por tanto, puede considerarse una herramienta útil para mejorar la liquidez del Estado a corto plazo, sin recurrir a aumentos en tasas o contribuciones.</w:t>
      </w:r>
    </w:p>
    <w:p w14:paraId="39B297A9" w14:textId="77777777" w:rsidR="003C593C" w:rsidRDefault="003C593C" w:rsidP="003C593C">
      <w:pPr>
        <w:rPr>
          <w:rFonts w:ascii="Book Antiqua" w:eastAsia="Book Antiqua" w:hAnsi="Book Antiqua" w:cs="Book Antiqua"/>
          <w:b/>
        </w:rPr>
      </w:pPr>
    </w:p>
    <w:p w14:paraId="1370FA26"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72A0ACBC" w14:textId="16D52932" w:rsidR="007C30D3" w:rsidRDefault="007C30D3" w:rsidP="007C30D3">
      <w:pPr>
        <w:ind w:firstLine="720"/>
        <w:jc w:val="both"/>
        <w:rPr>
          <w:rFonts w:ascii="Book Antiqua" w:eastAsia="Book Antiqua" w:hAnsi="Book Antiqua" w:cs="Book Antiqua"/>
          <w:lang w:val="es-PR"/>
        </w:rPr>
      </w:pPr>
      <w:r w:rsidRPr="007C30D3">
        <w:rPr>
          <w:rFonts w:ascii="Book Antiqua" w:eastAsia="Book Antiqua" w:hAnsi="Book Antiqua" w:cs="Book Antiqua"/>
          <w:lang w:val="es-PR"/>
        </w:rPr>
        <w:t xml:space="preserve">Luego de un riguroso proceso de evaluación, que incluyó la celebración de vistas públicas, la recepción de memoriales de agencias pertinentes y el análisis del impacto fiscal por parte de la Oficina de Presupuesto de la Asamblea Legislativa (OPAL), la Comisión de Transportación e Infraestructura de la Cámara de Representantes concluye que el Proyecto de la Cámara </w:t>
      </w:r>
      <w:r w:rsidR="00F22264">
        <w:rPr>
          <w:rFonts w:ascii="Book Antiqua" w:eastAsia="Book Antiqua" w:hAnsi="Book Antiqua" w:cs="Book Antiqua"/>
          <w:lang w:val="es-PR"/>
        </w:rPr>
        <w:t xml:space="preserve">Núm. </w:t>
      </w:r>
      <w:r w:rsidRPr="007C30D3">
        <w:rPr>
          <w:rFonts w:ascii="Book Antiqua" w:eastAsia="Book Antiqua" w:hAnsi="Book Antiqua" w:cs="Book Antiqua"/>
          <w:lang w:val="es-PR"/>
        </w:rPr>
        <w:t>602 responde a una necesidad urgente y justificada de política pública.</w:t>
      </w:r>
    </w:p>
    <w:p w14:paraId="14D4A087" w14:textId="77777777" w:rsidR="007C30D3" w:rsidRPr="007C30D3" w:rsidRDefault="007C30D3" w:rsidP="007C30D3">
      <w:pPr>
        <w:ind w:firstLine="720"/>
        <w:jc w:val="both"/>
        <w:rPr>
          <w:rFonts w:ascii="Book Antiqua" w:eastAsia="Book Antiqua" w:hAnsi="Book Antiqua" w:cs="Book Antiqua"/>
          <w:lang w:val="es-PR"/>
        </w:rPr>
      </w:pPr>
    </w:p>
    <w:p w14:paraId="190FA7E7" w14:textId="77777777" w:rsidR="007C30D3" w:rsidRDefault="007C30D3" w:rsidP="007C30D3">
      <w:pPr>
        <w:ind w:firstLine="720"/>
        <w:jc w:val="both"/>
        <w:rPr>
          <w:rFonts w:ascii="Book Antiqua" w:eastAsia="Book Antiqua" w:hAnsi="Book Antiqua" w:cs="Book Antiqua"/>
          <w:lang w:val="es-PR"/>
        </w:rPr>
      </w:pPr>
      <w:r w:rsidRPr="007C30D3">
        <w:rPr>
          <w:rFonts w:ascii="Book Antiqua" w:eastAsia="Book Antiqua" w:hAnsi="Book Antiqua" w:cs="Book Antiqua"/>
          <w:lang w:val="es-PR"/>
        </w:rPr>
        <w:t>Esta medida representa un balance adecuado entre el interés del Estado en allegar fondos para la infraestructura vial del país y la necesidad ciudadana de acceder a mecanismos justos y razonables para cumplir con sus obligaciones. El incentivo propuesto permitirá aliviar cargas económicas, corregir ineficiencias acumuladas en el sistema de multas administrativas y promover un mayor grado de cumplimiento voluntario.</w:t>
      </w:r>
    </w:p>
    <w:p w14:paraId="11233778" w14:textId="77777777" w:rsidR="007C30D3" w:rsidRPr="007C30D3" w:rsidRDefault="007C30D3" w:rsidP="007C30D3">
      <w:pPr>
        <w:ind w:firstLine="720"/>
        <w:jc w:val="both"/>
        <w:rPr>
          <w:rFonts w:ascii="Book Antiqua" w:eastAsia="Book Antiqua" w:hAnsi="Book Antiqua" w:cs="Book Antiqua"/>
          <w:lang w:val="es-PR"/>
        </w:rPr>
      </w:pPr>
    </w:p>
    <w:p w14:paraId="08A90949" w14:textId="77777777" w:rsidR="007C30D3" w:rsidRDefault="007C30D3" w:rsidP="007C30D3">
      <w:pPr>
        <w:ind w:firstLine="720"/>
        <w:jc w:val="both"/>
        <w:rPr>
          <w:rFonts w:ascii="Book Antiqua" w:eastAsia="Book Antiqua" w:hAnsi="Book Antiqua" w:cs="Book Antiqua"/>
          <w:lang w:val="es-PR"/>
        </w:rPr>
      </w:pPr>
      <w:r w:rsidRPr="007C30D3">
        <w:rPr>
          <w:rFonts w:ascii="Book Antiqua" w:eastAsia="Book Antiqua" w:hAnsi="Book Antiqua" w:cs="Book Antiqua"/>
          <w:lang w:val="es-PR"/>
        </w:rPr>
        <w:t xml:space="preserve">Asimismo, el proyecto tiene el potencial de generar ingresos significativos a corto plazo sin necesidad de imponer nuevas cargas contributivas, al tiempo que incorpora recomendaciones puntuales de agencias como el Departamento de Hacienda, DTOP, AAFAF, OGP y </w:t>
      </w:r>
      <w:proofErr w:type="spellStart"/>
      <w:r w:rsidRPr="007C30D3">
        <w:rPr>
          <w:rFonts w:ascii="Book Antiqua" w:eastAsia="Book Antiqua" w:hAnsi="Book Antiqua" w:cs="Book Antiqua"/>
          <w:lang w:val="es-PR"/>
        </w:rPr>
        <w:t>Metropistas</w:t>
      </w:r>
      <w:proofErr w:type="spellEnd"/>
      <w:r w:rsidRPr="007C30D3">
        <w:rPr>
          <w:rFonts w:ascii="Book Antiqua" w:eastAsia="Book Antiqua" w:hAnsi="Book Antiqua" w:cs="Book Antiqua"/>
          <w:lang w:val="es-PR"/>
        </w:rPr>
        <w:t>. Su implementación, debidamente coordinada y fiscalizada, contribuirá a la estabilidad financiera y a la confianza ciudadana en los procesos del gobierno.</w:t>
      </w:r>
    </w:p>
    <w:p w14:paraId="04195C0E" w14:textId="77777777" w:rsidR="007C30D3" w:rsidRPr="007C30D3" w:rsidRDefault="007C30D3" w:rsidP="007C30D3">
      <w:pPr>
        <w:ind w:firstLine="720"/>
        <w:jc w:val="both"/>
        <w:rPr>
          <w:rFonts w:ascii="Book Antiqua" w:eastAsia="Book Antiqua" w:hAnsi="Book Antiqua" w:cs="Book Antiqua"/>
          <w:lang w:val="es-PR"/>
        </w:rPr>
      </w:pPr>
    </w:p>
    <w:p w14:paraId="57D5EA1E" w14:textId="5AE68E79" w:rsidR="007C30D3" w:rsidRDefault="007C30D3" w:rsidP="007C30D3">
      <w:pPr>
        <w:ind w:firstLine="720"/>
        <w:jc w:val="both"/>
        <w:rPr>
          <w:rFonts w:ascii="Book Antiqua" w:eastAsia="Book Antiqua" w:hAnsi="Book Antiqua" w:cs="Book Antiqua"/>
          <w:lang w:val="es-PR"/>
        </w:rPr>
      </w:pPr>
      <w:r w:rsidRPr="007C30D3">
        <w:rPr>
          <w:rFonts w:ascii="Book Antiqua" w:eastAsia="Book Antiqua" w:hAnsi="Book Antiqua" w:cs="Book Antiqua"/>
          <w:lang w:val="es-PR"/>
        </w:rPr>
        <w:t>Es importante señalar que esta Comisión enmendó la medida a los fines de eliminar el descuento aplicable a los planes de pago, en reconocimiento de que este aspecto fue recientemente atendido mediante la aprobación de la Ley</w:t>
      </w:r>
      <w:r w:rsidR="00F26E09">
        <w:rPr>
          <w:rFonts w:ascii="Book Antiqua" w:eastAsia="Book Antiqua" w:hAnsi="Book Antiqua" w:cs="Book Antiqua"/>
          <w:lang w:val="es-PR"/>
        </w:rPr>
        <w:t xml:space="preserve"> Núm.</w:t>
      </w:r>
      <w:r w:rsidRPr="007C30D3">
        <w:rPr>
          <w:rFonts w:ascii="Book Antiqua" w:eastAsia="Book Antiqua" w:hAnsi="Book Antiqua" w:cs="Book Antiqua"/>
          <w:lang w:val="es-PR"/>
        </w:rPr>
        <w:t xml:space="preserve"> 52-2025, la cual establece un marco legal específico para el manejo y descuento de deudas mediante planes de pago. De esta forma, se evita la duplicidad de beneficios y se asegura la coherencia entre las distintas iniciativas legislativas.</w:t>
      </w:r>
    </w:p>
    <w:p w14:paraId="5AE5CE18" w14:textId="77777777" w:rsidR="00C43B67" w:rsidRDefault="00C43B67" w:rsidP="007C30D3">
      <w:pPr>
        <w:ind w:firstLine="720"/>
        <w:jc w:val="both"/>
        <w:rPr>
          <w:rFonts w:ascii="Book Antiqua" w:eastAsia="Book Antiqua" w:hAnsi="Book Antiqua" w:cs="Book Antiqua"/>
          <w:lang w:val="es-PR"/>
        </w:rPr>
      </w:pPr>
    </w:p>
    <w:p w14:paraId="7DB1B84E" w14:textId="7B6BE962" w:rsidR="00B711AF" w:rsidRDefault="00C43B67" w:rsidP="004D4467">
      <w:pPr>
        <w:ind w:firstLine="720"/>
        <w:jc w:val="both"/>
        <w:rPr>
          <w:rFonts w:ascii="Book Antiqua" w:eastAsia="Book Antiqua" w:hAnsi="Book Antiqua" w:cs="Book Antiqua"/>
        </w:rPr>
      </w:pPr>
      <w:r w:rsidRPr="00C43B67">
        <w:rPr>
          <w:rFonts w:ascii="Book Antiqua" w:eastAsia="Book Antiqua" w:hAnsi="Book Antiqua" w:cs="Book Antiqua"/>
        </w:rPr>
        <w:t>Adicionalmente, esta Comisión enmendó el proyecto para simplificar el alcance del incentivo, estableciendo un único descuento uniforme del cuarenta por ciento (40%) aplicable a la totalidad de la deuda, incluyendo principal, intereses, recargos y penalidades. Esta enmienda busca eliminar ambigüedades interpretativas, facilitar la implementación del programa y brindar mayor certeza y equidad al ciudadano.</w:t>
      </w:r>
    </w:p>
    <w:p w14:paraId="77C58DAB" w14:textId="77777777" w:rsidR="002F17E0" w:rsidRDefault="002F17E0" w:rsidP="004D4467">
      <w:pPr>
        <w:ind w:firstLine="720"/>
        <w:jc w:val="both"/>
        <w:rPr>
          <w:rFonts w:ascii="Book Antiqua" w:eastAsia="Book Antiqua" w:hAnsi="Book Antiqua" w:cs="Book Antiqua"/>
        </w:rPr>
      </w:pPr>
    </w:p>
    <w:p w14:paraId="4A27561F" w14:textId="77777777" w:rsidR="002F17E0" w:rsidRDefault="002F17E0" w:rsidP="004D4467">
      <w:pPr>
        <w:ind w:firstLine="720"/>
        <w:jc w:val="both"/>
        <w:rPr>
          <w:rFonts w:ascii="Book Antiqua" w:eastAsia="Book Antiqua" w:hAnsi="Book Antiqua" w:cs="Book Antiqua"/>
        </w:rPr>
      </w:pPr>
    </w:p>
    <w:p w14:paraId="79AE7D32" w14:textId="77777777" w:rsidR="002F17E0" w:rsidRDefault="002F17E0" w:rsidP="004D4467">
      <w:pPr>
        <w:ind w:firstLine="720"/>
        <w:jc w:val="both"/>
        <w:rPr>
          <w:rFonts w:ascii="Book Antiqua" w:eastAsia="Book Antiqua" w:hAnsi="Book Antiqua" w:cs="Book Antiqua"/>
          <w:lang w:val="es-PR"/>
        </w:rPr>
      </w:pPr>
    </w:p>
    <w:p w14:paraId="0C22D2D1" w14:textId="24DDA1BD"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lastRenderedPageBreak/>
        <w:t xml:space="preserve">Por lo antes expuesto, </w:t>
      </w:r>
      <w:r w:rsidR="007E59CA">
        <w:rPr>
          <w:rFonts w:ascii="Book Antiqua" w:eastAsia="Book Antiqua" w:hAnsi="Book Antiqua" w:cs="Book Antiqua"/>
          <w:lang w:val="es-PR"/>
        </w:rPr>
        <w:t xml:space="preserve">la </w:t>
      </w:r>
      <w:r w:rsidR="00FE5B05">
        <w:rPr>
          <w:rFonts w:ascii="Book Antiqua" w:eastAsia="Book Antiqua" w:hAnsi="Book Antiqua" w:cs="Book Antiqua"/>
          <w:lang w:val="es-PR"/>
        </w:rPr>
        <w:t xml:space="preserve">Comision de Transportacion e </w:t>
      </w:r>
      <w:r w:rsidR="004E493B">
        <w:rPr>
          <w:rFonts w:ascii="Book Antiqua" w:eastAsia="Book Antiqua" w:hAnsi="Book Antiqua" w:cs="Book Antiqua"/>
          <w:lang w:val="es-PR"/>
        </w:rPr>
        <w:t>Infraestructura</w:t>
      </w:r>
      <w:r w:rsidRPr="005240C0">
        <w:rPr>
          <w:rFonts w:ascii="Book Antiqua" w:eastAsia="Book Antiqua" w:hAnsi="Book Antiqua" w:cs="Book Antiqua"/>
          <w:lang w:val="es-PR"/>
        </w:rPr>
        <w:t xml:space="preserve"> recomienda</w:t>
      </w:r>
      <w:r w:rsidR="002E5352">
        <w:rPr>
          <w:rFonts w:ascii="Book Antiqua" w:eastAsia="Book Antiqua" w:hAnsi="Book Antiqua" w:cs="Book Antiqua"/>
          <w:lang w:val="es-PR"/>
        </w:rPr>
        <w:t>n</w:t>
      </w:r>
      <w:r w:rsidRPr="005240C0">
        <w:rPr>
          <w:rFonts w:ascii="Book Antiqua" w:eastAsia="Book Antiqua" w:hAnsi="Book Antiqua" w:cs="Book Antiqua"/>
          <w:lang w:val="es-PR"/>
        </w:rPr>
        <w:t xml:space="preserve">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Núm. </w:t>
      </w:r>
      <w:r w:rsidR="002E5352">
        <w:rPr>
          <w:rFonts w:ascii="Book Antiqua" w:eastAsia="Book Antiqua" w:hAnsi="Book Antiqua" w:cs="Book Antiqua"/>
          <w:lang w:val="es-PR"/>
        </w:rPr>
        <w:t>602</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206C3353" w14:textId="77777777" w:rsidR="003C593C" w:rsidRDefault="003C593C" w:rsidP="003C593C">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3B11068B" w14:textId="77777777" w:rsidR="002E5352" w:rsidRDefault="002E5352" w:rsidP="003C593C">
      <w:pPr>
        <w:jc w:val="both"/>
        <w:rPr>
          <w:rFonts w:ascii="Book Antiqua" w:eastAsia="Book Antiqua" w:hAnsi="Book Antiqua" w:cs="Book Antiqua"/>
        </w:rPr>
      </w:pPr>
    </w:p>
    <w:p w14:paraId="6209C002" w14:textId="77777777" w:rsidR="002E5352" w:rsidRDefault="002E5352" w:rsidP="003C593C">
      <w:pPr>
        <w:jc w:val="both"/>
        <w:rPr>
          <w:rFonts w:ascii="Book Antiqua" w:eastAsia="Book Antiqua" w:hAnsi="Book Antiqua" w:cs="Book Antiqua"/>
        </w:rPr>
      </w:pPr>
    </w:p>
    <w:p w14:paraId="6A559A1E" w14:textId="77777777" w:rsidR="00950462" w:rsidRDefault="00950462" w:rsidP="003C593C">
      <w:pPr>
        <w:jc w:val="both"/>
        <w:rPr>
          <w:rFonts w:ascii="Book Antiqua" w:eastAsia="Book Antiqua" w:hAnsi="Book Antiqua" w:cs="Book Antiqua"/>
        </w:rPr>
      </w:pPr>
    </w:p>
    <w:p w14:paraId="1D001D35" w14:textId="77777777" w:rsidR="00950462" w:rsidRDefault="00950462" w:rsidP="003C593C">
      <w:pPr>
        <w:jc w:val="both"/>
        <w:rPr>
          <w:rFonts w:ascii="Book Antiqua" w:eastAsia="Book Antiqua" w:hAnsi="Book Antiqua" w:cs="Book Antiqua"/>
        </w:rPr>
      </w:pPr>
    </w:p>
    <w:p w14:paraId="0442F9C6" w14:textId="77777777" w:rsidR="00950462" w:rsidRDefault="00950462" w:rsidP="003C593C">
      <w:pPr>
        <w:jc w:val="both"/>
        <w:rPr>
          <w:rFonts w:ascii="Book Antiqua" w:eastAsia="Book Antiqua" w:hAnsi="Book Antiqua" w:cs="Book Antiqua"/>
        </w:rPr>
      </w:pPr>
    </w:p>
    <w:p w14:paraId="578F0E39" w14:textId="77777777" w:rsidR="00950462" w:rsidRDefault="00950462" w:rsidP="003C593C">
      <w:pPr>
        <w:jc w:val="both"/>
        <w:rPr>
          <w:rFonts w:ascii="Book Antiqua" w:eastAsia="Book Antiqua" w:hAnsi="Book Antiqua" w:cs="Book Antiqua"/>
        </w:rPr>
      </w:pPr>
    </w:p>
    <w:p w14:paraId="717D6F74" w14:textId="77777777" w:rsidR="00950462" w:rsidRDefault="00950462" w:rsidP="003C593C">
      <w:pPr>
        <w:jc w:val="both"/>
        <w:rPr>
          <w:rFonts w:ascii="Book Antiqua" w:eastAsia="Book Antiqua" w:hAnsi="Book Antiqua" w:cs="Book Antiqua"/>
        </w:rPr>
      </w:pPr>
    </w:p>
    <w:p w14:paraId="3FF89B18" w14:textId="2D08B659"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9D449" w14:textId="77777777" w:rsidR="00BE73AD" w:rsidRDefault="00BE73AD">
      <w:r>
        <w:separator/>
      </w:r>
    </w:p>
  </w:endnote>
  <w:endnote w:type="continuationSeparator" w:id="0">
    <w:p w14:paraId="2D5588E4" w14:textId="77777777" w:rsidR="00BE73AD" w:rsidRDefault="00BE7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49B5108-2A49-4A05-995D-AA97A29F0FE2}"/>
  </w:font>
  <w:font w:name="Helvetica">
    <w:panose1 w:val="020B0604020202020204"/>
    <w:charset w:val="00"/>
    <w:family w:val="swiss"/>
    <w:pitch w:val="variable"/>
    <w:sig w:usb0="E0002EFF" w:usb1="C000785B" w:usb2="00000009" w:usb3="00000000" w:csb0="000001FF" w:csb1="00000000"/>
    <w:embedRegular r:id="rId2" w:fontKey="{D7E5F31C-C452-4FDF-84EA-A73D1218186B}"/>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F6CAEC2-B5AA-4484-8CD2-C78DCAFDC8DB}"/>
  </w:font>
  <w:font w:name="Georgia">
    <w:panose1 w:val="02040502050405020303"/>
    <w:charset w:val="00"/>
    <w:family w:val="roman"/>
    <w:pitch w:val="variable"/>
    <w:sig w:usb0="00000287" w:usb1="00000000" w:usb2="00000000" w:usb3="00000000" w:csb0="0000009F" w:csb1="00000000"/>
    <w:embedRegular r:id="rId4" w:fontKey="{9945CF2A-2EA3-4FEF-ADAE-9D81FC0367F1}"/>
    <w:embedItalic r:id="rId5" w:fontKey="{ECB4F026-723C-4EA9-BF12-DA50F0EC02D9}"/>
  </w:font>
  <w:font w:name="Book Antiqua">
    <w:panose1 w:val="02040602050305030304"/>
    <w:charset w:val="00"/>
    <w:family w:val="roman"/>
    <w:pitch w:val="variable"/>
    <w:sig w:usb0="00000287" w:usb1="00000000" w:usb2="00000000" w:usb3="00000000" w:csb0="0000009F" w:csb1="00000000"/>
    <w:embedRegular r:id="rId6" w:fontKey="{15F69BD8-5FEB-4589-B0F4-FFD45691BD15}"/>
    <w:embedBold r:id="rId7" w:fontKey="{FCFCED61-FFAB-444B-A5F4-1FB6427B2B74}"/>
  </w:font>
  <w:font w:name="Lustria">
    <w:altName w:val="Calibri"/>
    <w:charset w:val="00"/>
    <w:family w:val="auto"/>
    <w:pitch w:val="default"/>
    <w:embedRegular r:id="rId8" w:fontKey="{8A4D7455-59BD-48E3-A666-2DBFEFBDC47B}"/>
    <w:embedBoldItalic r:id="rId9" w:fontKey="{56FB6F7E-A652-44B4-AC8E-DE709D2A3AF8}"/>
  </w:font>
  <w:font w:name="Cambria">
    <w:panose1 w:val="02040503050406030204"/>
    <w:charset w:val="00"/>
    <w:family w:val="roman"/>
    <w:pitch w:val="variable"/>
    <w:sig w:usb0="E00006FF" w:usb1="420024FF" w:usb2="02000000" w:usb3="00000000" w:csb0="0000019F" w:csb1="00000000"/>
    <w:embedRegular r:id="rId10" w:fontKey="{8473FFE7-6219-43D0-A5C2-6B108F4584C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01B40" w14:textId="77777777" w:rsidR="00BE73AD" w:rsidRDefault="00BE73AD">
      <w:r>
        <w:separator/>
      </w:r>
    </w:p>
  </w:footnote>
  <w:footnote w:type="continuationSeparator" w:id="0">
    <w:p w14:paraId="0273E172" w14:textId="77777777" w:rsidR="00BE73AD" w:rsidRDefault="00BE7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8342F33"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w:t>
    </w:r>
    <w:r w:rsidR="00490F7A">
      <w:rPr>
        <w:rFonts w:ascii="Lustria" w:eastAsia="Lustria" w:hAnsi="Lustria" w:cs="Lustria"/>
        <w:b/>
        <w:i/>
        <w:sz w:val="22"/>
        <w:szCs w:val="22"/>
      </w:rPr>
      <w:t>la</w:t>
    </w:r>
    <w:r>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Pr>
        <w:rFonts w:ascii="Lustria" w:eastAsia="Lustria" w:hAnsi="Lustria" w:cs="Lustria"/>
        <w:b/>
        <w:i/>
        <w:sz w:val="22"/>
        <w:szCs w:val="22"/>
      </w:rPr>
      <w:t xml:space="preserve">. </w:t>
    </w:r>
    <w:r w:rsidR="0049038B">
      <w:rPr>
        <w:rFonts w:ascii="Lustria" w:eastAsia="Lustria" w:hAnsi="Lustria" w:cs="Lustria"/>
        <w:b/>
        <w:i/>
        <w:sz w:val="22"/>
        <w:szCs w:val="22"/>
      </w:rPr>
      <w:t>602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14314"/>
    <w:rsid w:val="00020305"/>
    <w:rsid w:val="000241DA"/>
    <w:rsid w:val="0002740C"/>
    <w:rsid w:val="00051D05"/>
    <w:rsid w:val="000562AB"/>
    <w:rsid w:val="00074013"/>
    <w:rsid w:val="00074560"/>
    <w:rsid w:val="00080F3B"/>
    <w:rsid w:val="00097B26"/>
    <w:rsid w:val="000A752D"/>
    <w:rsid w:val="000C098A"/>
    <w:rsid w:val="000D0A0F"/>
    <w:rsid w:val="000D1EC0"/>
    <w:rsid w:val="000F7A24"/>
    <w:rsid w:val="00101FB4"/>
    <w:rsid w:val="001132A2"/>
    <w:rsid w:val="001138BA"/>
    <w:rsid w:val="0012417C"/>
    <w:rsid w:val="001460E6"/>
    <w:rsid w:val="00147B7C"/>
    <w:rsid w:val="00160C1F"/>
    <w:rsid w:val="00161938"/>
    <w:rsid w:val="001619B2"/>
    <w:rsid w:val="00166443"/>
    <w:rsid w:val="001714C4"/>
    <w:rsid w:val="0019085D"/>
    <w:rsid w:val="00191185"/>
    <w:rsid w:val="001A3E93"/>
    <w:rsid w:val="001A5C59"/>
    <w:rsid w:val="001C20CB"/>
    <w:rsid w:val="001C402F"/>
    <w:rsid w:val="001D19B7"/>
    <w:rsid w:val="001D424E"/>
    <w:rsid w:val="001D4307"/>
    <w:rsid w:val="001D6B27"/>
    <w:rsid w:val="001E16CE"/>
    <w:rsid w:val="001E2EB4"/>
    <w:rsid w:val="001E52A3"/>
    <w:rsid w:val="001E6E24"/>
    <w:rsid w:val="00202B9F"/>
    <w:rsid w:val="00204C67"/>
    <w:rsid w:val="00220975"/>
    <w:rsid w:val="00222393"/>
    <w:rsid w:val="00235829"/>
    <w:rsid w:val="00243460"/>
    <w:rsid w:val="00255350"/>
    <w:rsid w:val="00255600"/>
    <w:rsid w:val="002626D8"/>
    <w:rsid w:val="00266B2F"/>
    <w:rsid w:val="002672AF"/>
    <w:rsid w:val="00274850"/>
    <w:rsid w:val="0028586B"/>
    <w:rsid w:val="002C5A67"/>
    <w:rsid w:val="002D4DC3"/>
    <w:rsid w:val="002E1FA6"/>
    <w:rsid w:val="002E4506"/>
    <w:rsid w:val="002E5352"/>
    <w:rsid w:val="002E62AC"/>
    <w:rsid w:val="002E69C5"/>
    <w:rsid w:val="002E6DD3"/>
    <w:rsid w:val="002F0C30"/>
    <w:rsid w:val="002F17E0"/>
    <w:rsid w:val="003203DD"/>
    <w:rsid w:val="0032353E"/>
    <w:rsid w:val="003277C8"/>
    <w:rsid w:val="00333FB4"/>
    <w:rsid w:val="0033480C"/>
    <w:rsid w:val="003448B4"/>
    <w:rsid w:val="0035050C"/>
    <w:rsid w:val="0035616B"/>
    <w:rsid w:val="003638D7"/>
    <w:rsid w:val="0037197C"/>
    <w:rsid w:val="00373E49"/>
    <w:rsid w:val="00382780"/>
    <w:rsid w:val="00383D79"/>
    <w:rsid w:val="003867AC"/>
    <w:rsid w:val="0039352E"/>
    <w:rsid w:val="0039437F"/>
    <w:rsid w:val="003A0F94"/>
    <w:rsid w:val="003B5DBE"/>
    <w:rsid w:val="003C593C"/>
    <w:rsid w:val="003E1771"/>
    <w:rsid w:val="003E479C"/>
    <w:rsid w:val="00400B99"/>
    <w:rsid w:val="0040682A"/>
    <w:rsid w:val="00416857"/>
    <w:rsid w:val="004277D8"/>
    <w:rsid w:val="00431557"/>
    <w:rsid w:val="00457D72"/>
    <w:rsid w:val="004673DA"/>
    <w:rsid w:val="0047119B"/>
    <w:rsid w:val="004730E0"/>
    <w:rsid w:val="00473D39"/>
    <w:rsid w:val="00475814"/>
    <w:rsid w:val="0048597D"/>
    <w:rsid w:val="0049038B"/>
    <w:rsid w:val="00490F7A"/>
    <w:rsid w:val="0049326F"/>
    <w:rsid w:val="004A6565"/>
    <w:rsid w:val="004D3D36"/>
    <w:rsid w:val="004D4467"/>
    <w:rsid w:val="004E176A"/>
    <w:rsid w:val="004E28E4"/>
    <w:rsid w:val="004E493B"/>
    <w:rsid w:val="00500BFE"/>
    <w:rsid w:val="00501798"/>
    <w:rsid w:val="005052CF"/>
    <w:rsid w:val="005059B4"/>
    <w:rsid w:val="00505CFA"/>
    <w:rsid w:val="00506A3D"/>
    <w:rsid w:val="00514890"/>
    <w:rsid w:val="00516ECF"/>
    <w:rsid w:val="005227C0"/>
    <w:rsid w:val="00523B9F"/>
    <w:rsid w:val="00533BBD"/>
    <w:rsid w:val="00541AAC"/>
    <w:rsid w:val="005456F5"/>
    <w:rsid w:val="00550313"/>
    <w:rsid w:val="00557604"/>
    <w:rsid w:val="00565439"/>
    <w:rsid w:val="005858EA"/>
    <w:rsid w:val="00590645"/>
    <w:rsid w:val="0059178D"/>
    <w:rsid w:val="00596F5B"/>
    <w:rsid w:val="005A0FAC"/>
    <w:rsid w:val="005A1843"/>
    <w:rsid w:val="005A4FEF"/>
    <w:rsid w:val="005E4A2F"/>
    <w:rsid w:val="005E6EE1"/>
    <w:rsid w:val="005F3F68"/>
    <w:rsid w:val="00605CE1"/>
    <w:rsid w:val="0060692B"/>
    <w:rsid w:val="00632F34"/>
    <w:rsid w:val="00634A11"/>
    <w:rsid w:val="006354F3"/>
    <w:rsid w:val="00642646"/>
    <w:rsid w:val="00645210"/>
    <w:rsid w:val="00650F9B"/>
    <w:rsid w:val="0068352C"/>
    <w:rsid w:val="006908FA"/>
    <w:rsid w:val="006A552A"/>
    <w:rsid w:val="006A7E5E"/>
    <w:rsid w:val="006C6043"/>
    <w:rsid w:val="006D11F6"/>
    <w:rsid w:val="006D297F"/>
    <w:rsid w:val="006E029C"/>
    <w:rsid w:val="006E334B"/>
    <w:rsid w:val="00700566"/>
    <w:rsid w:val="00714BB4"/>
    <w:rsid w:val="0071797E"/>
    <w:rsid w:val="00735C8F"/>
    <w:rsid w:val="00740A3C"/>
    <w:rsid w:val="00746DF8"/>
    <w:rsid w:val="00766B8B"/>
    <w:rsid w:val="00771802"/>
    <w:rsid w:val="0077204A"/>
    <w:rsid w:val="00772095"/>
    <w:rsid w:val="00785FCE"/>
    <w:rsid w:val="0079045F"/>
    <w:rsid w:val="007923B1"/>
    <w:rsid w:val="00792831"/>
    <w:rsid w:val="00797E58"/>
    <w:rsid w:val="00797FCC"/>
    <w:rsid w:val="007C10F4"/>
    <w:rsid w:val="007C30D3"/>
    <w:rsid w:val="007C31AB"/>
    <w:rsid w:val="007C3C34"/>
    <w:rsid w:val="007C6404"/>
    <w:rsid w:val="007E45EE"/>
    <w:rsid w:val="007E59CA"/>
    <w:rsid w:val="007F09EB"/>
    <w:rsid w:val="007F0CDC"/>
    <w:rsid w:val="007F5687"/>
    <w:rsid w:val="00801D73"/>
    <w:rsid w:val="008051CE"/>
    <w:rsid w:val="00810023"/>
    <w:rsid w:val="0081149E"/>
    <w:rsid w:val="00817784"/>
    <w:rsid w:val="008273CC"/>
    <w:rsid w:val="0083245E"/>
    <w:rsid w:val="0083404D"/>
    <w:rsid w:val="008355F8"/>
    <w:rsid w:val="00835F7B"/>
    <w:rsid w:val="00842EBD"/>
    <w:rsid w:val="0085373F"/>
    <w:rsid w:val="0085568D"/>
    <w:rsid w:val="00862F9B"/>
    <w:rsid w:val="00873385"/>
    <w:rsid w:val="00875CE7"/>
    <w:rsid w:val="008821BD"/>
    <w:rsid w:val="008A65F0"/>
    <w:rsid w:val="008A7B90"/>
    <w:rsid w:val="008B5454"/>
    <w:rsid w:val="008B5FAA"/>
    <w:rsid w:val="008C4100"/>
    <w:rsid w:val="008C48C5"/>
    <w:rsid w:val="008D3F5B"/>
    <w:rsid w:val="008D6873"/>
    <w:rsid w:val="008E7719"/>
    <w:rsid w:val="008F30F0"/>
    <w:rsid w:val="00902B02"/>
    <w:rsid w:val="009048A3"/>
    <w:rsid w:val="0091544D"/>
    <w:rsid w:val="00917278"/>
    <w:rsid w:val="00922397"/>
    <w:rsid w:val="00937868"/>
    <w:rsid w:val="00940A79"/>
    <w:rsid w:val="00950462"/>
    <w:rsid w:val="009742B0"/>
    <w:rsid w:val="009821D1"/>
    <w:rsid w:val="009A30EC"/>
    <w:rsid w:val="009C6874"/>
    <w:rsid w:val="009E0BE7"/>
    <w:rsid w:val="009E2886"/>
    <w:rsid w:val="009E7555"/>
    <w:rsid w:val="00A11D0B"/>
    <w:rsid w:val="00A2169D"/>
    <w:rsid w:val="00A24012"/>
    <w:rsid w:val="00A27CCB"/>
    <w:rsid w:val="00A3230D"/>
    <w:rsid w:val="00A43849"/>
    <w:rsid w:val="00A52329"/>
    <w:rsid w:val="00A54084"/>
    <w:rsid w:val="00A57E02"/>
    <w:rsid w:val="00A62FD8"/>
    <w:rsid w:val="00A75CF8"/>
    <w:rsid w:val="00A7614C"/>
    <w:rsid w:val="00A91F42"/>
    <w:rsid w:val="00A95142"/>
    <w:rsid w:val="00AA6B64"/>
    <w:rsid w:val="00AB0F82"/>
    <w:rsid w:val="00AB45BB"/>
    <w:rsid w:val="00AC5253"/>
    <w:rsid w:val="00AC675D"/>
    <w:rsid w:val="00AC7FD7"/>
    <w:rsid w:val="00AD05EA"/>
    <w:rsid w:val="00AD78B8"/>
    <w:rsid w:val="00AE1FD3"/>
    <w:rsid w:val="00AE44CF"/>
    <w:rsid w:val="00B10161"/>
    <w:rsid w:val="00B118EC"/>
    <w:rsid w:val="00B12A38"/>
    <w:rsid w:val="00B43BBC"/>
    <w:rsid w:val="00B45C76"/>
    <w:rsid w:val="00B46572"/>
    <w:rsid w:val="00B46ABC"/>
    <w:rsid w:val="00B52476"/>
    <w:rsid w:val="00B57A56"/>
    <w:rsid w:val="00B711AF"/>
    <w:rsid w:val="00B803A7"/>
    <w:rsid w:val="00B93150"/>
    <w:rsid w:val="00B9537F"/>
    <w:rsid w:val="00B9547E"/>
    <w:rsid w:val="00B97590"/>
    <w:rsid w:val="00BA1D1A"/>
    <w:rsid w:val="00BA4DF7"/>
    <w:rsid w:val="00BC0B1A"/>
    <w:rsid w:val="00BC1AEB"/>
    <w:rsid w:val="00BD4DE6"/>
    <w:rsid w:val="00BE2F13"/>
    <w:rsid w:val="00BE73AD"/>
    <w:rsid w:val="00C023B0"/>
    <w:rsid w:val="00C06D98"/>
    <w:rsid w:val="00C13D9D"/>
    <w:rsid w:val="00C1423C"/>
    <w:rsid w:val="00C211D3"/>
    <w:rsid w:val="00C37353"/>
    <w:rsid w:val="00C41351"/>
    <w:rsid w:val="00C41F71"/>
    <w:rsid w:val="00C43B67"/>
    <w:rsid w:val="00C667AF"/>
    <w:rsid w:val="00C7132A"/>
    <w:rsid w:val="00C73728"/>
    <w:rsid w:val="00C82CE2"/>
    <w:rsid w:val="00C87206"/>
    <w:rsid w:val="00C944CF"/>
    <w:rsid w:val="00CA549E"/>
    <w:rsid w:val="00CA6335"/>
    <w:rsid w:val="00CB5781"/>
    <w:rsid w:val="00CC0947"/>
    <w:rsid w:val="00CD3D96"/>
    <w:rsid w:val="00CD59A0"/>
    <w:rsid w:val="00CD62E0"/>
    <w:rsid w:val="00CE1F60"/>
    <w:rsid w:val="00CE3657"/>
    <w:rsid w:val="00CE3E07"/>
    <w:rsid w:val="00CF2A8C"/>
    <w:rsid w:val="00D10113"/>
    <w:rsid w:val="00D13155"/>
    <w:rsid w:val="00D151EE"/>
    <w:rsid w:val="00D15BF2"/>
    <w:rsid w:val="00D16C60"/>
    <w:rsid w:val="00D246B1"/>
    <w:rsid w:val="00D5029F"/>
    <w:rsid w:val="00D60BBD"/>
    <w:rsid w:val="00D75382"/>
    <w:rsid w:val="00D82337"/>
    <w:rsid w:val="00D83118"/>
    <w:rsid w:val="00D8360F"/>
    <w:rsid w:val="00D84021"/>
    <w:rsid w:val="00D94DD2"/>
    <w:rsid w:val="00DA0BBF"/>
    <w:rsid w:val="00DB02F9"/>
    <w:rsid w:val="00DB46A4"/>
    <w:rsid w:val="00DD0CA6"/>
    <w:rsid w:val="00DD6D1E"/>
    <w:rsid w:val="00DE6658"/>
    <w:rsid w:val="00DF212A"/>
    <w:rsid w:val="00E1355F"/>
    <w:rsid w:val="00E135D5"/>
    <w:rsid w:val="00E16D68"/>
    <w:rsid w:val="00E16EDF"/>
    <w:rsid w:val="00E24AC1"/>
    <w:rsid w:val="00E3056E"/>
    <w:rsid w:val="00E324CE"/>
    <w:rsid w:val="00E374AE"/>
    <w:rsid w:val="00E43AB8"/>
    <w:rsid w:val="00E62D96"/>
    <w:rsid w:val="00E7155F"/>
    <w:rsid w:val="00E76C95"/>
    <w:rsid w:val="00E776D5"/>
    <w:rsid w:val="00E8576C"/>
    <w:rsid w:val="00E91458"/>
    <w:rsid w:val="00E94557"/>
    <w:rsid w:val="00EA26A1"/>
    <w:rsid w:val="00EB340F"/>
    <w:rsid w:val="00EE1E93"/>
    <w:rsid w:val="00EE3D2E"/>
    <w:rsid w:val="00EE5B6A"/>
    <w:rsid w:val="00F01A45"/>
    <w:rsid w:val="00F01B4D"/>
    <w:rsid w:val="00F024AB"/>
    <w:rsid w:val="00F032FA"/>
    <w:rsid w:val="00F05EFF"/>
    <w:rsid w:val="00F104E1"/>
    <w:rsid w:val="00F22264"/>
    <w:rsid w:val="00F26D5A"/>
    <w:rsid w:val="00F26E09"/>
    <w:rsid w:val="00F366B9"/>
    <w:rsid w:val="00F408AC"/>
    <w:rsid w:val="00F53C60"/>
    <w:rsid w:val="00F575E6"/>
    <w:rsid w:val="00F615C8"/>
    <w:rsid w:val="00F6380C"/>
    <w:rsid w:val="00F64D5F"/>
    <w:rsid w:val="00F715BF"/>
    <w:rsid w:val="00F8750B"/>
    <w:rsid w:val="00FA71C8"/>
    <w:rsid w:val="00FA747A"/>
    <w:rsid w:val="00FB0BD6"/>
    <w:rsid w:val="00FB1972"/>
    <w:rsid w:val="00FB2FCA"/>
    <w:rsid w:val="00FD2347"/>
    <w:rsid w:val="00FE5B05"/>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2682</Words>
  <Characters>15291</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2025-10-08T15:20:00Z</cp:lastPrinted>
  <dcterms:created xsi:type="dcterms:W3CDTF">2025-10-09T17:37:00Z</dcterms:created>
  <dcterms:modified xsi:type="dcterms:W3CDTF">2025-10-09T17:37:00Z</dcterms:modified>
</cp:coreProperties>
</file>