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68955" w14:textId="77777777" w:rsidR="00147DE7" w:rsidRPr="00490AA2" w:rsidRDefault="00147DE7" w:rsidP="00147DE7">
      <w:pPr>
        <w:tabs>
          <w:tab w:val="right" w:pos="709"/>
        </w:tabs>
        <w:spacing w:line="360" w:lineRule="auto"/>
        <w:jc w:val="center"/>
        <w:rPr>
          <w:rFonts w:ascii="Book Antiqua" w:hAnsi="Book Antiqua"/>
          <w:b/>
          <w:sz w:val="28"/>
          <w:szCs w:val="28"/>
        </w:rPr>
      </w:pPr>
      <w:r w:rsidRPr="00490AA2">
        <w:rPr>
          <w:rFonts w:ascii="Book Antiqua" w:hAnsi="Book Antiqua"/>
          <w:b/>
          <w:sz w:val="28"/>
          <w:szCs w:val="28"/>
        </w:rPr>
        <w:t>GOBIERNO DE PUERTO RICO</w:t>
      </w:r>
    </w:p>
    <w:p w14:paraId="337F5A85" w14:textId="6B5B07A1" w:rsidR="00147DE7" w:rsidRPr="00490AA2" w:rsidRDefault="00147DE7" w:rsidP="00592699">
      <w:pPr>
        <w:suppressLineNumbers/>
        <w:tabs>
          <w:tab w:val="left" w:pos="7560"/>
        </w:tabs>
        <w:spacing w:after="0"/>
        <w:jc w:val="both"/>
        <w:rPr>
          <w:rFonts w:ascii="Book Antiqua" w:hAnsi="Book Antiqua"/>
        </w:rPr>
      </w:pPr>
      <w:r w:rsidRPr="77C4FF81">
        <w:rPr>
          <w:rFonts w:ascii="Book Antiqua" w:hAnsi="Book Antiqua"/>
        </w:rPr>
        <w:t>20</w:t>
      </w:r>
      <w:r w:rsidRPr="77C4FF81">
        <w:rPr>
          <w:rFonts w:ascii="Book Antiqua" w:hAnsi="Book Antiqua"/>
          <w:vertAlign w:val="superscript"/>
        </w:rPr>
        <w:t>ma.</w:t>
      </w:r>
      <w:r w:rsidRPr="77C4FF81">
        <w:rPr>
          <w:rFonts w:ascii="Book Antiqua" w:hAnsi="Book Antiqua"/>
        </w:rPr>
        <w:t xml:space="preserve"> Asamblea</w:t>
      </w:r>
      <w:r>
        <w:tab/>
      </w:r>
      <w:r w:rsidRPr="77C4FF81">
        <w:rPr>
          <w:rFonts w:ascii="Book Antiqua" w:hAnsi="Book Antiqua"/>
        </w:rPr>
        <w:t xml:space="preserve">    </w:t>
      </w:r>
      <w:r w:rsidR="48378015" w:rsidRPr="77C4FF81">
        <w:rPr>
          <w:rFonts w:ascii="Book Antiqua" w:hAnsi="Book Antiqua"/>
        </w:rPr>
        <w:t>3</w:t>
      </w:r>
      <w:r w:rsidR="48378015" w:rsidRPr="00592699">
        <w:rPr>
          <w:rFonts w:ascii="Book Antiqua" w:hAnsi="Book Antiqua"/>
          <w:vertAlign w:val="superscript"/>
        </w:rPr>
        <w:t>ra</w:t>
      </w:r>
      <w:r w:rsidR="00592699">
        <w:rPr>
          <w:rFonts w:ascii="Book Antiqua" w:hAnsi="Book Antiqua"/>
          <w:vertAlign w:val="superscript"/>
        </w:rPr>
        <w:t>.</w:t>
      </w:r>
      <w:r w:rsidRPr="77C4FF81">
        <w:rPr>
          <w:rFonts w:ascii="Book Antiqua" w:hAnsi="Book Antiqua"/>
        </w:rPr>
        <w:t xml:space="preserve"> Sesión </w:t>
      </w:r>
    </w:p>
    <w:p w14:paraId="37C07596" w14:textId="0BF48E80" w:rsidR="00147DE7" w:rsidRDefault="00147DE7" w:rsidP="00592699">
      <w:pPr>
        <w:spacing w:after="0"/>
        <w:rPr>
          <w:rFonts w:ascii="Book Antiqua" w:hAnsi="Book Antiqua"/>
          <w:b/>
        </w:rPr>
      </w:pPr>
      <w:r w:rsidRPr="00490AA2">
        <w:rPr>
          <w:rFonts w:ascii="Book Antiqua" w:hAnsi="Book Antiqua"/>
        </w:rPr>
        <w:t xml:space="preserve">       </w:t>
      </w:r>
      <w:r w:rsidR="00592699">
        <w:rPr>
          <w:rFonts w:ascii="Book Antiqua" w:hAnsi="Book Antiqua"/>
        </w:rPr>
        <w:t xml:space="preserve">  </w:t>
      </w:r>
      <w:r w:rsidRPr="00490AA2">
        <w:rPr>
          <w:rFonts w:ascii="Book Antiqua" w:hAnsi="Book Antiqua"/>
        </w:rPr>
        <w:t>Legislativa</w:t>
      </w:r>
      <w:r w:rsidRPr="00490AA2">
        <w:rPr>
          <w:rFonts w:ascii="Book Antiqua" w:hAnsi="Book Antiqua"/>
        </w:rPr>
        <w:tab/>
      </w:r>
      <w:r w:rsidRPr="00490AA2">
        <w:rPr>
          <w:rFonts w:ascii="Book Antiqua" w:hAnsi="Book Antiqua"/>
        </w:rPr>
        <w:tab/>
      </w:r>
      <w:r w:rsidRPr="00490AA2">
        <w:rPr>
          <w:rFonts w:ascii="Book Antiqua" w:hAnsi="Book Antiqua"/>
        </w:rPr>
        <w:tab/>
      </w:r>
      <w:r w:rsidRPr="00490AA2">
        <w:rPr>
          <w:rFonts w:ascii="Book Antiqua" w:hAnsi="Book Antiqua"/>
        </w:rPr>
        <w:tab/>
      </w:r>
      <w:r w:rsidRPr="00490AA2">
        <w:rPr>
          <w:rFonts w:ascii="Book Antiqua" w:hAnsi="Book Antiqua"/>
        </w:rPr>
        <w:tab/>
      </w:r>
      <w:r w:rsidRPr="00490AA2">
        <w:rPr>
          <w:rFonts w:ascii="Book Antiqua" w:hAnsi="Book Antiqua"/>
        </w:rPr>
        <w:tab/>
      </w:r>
      <w:r w:rsidRPr="00490AA2">
        <w:rPr>
          <w:rFonts w:ascii="Book Antiqua" w:hAnsi="Book Antiqua"/>
        </w:rPr>
        <w:tab/>
      </w:r>
      <w:r w:rsidRPr="00490AA2">
        <w:rPr>
          <w:rFonts w:ascii="Book Antiqua" w:hAnsi="Book Antiqua"/>
        </w:rPr>
        <w:tab/>
      </w:r>
      <w:r w:rsidRPr="00490AA2">
        <w:rPr>
          <w:rFonts w:ascii="Book Antiqua" w:hAnsi="Book Antiqua"/>
        </w:rPr>
        <w:tab/>
        <w:t xml:space="preserve">    </w:t>
      </w:r>
      <w:r w:rsidR="00592699">
        <w:rPr>
          <w:rFonts w:ascii="Book Antiqua" w:hAnsi="Book Antiqua"/>
        </w:rPr>
        <w:t xml:space="preserve">  </w:t>
      </w:r>
      <w:r w:rsidRPr="00490AA2">
        <w:rPr>
          <w:rFonts w:ascii="Book Antiqua" w:hAnsi="Book Antiqua"/>
        </w:rPr>
        <w:t>Ordinaria</w:t>
      </w:r>
    </w:p>
    <w:p w14:paraId="6D6BCA17" w14:textId="77777777" w:rsidR="00147DE7" w:rsidRPr="009B1858" w:rsidRDefault="00147DE7" w:rsidP="00147DE7">
      <w:pPr>
        <w:rPr>
          <w:rFonts w:ascii="Book Antiqua" w:hAnsi="Book Antiqua"/>
          <w:b/>
        </w:rPr>
      </w:pPr>
    </w:p>
    <w:p w14:paraId="5B34C2F3" w14:textId="77777777" w:rsidR="00147DE7" w:rsidRPr="00490AA2" w:rsidRDefault="00147DE7" w:rsidP="00147DE7">
      <w:pPr>
        <w:spacing w:line="360" w:lineRule="auto"/>
        <w:jc w:val="center"/>
        <w:rPr>
          <w:rFonts w:ascii="Book Antiqua" w:hAnsi="Book Antiqua"/>
          <w:b/>
          <w:sz w:val="36"/>
          <w:szCs w:val="36"/>
        </w:rPr>
      </w:pPr>
      <w:r w:rsidRPr="00490AA2">
        <w:rPr>
          <w:rFonts w:ascii="Book Antiqua" w:hAnsi="Book Antiqua"/>
          <w:b/>
          <w:sz w:val="36"/>
          <w:szCs w:val="36"/>
        </w:rPr>
        <w:t>CÁMARA DE REPRESENTANTES</w:t>
      </w:r>
    </w:p>
    <w:p w14:paraId="1227C204" w14:textId="07C4104A" w:rsidR="00147DE7" w:rsidRPr="00490AA2" w:rsidRDefault="00147DE7" w:rsidP="00147DE7">
      <w:pPr>
        <w:spacing w:line="360" w:lineRule="auto"/>
        <w:jc w:val="center"/>
        <w:rPr>
          <w:rFonts w:ascii="Book Antiqua" w:hAnsi="Book Antiqua"/>
          <w:b/>
          <w:sz w:val="52"/>
          <w:szCs w:val="52"/>
        </w:rPr>
      </w:pPr>
      <w:r w:rsidRPr="00490AA2">
        <w:rPr>
          <w:rFonts w:ascii="Book Antiqua" w:hAnsi="Book Antiqua"/>
          <w:b/>
          <w:sz w:val="52"/>
          <w:szCs w:val="52"/>
        </w:rPr>
        <w:t>P. de</w:t>
      </w:r>
      <w:r>
        <w:rPr>
          <w:rFonts w:ascii="Book Antiqua" w:hAnsi="Book Antiqua"/>
          <w:b/>
          <w:sz w:val="52"/>
          <w:szCs w:val="52"/>
        </w:rPr>
        <w:t>l S.</w:t>
      </w:r>
      <w:r w:rsidRPr="00490AA2">
        <w:rPr>
          <w:rFonts w:ascii="Book Antiqua" w:hAnsi="Book Antiqua"/>
          <w:b/>
          <w:sz w:val="52"/>
          <w:szCs w:val="52"/>
        </w:rPr>
        <w:t xml:space="preserve"> </w:t>
      </w:r>
      <w:r>
        <w:rPr>
          <w:rFonts w:ascii="Book Antiqua" w:hAnsi="Book Antiqua"/>
          <w:b/>
          <w:sz w:val="52"/>
          <w:szCs w:val="52"/>
        </w:rPr>
        <w:t>605</w:t>
      </w:r>
    </w:p>
    <w:p w14:paraId="1A4ACFD9" w14:textId="77777777" w:rsidR="00147DE7" w:rsidRPr="00490AA2" w:rsidRDefault="00147DE7" w:rsidP="00D77503">
      <w:pPr>
        <w:spacing w:after="0" w:line="240" w:lineRule="auto"/>
        <w:contextualSpacing/>
        <w:jc w:val="center"/>
        <w:rPr>
          <w:rFonts w:ascii="Book Antiqua" w:hAnsi="Book Antiqua"/>
          <w:b/>
          <w:sz w:val="28"/>
          <w:szCs w:val="28"/>
        </w:rPr>
      </w:pPr>
      <w:r w:rsidRPr="00490AA2">
        <w:rPr>
          <w:rFonts w:ascii="Book Antiqua" w:hAnsi="Book Antiqua"/>
          <w:b/>
          <w:sz w:val="28"/>
          <w:szCs w:val="28"/>
        </w:rPr>
        <w:t>INFORME POSITIVO</w:t>
      </w:r>
    </w:p>
    <w:p w14:paraId="43147ABE" w14:textId="77777777" w:rsidR="00147DE7" w:rsidRDefault="00147DE7" w:rsidP="00D77503">
      <w:pPr>
        <w:spacing w:after="0" w:line="240" w:lineRule="auto"/>
        <w:contextualSpacing/>
        <w:jc w:val="center"/>
        <w:rPr>
          <w:rFonts w:ascii="Book Antiqua" w:hAnsi="Book Antiqua"/>
        </w:rPr>
      </w:pPr>
    </w:p>
    <w:p w14:paraId="03B5ACBC" w14:textId="2B316012" w:rsidR="00147DE7" w:rsidRPr="00490AA2" w:rsidRDefault="00127DBC" w:rsidP="00D77503">
      <w:pPr>
        <w:spacing w:after="0" w:line="240" w:lineRule="auto"/>
        <w:contextualSpacing/>
        <w:jc w:val="center"/>
        <w:rPr>
          <w:rFonts w:ascii="Book Antiqua" w:hAnsi="Book Antiqua"/>
        </w:rPr>
      </w:pPr>
      <w:r>
        <w:rPr>
          <w:rFonts w:ascii="Book Antiqua" w:hAnsi="Book Antiqua"/>
        </w:rPr>
        <w:t>26</w:t>
      </w:r>
      <w:r w:rsidR="00147DE7">
        <w:rPr>
          <w:rFonts w:ascii="Book Antiqua" w:hAnsi="Book Antiqua"/>
        </w:rPr>
        <w:t xml:space="preserve"> de </w:t>
      </w:r>
      <w:r w:rsidR="00D77503">
        <w:rPr>
          <w:rFonts w:ascii="Book Antiqua" w:hAnsi="Book Antiqua"/>
        </w:rPr>
        <w:t>febrero</w:t>
      </w:r>
      <w:r w:rsidR="00147DE7">
        <w:rPr>
          <w:rFonts w:ascii="Book Antiqua" w:hAnsi="Book Antiqua"/>
        </w:rPr>
        <w:t xml:space="preserve"> </w:t>
      </w:r>
      <w:r w:rsidR="00147DE7" w:rsidRPr="00490AA2">
        <w:rPr>
          <w:rFonts w:ascii="Book Antiqua" w:hAnsi="Book Antiqua"/>
        </w:rPr>
        <w:t>de 202</w:t>
      </w:r>
      <w:r w:rsidR="00147DE7">
        <w:rPr>
          <w:rFonts w:ascii="Book Antiqua" w:hAnsi="Book Antiqua"/>
        </w:rPr>
        <w:t>6</w:t>
      </w:r>
    </w:p>
    <w:p w14:paraId="6BB05660" w14:textId="77777777" w:rsidR="00147DE7" w:rsidRDefault="00147DE7" w:rsidP="00D77503">
      <w:pPr>
        <w:spacing w:after="0" w:line="240" w:lineRule="auto"/>
        <w:contextualSpacing/>
        <w:rPr>
          <w:rFonts w:ascii="Book Antiqua" w:hAnsi="Book Antiqua"/>
        </w:rPr>
      </w:pPr>
      <w:r w:rsidRPr="00A578C9">
        <w:rPr>
          <w:rFonts w:ascii="Times New Roman" w:hAnsi="Times New Roman" w:cs="Times New Roman"/>
        </w:rPr>
        <w:t>  </w:t>
      </w:r>
      <w:r w:rsidRPr="00A578C9">
        <w:rPr>
          <w:rFonts w:ascii="Book Antiqua" w:hAnsi="Book Antiqua"/>
        </w:rPr>
        <w:t> </w:t>
      </w:r>
    </w:p>
    <w:p w14:paraId="07BFD874" w14:textId="77777777" w:rsidR="00D77503" w:rsidRPr="00A578C9" w:rsidRDefault="00D77503" w:rsidP="00D77503">
      <w:pPr>
        <w:spacing w:after="0" w:line="240" w:lineRule="auto"/>
        <w:contextualSpacing/>
        <w:rPr>
          <w:rFonts w:ascii="Book Antiqua" w:hAnsi="Book Antiqua"/>
        </w:rPr>
      </w:pPr>
    </w:p>
    <w:p w14:paraId="66EE95E9" w14:textId="77777777" w:rsidR="00147DE7" w:rsidRPr="00A578C9" w:rsidRDefault="00147DE7" w:rsidP="00B97C8F">
      <w:pPr>
        <w:spacing w:after="0" w:line="240" w:lineRule="auto"/>
        <w:contextualSpacing/>
        <w:rPr>
          <w:rFonts w:ascii="Book Antiqua" w:hAnsi="Book Antiqua"/>
        </w:rPr>
      </w:pPr>
      <w:r w:rsidRPr="00A578C9">
        <w:rPr>
          <w:rFonts w:ascii="Book Antiqua" w:hAnsi="Book Antiqua"/>
          <w:b/>
          <w:bCs/>
        </w:rPr>
        <w:t>A LA CÁMARA DE REPRESENTANTES DE PUERTO RICO:</w:t>
      </w:r>
      <w:r w:rsidRPr="00A578C9">
        <w:rPr>
          <w:rFonts w:ascii="Times New Roman" w:hAnsi="Times New Roman" w:cs="Times New Roman"/>
        </w:rPr>
        <w:t>  </w:t>
      </w:r>
      <w:r w:rsidRPr="00A578C9">
        <w:rPr>
          <w:rFonts w:ascii="Book Antiqua" w:hAnsi="Book Antiqua"/>
        </w:rPr>
        <w:t> </w:t>
      </w:r>
    </w:p>
    <w:p w14:paraId="13081FE9" w14:textId="77777777" w:rsidR="00D77503" w:rsidRDefault="00D77503" w:rsidP="00B97C8F">
      <w:pPr>
        <w:spacing w:after="0" w:line="240" w:lineRule="auto"/>
        <w:ind w:firstLine="708"/>
        <w:contextualSpacing/>
        <w:jc w:val="both"/>
        <w:rPr>
          <w:rFonts w:ascii="Book Antiqua" w:hAnsi="Book Antiqua" w:cs="Times New Roman"/>
        </w:rPr>
      </w:pPr>
    </w:p>
    <w:p w14:paraId="5AB3B8EE" w14:textId="50EF9A87" w:rsidR="00C40B8F" w:rsidRDefault="00181352" w:rsidP="00B97C8F">
      <w:pPr>
        <w:spacing w:after="0" w:line="240" w:lineRule="auto"/>
        <w:ind w:firstLine="708"/>
        <w:contextualSpacing/>
        <w:jc w:val="both"/>
        <w:rPr>
          <w:rFonts w:ascii="Book Antiqua" w:hAnsi="Book Antiqua" w:cs="Times New Roman"/>
        </w:rPr>
      </w:pPr>
      <w:r w:rsidRPr="018C4929">
        <w:rPr>
          <w:rFonts w:ascii="Book Antiqua" w:hAnsi="Book Antiqua" w:cs="Times New Roman"/>
        </w:rPr>
        <w:t>La Comisión de Gobierno, previo estudio y evaluación, tiene a bien someter a este Honorable Cuerpo el Informe Positivo sobre el Proyecto del Senado 605, con las enmiendas incorporadas en el entirillado que se acompaña.</w:t>
      </w:r>
    </w:p>
    <w:p w14:paraId="4AD62059" w14:textId="3095E605" w:rsidR="018C4929" w:rsidRDefault="018C4929" w:rsidP="00B97C8F">
      <w:pPr>
        <w:spacing w:after="0" w:line="240" w:lineRule="auto"/>
        <w:contextualSpacing/>
        <w:jc w:val="center"/>
        <w:rPr>
          <w:rFonts w:ascii="Book Antiqua" w:hAnsi="Book Antiqua"/>
          <w:b/>
          <w:bCs/>
        </w:rPr>
      </w:pPr>
    </w:p>
    <w:p w14:paraId="3712E79C" w14:textId="4BE9FAEA" w:rsidR="00147DE7" w:rsidRPr="00A578C9" w:rsidRDefault="00147DE7" w:rsidP="00B97C8F">
      <w:pPr>
        <w:spacing w:after="0" w:line="240" w:lineRule="auto"/>
        <w:contextualSpacing/>
        <w:jc w:val="center"/>
        <w:rPr>
          <w:rFonts w:ascii="Book Antiqua" w:hAnsi="Book Antiqua"/>
        </w:rPr>
      </w:pPr>
      <w:r w:rsidRPr="00A578C9">
        <w:rPr>
          <w:rFonts w:ascii="Book Antiqua" w:hAnsi="Book Antiqua"/>
          <w:b/>
          <w:bCs/>
        </w:rPr>
        <w:t>ALCANCE DE LA MEDIDA</w:t>
      </w:r>
    </w:p>
    <w:p w14:paraId="20B2F5CE" w14:textId="77777777" w:rsidR="00D77503" w:rsidRDefault="00D77503" w:rsidP="00B97C8F">
      <w:pPr>
        <w:spacing w:after="0" w:line="240" w:lineRule="auto"/>
        <w:ind w:firstLine="708"/>
        <w:contextualSpacing/>
        <w:jc w:val="both"/>
        <w:rPr>
          <w:rFonts w:ascii="Book Antiqua" w:hAnsi="Book Antiqua"/>
        </w:rPr>
      </w:pPr>
    </w:p>
    <w:p w14:paraId="3C50F038" w14:textId="39BCF294" w:rsidR="00147DE7" w:rsidRPr="00147DE7" w:rsidRDefault="00147DE7" w:rsidP="00B97C8F">
      <w:pPr>
        <w:spacing w:after="0" w:line="240" w:lineRule="auto"/>
        <w:ind w:firstLine="708"/>
        <w:contextualSpacing/>
        <w:jc w:val="both"/>
        <w:rPr>
          <w:rFonts w:ascii="Book Antiqua" w:hAnsi="Book Antiqua"/>
        </w:rPr>
      </w:pPr>
      <w:r w:rsidRPr="00147DE7">
        <w:rPr>
          <w:rFonts w:ascii="Book Antiqua" w:hAnsi="Book Antiqua"/>
        </w:rPr>
        <w:t xml:space="preserve">El Proyecto del Senado 605 propone </w:t>
      </w:r>
      <w:r w:rsidR="000C055C" w:rsidRPr="000C055C">
        <w:rPr>
          <w:rFonts w:ascii="Book Antiqua" w:hAnsi="Book Antiqua"/>
          <w:lang w:val="es-US"/>
        </w:rPr>
        <w:t>designar la última semana completa del mes de febrero de cada año como la “Semana de los </w:t>
      </w:r>
      <w:r w:rsidR="000C055C" w:rsidRPr="000C055C">
        <w:rPr>
          <w:rFonts w:ascii="Book Antiqua" w:hAnsi="Book Antiqua"/>
          <w:i/>
          <w:iCs/>
          <w:lang w:val="es-US"/>
        </w:rPr>
        <w:t>Future </w:t>
      </w:r>
      <w:proofErr w:type="spellStart"/>
      <w:r w:rsidR="000C055C" w:rsidRPr="000C055C">
        <w:rPr>
          <w:rFonts w:ascii="Book Antiqua" w:hAnsi="Book Antiqua"/>
          <w:i/>
          <w:iCs/>
          <w:lang w:val="es-US"/>
        </w:rPr>
        <w:t>Farmers</w:t>
      </w:r>
      <w:proofErr w:type="spellEnd"/>
      <w:r w:rsidR="000C055C" w:rsidRPr="000C055C">
        <w:rPr>
          <w:rFonts w:ascii="Book Antiqua" w:hAnsi="Book Antiqua"/>
          <w:i/>
          <w:iCs/>
          <w:lang w:val="es-US"/>
        </w:rPr>
        <w:t> </w:t>
      </w:r>
      <w:proofErr w:type="spellStart"/>
      <w:r w:rsidR="000C055C" w:rsidRPr="000C055C">
        <w:rPr>
          <w:rFonts w:ascii="Book Antiqua" w:hAnsi="Book Antiqua"/>
          <w:i/>
          <w:iCs/>
          <w:lang w:val="es-US"/>
        </w:rPr>
        <w:t>of</w:t>
      </w:r>
      <w:proofErr w:type="spellEnd"/>
      <w:r w:rsidR="000C055C" w:rsidRPr="000C055C">
        <w:rPr>
          <w:rFonts w:ascii="Book Antiqua" w:hAnsi="Book Antiqua"/>
          <w:i/>
          <w:iCs/>
          <w:lang w:val="es-US"/>
        </w:rPr>
        <w:t> America (FFA)</w:t>
      </w:r>
      <w:r w:rsidR="000C055C" w:rsidRPr="000C055C">
        <w:rPr>
          <w:rFonts w:ascii="Book Antiqua" w:hAnsi="Book Antiqua"/>
          <w:lang w:val="es-US"/>
        </w:rPr>
        <w:t> en Puerto Rico”; y para establecer dentro de esa semana los siguientes días conmemorativos: el “Día del Joven Agricultor”, el “Día del Maestro Agrícola”, el “Día de los FFA”, el “Día del Profesional en Agricultura Sostenible”, el “Día del Ganadero Puertorriqueño” y el “Día de los Profesionales Agrícolas”; y para otros fines relacionados.</w:t>
      </w:r>
      <w:r w:rsidR="000C055C" w:rsidRPr="000C055C">
        <w:rPr>
          <w:rFonts w:ascii="Book Antiqua" w:hAnsi="Book Antiqua"/>
        </w:rPr>
        <w:t> </w:t>
      </w:r>
    </w:p>
    <w:p w14:paraId="08C2C444" w14:textId="77777777" w:rsidR="00D77503" w:rsidRDefault="00D77503" w:rsidP="00B97C8F">
      <w:pPr>
        <w:spacing w:after="0" w:line="240" w:lineRule="auto"/>
        <w:ind w:firstLine="708"/>
        <w:contextualSpacing/>
        <w:jc w:val="both"/>
        <w:rPr>
          <w:rFonts w:ascii="Book Antiqua" w:hAnsi="Book Antiqua"/>
        </w:rPr>
      </w:pPr>
    </w:p>
    <w:p w14:paraId="2A496D45" w14:textId="2693A236" w:rsidR="00147DE7" w:rsidRDefault="00147DE7" w:rsidP="00B97C8F">
      <w:pPr>
        <w:spacing w:after="0" w:line="240" w:lineRule="auto"/>
        <w:ind w:firstLine="708"/>
        <w:contextualSpacing/>
        <w:jc w:val="both"/>
        <w:rPr>
          <w:rFonts w:ascii="Book Antiqua" w:hAnsi="Book Antiqua"/>
        </w:rPr>
      </w:pPr>
      <w:r w:rsidRPr="018C4929">
        <w:rPr>
          <w:rFonts w:ascii="Book Antiqua" w:hAnsi="Book Antiqua"/>
        </w:rPr>
        <w:t>De igual forma, autoriza al Departamento de Educación y a entidades pertinentes a emitir proclamas oficiales y actos de reconocimiento, conforme a los recursos disponibles, y dispone su vigencia inmediata tras su aprobación.</w:t>
      </w:r>
    </w:p>
    <w:p w14:paraId="638EE43F" w14:textId="40EAF6C5" w:rsidR="018C4929" w:rsidRDefault="018C4929" w:rsidP="00B97C8F">
      <w:pPr>
        <w:spacing w:after="0" w:line="240" w:lineRule="auto"/>
        <w:contextualSpacing/>
        <w:jc w:val="center"/>
        <w:rPr>
          <w:rFonts w:ascii="Book Antiqua" w:hAnsi="Book Antiqua"/>
          <w:b/>
          <w:bCs/>
        </w:rPr>
      </w:pPr>
    </w:p>
    <w:p w14:paraId="5FE68232" w14:textId="1F755CAB" w:rsidR="00147DE7" w:rsidRPr="00032AF5" w:rsidRDefault="00147DE7" w:rsidP="00B97C8F">
      <w:pPr>
        <w:spacing w:after="0" w:line="240" w:lineRule="auto"/>
        <w:contextualSpacing/>
        <w:jc w:val="center"/>
        <w:rPr>
          <w:rFonts w:ascii="Book Antiqua" w:hAnsi="Book Antiqua"/>
          <w:b/>
          <w:bCs/>
        </w:rPr>
      </w:pPr>
      <w:r w:rsidRPr="018C4929">
        <w:rPr>
          <w:rFonts w:ascii="Book Antiqua" w:hAnsi="Book Antiqua"/>
          <w:b/>
          <w:bCs/>
        </w:rPr>
        <w:t>ANÁLISIS DE LA MEDIDA</w:t>
      </w:r>
    </w:p>
    <w:p w14:paraId="716E111E" w14:textId="77777777" w:rsidR="00D77503" w:rsidRDefault="00D77503" w:rsidP="00B97C8F">
      <w:pPr>
        <w:spacing w:after="0" w:line="240" w:lineRule="auto"/>
        <w:ind w:firstLine="708"/>
        <w:contextualSpacing/>
        <w:jc w:val="both"/>
        <w:rPr>
          <w:rFonts w:ascii="Book Antiqua" w:eastAsia="Book Antiqua" w:hAnsi="Book Antiqua" w:cs="Book Antiqua"/>
        </w:rPr>
      </w:pPr>
    </w:p>
    <w:p w14:paraId="7C31C967" w14:textId="5D466A6F" w:rsidR="00147DE7" w:rsidRPr="008F7C47" w:rsidRDefault="7F85BE2E" w:rsidP="00B97C8F">
      <w:pPr>
        <w:spacing w:after="0" w:line="240" w:lineRule="auto"/>
        <w:ind w:firstLine="708"/>
        <w:contextualSpacing/>
        <w:jc w:val="both"/>
        <w:rPr>
          <w:rFonts w:ascii="Book Antiqua" w:hAnsi="Book Antiqua" w:cs="Times New Roman"/>
        </w:rPr>
      </w:pPr>
      <w:r w:rsidRPr="018C4929">
        <w:rPr>
          <w:rFonts w:ascii="Book Antiqua" w:eastAsia="Book Antiqua" w:hAnsi="Book Antiqua" w:cs="Book Antiqua"/>
        </w:rPr>
        <w:t xml:space="preserve">La Exposición de Motivos del Proyecto del Senado 605 señala que durante la última semana completa del mes de febrero se celebra en los Estados Unidos el </w:t>
      </w:r>
      <w:r w:rsidRPr="018C4929">
        <w:rPr>
          <w:rFonts w:ascii="Book Antiqua" w:eastAsia="Book Antiqua" w:hAnsi="Book Antiqua" w:cs="Book Antiqua"/>
          <w:b/>
          <w:bCs/>
        </w:rPr>
        <w:t>“</w:t>
      </w:r>
      <w:proofErr w:type="spellStart"/>
      <w:r w:rsidRPr="018C4929">
        <w:rPr>
          <w:rFonts w:ascii="Book Antiqua" w:eastAsia="Book Antiqua" w:hAnsi="Book Antiqua" w:cs="Book Antiqua"/>
          <w:b/>
          <w:bCs/>
        </w:rPr>
        <w:t>National</w:t>
      </w:r>
      <w:proofErr w:type="spellEnd"/>
      <w:r w:rsidRPr="018C4929">
        <w:rPr>
          <w:rFonts w:ascii="Book Antiqua" w:eastAsia="Book Antiqua" w:hAnsi="Book Antiqua" w:cs="Book Antiqua"/>
          <w:b/>
          <w:bCs/>
        </w:rPr>
        <w:t xml:space="preserve"> FFA Week”</w:t>
      </w:r>
      <w:r w:rsidRPr="018C4929">
        <w:rPr>
          <w:rFonts w:ascii="Book Antiqua" w:eastAsia="Book Antiqua" w:hAnsi="Book Antiqua" w:cs="Book Antiqua"/>
        </w:rPr>
        <w:t xml:space="preserve">, destacando la relevancia del liderato juvenil, la educación agrícola y la </w:t>
      </w:r>
      <w:r w:rsidRPr="018C4929">
        <w:rPr>
          <w:rFonts w:ascii="Book Antiqua" w:eastAsia="Book Antiqua" w:hAnsi="Book Antiqua" w:cs="Book Antiqua"/>
        </w:rPr>
        <w:lastRenderedPageBreak/>
        <w:t xml:space="preserve">aportación de los Future </w:t>
      </w:r>
      <w:proofErr w:type="spellStart"/>
      <w:r w:rsidRPr="018C4929">
        <w:rPr>
          <w:rFonts w:ascii="Book Antiqua" w:eastAsia="Book Antiqua" w:hAnsi="Book Antiqua" w:cs="Book Antiqua"/>
        </w:rPr>
        <w:t>Farmers</w:t>
      </w:r>
      <w:proofErr w:type="spellEnd"/>
      <w:r w:rsidRPr="018C4929">
        <w:rPr>
          <w:rFonts w:ascii="Book Antiqua" w:eastAsia="Book Antiqua" w:hAnsi="Book Antiqua" w:cs="Book Antiqua"/>
        </w:rPr>
        <w:t xml:space="preserve"> </w:t>
      </w:r>
      <w:proofErr w:type="spellStart"/>
      <w:r w:rsidRPr="018C4929">
        <w:rPr>
          <w:rFonts w:ascii="Book Antiqua" w:eastAsia="Book Antiqua" w:hAnsi="Book Antiqua" w:cs="Book Antiqua"/>
        </w:rPr>
        <w:t>of</w:t>
      </w:r>
      <w:proofErr w:type="spellEnd"/>
      <w:r w:rsidRPr="018C4929">
        <w:rPr>
          <w:rFonts w:ascii="Book Antiqua" w:eastAsia="Book Antiqua" w:hAnsi="Book Antiqua" w:cs="Book Antiqua"/>
        </w:rPr>
        <w:t xml:space="preserve"> America (FFA) al desarrollo profesional, económico y comunitario.</w:t>
      </w:r>
    </w:p>
    <w:p w14:paraId="4C07B8CB" w14:textId="77777777" w:rsidR="00D77503" w:rsidRDefault="00D77503" w:rsidP="00B97C8F">
      <w:pPr>
        <w:spacing w:after="0" w:line="240" w:lineRule="auto"/>
        <w:ind w:firstLine="708"/>
        <w:contextualSpacing/>
        <w:jc w:val="both"/>
        <w:rPr>
          <w:rFonts w:ascii="Book Antiqua" w:eastAsia="Book Antiqua" w:hAnsi="Book Antiqua" w:cs="Book Antiqua"/>
        </w:rPr>
      </w:pPr>
    </w:p>
    <w:p w14:paraId="4D407958" w14:textId="21BF896C" w:rsidR="00147DE7" w:rsidRPr="008F7C47" w:rsidRDefault="7F85BE2E" w:rsidP="00B97C8F">
      <w:pPr>
        <w:spacing w:after="0" w:line="240" w:lineRule="auto"/>
        <w:ind w:firstLine="708"/>
        <w:contextualSpacing/>
        <w:jc w:val="both"/>
      </w:pPr>
      <w:r w:rsidRPr="018C4929">
        <w:rPr>
          <w:rFonts w:ascii="Book Antiqua" w:eastAsia="Book Antiqua" w:hAnsi="Book Antiqua" w:cs="Book Antiqua"/>
        </w:rPr>
        <w:t>Asimismo, se expone que en Puerto Rico el Programa de Educación Agrícola del Departamento de Educación incorpora activamente los principios, valores y metodologías de la FFA como parte del currículo académico, fomentando destrezas de liderazgo, ética laboral, innovación, emprendimiento y servicio comunitario, además de la formación técnica en las ciencias agrícolas.</w:t>
      </w:r>
    </w:p>
    <w:p w14:paraId="1428E7D9" w14:textId="77777777" w:rsidR="00D77503" w:rsidRDefault="00D77503" w:rsidP="00B97C8F">
      <w:pPr>
        <w:spacing w:after="0" w:line="240" w:lineRule="auto"/>
        <w:ind w:firstLine="708"/>
        <w:contextualSpacing/>
        <w:jc w:val="both"/>
        <w:rPr>
          <w:rFonts w:ascii="Book Antiqua" w:eastAsia="Book Antiqua" w:hAnsi="Book Antiqua" w:cs="Book Antiqua"/>
        </w:rPr>
      </w:pPr>
    </w:p>
    <w:p w14:paraId="03B715D2" w14:textId="69F48EE2" w:rsidR="00147DE7" w:rsidRPr="008F7C47" w:rsidRDefault="7F85BE2E" w:rsidP="00B97C8F">
      <w:pPr>
        <w:spacing w:after="0" w:line="240" w:lineRule="auto"/>
        <w:ind w:firstLine="708"/>
        <w:contextualSpacing/>
        <w:jc w:val="both"/>
      </w:pPr>
      <w:r w:rsidRPr="0AA9EFDA">
        <w:rPr>
          <w:rFonts w:ascii="Book Antiqua" w:eastAsia="Book Antiqua" w:hAnsi="Book Antiqua" w:cs="Book Antiqua"/>
        </w:rPr>
        <w:t>La medida propone</w:t>
      </w:r>
      <w:r w:rsidR="2E88D86C" w:rsidRPr="0AA9EFDA">
        <w:rPr>
          <w:rFonts w:ascii="Book Antiqua" w:eastAsia="Book Antiqua" w:hAnsi="Book Antiqua" w:cs="Book Antiqua"/>
        </w:rPr>
        <w:t xml:space="preserve"> </w:t>
      </w:r>
      <w:r w:rsidRPr="0AA9EFDA">
        <w:rPr>
          <w:rFonts w:ascii="Book Antiqua" w:eastAsia="Book Antiqua" w:hAnsi="Book Antiqua" w:cs="Book Antiqua"/>
        </w:rPr>
        <w:t>que el reconocimiento formal de esta semana sirva como un mecanismo de educación pública y de visibilización de las aportaciones del estudiantado, del magisterio agrícola y de los profesionales del sector agrícola, a la vez que promueve conciencia sobre la importancia estratégica de la agricultura para la seguridad alimentaria y el desarrollo sostenible del País.</w:t>
      </w:r>
    </w:p>
    <w:p w14:paraId="5BA4A120" w14:textId="1A2B202E" w:rsidR="00D77503" w:rsidRDefault="00D77503" w:rsidP="00B97C8F">
      <w:pPr>
        <w:spacing w:after="0" w:line="240" w:lineRule="auto"/>
        <w:ind w:firstLine="708"/>
        <w:contextualSpacing/>
        <w:jc w:val="both"/>
        <w:rPr>
          <w:rFonts w:ascii="Book Antiqua" w:eastAsia="Book Antiqua" w:hAnsi="Book Antiqua" w:cs="Book Antiqua"/>
        </w:rPr>
      </w:pPr>
    </w:p>
    <w:p w14:paraId="6B8EF32F" w14:textId="6A42BDEF" w:rsidR="00D77503" w:rsidRDefault="36F639B9" w:rsidP="00B97C8F">
      <w:pPr>
        <w:spacing w:after="0" w:line="240" w:lineRule="auto"/>
        <w:ind w:firstLine="708"/>
        <w:contextualSpacing/>
        <w:jc w:val="both"/>
        <w:rPr>
          <w:rFonts w:ascii="Book Antiqua" w:eastAsia="Book Antiqua" w:hAnsi="Book Antiqua" w:cs="Book Antiqua"/>
        </w:rPr>
      </w:pPr>
      <w:r w:rsidRPr="0AA9EFDA">
        <w:rPr>
          <w:rFonts w:ascii="Book Antiqua" w:eastAsia="Book Antiqua" w:hAnsi="Book Antiqua" w:cs="Book Antiqua"/>
        </w:rPr>
        <w:t>Esta Comisión entiende que, aunque la medida es de naturaleza conmemorativa, su propósito trasciende el mero reconocimiento simbólico. La designación legislativa de fechas específicas constituye un mecanismo formal de política pública que integra el calendario oficial del Estado con objetivos educativos y económicos definidos. En el contexto actual de alta dependencia de importaciones alimentarias y de la necesidad de fortalecer la autosuficiencia agrícola, la visibilización institucional de la educación agrícola y del relevo generacional adquiere un valor estratégico. La medida sirve como herramienta de orientación pública, cohesión sectorial y promoción de vocaciones agrícolas, alineándose con los esfuerzos gubernamentales dirigidos al fortalecimiento del sector agrícola como componente esencial del desarrollo económico del País.</w:t>
      </w:r>
    </w:p>
    <w:p w14:paraId="2F723014" w14:textId="77777777" w:rsidR="00B97C8F" w:rsidRDefault="00B97C8F" w:rsidP="00B97C8F">
      <w:pPr>
        <w:spacing w:after="0" w:line="240" w:lineRule="auto"/>
        <w:ind w:firstLine="708"/>
        <w:contextualSpacing/>
        <w:jc w:val="both"/>
        <w:rPr>
          <w:rFonts w:ascii="Book Antiqua" w:eastAsia="Book Antiqua" w:hAnsi="Book Antiqua" w:cs="Book Antiqua"/>
        </w:rPr>
      </w:pPr>
    </w:p>
    <w:p w14:paraId="589D4853" w14:textId="3224237D" w:rsidR="00D77503" w:rsidRDefault="36F639B9" w:rsidP="00B97C8F">
      <w:pPr>
        <w:spacing w:after="0" w:line="240" w:lineRule="auto"/>
        <w:ind w:firstLine="708"/>
        <w:contextualSpacing/>
        <w:jc w:val="both"/>
      </w:pPr>
      <w:r w:rsidRPr="0AA9EFDA">
        <w:rPr>
          <w:rFonts w:ascii="Book Antiqua" w:eastAsia="Book Antiqua" w:hAnsi="Book Antiqua" w:cs="Book Antiqua"/>
        </w:rPr>
        <w:t>Esta Comisión estima meritorio el propósito de la medida, al reconocer institucionalmente sectores fundamentales para el desarrollo agrícola y al promover una cultura de valoración y educación en torno a la agricultura, la sostenibilidad y la innovación.</w:t>
      </w:r>
    </w:p>
    <w:p w14:paraId="22BA3DC6" w14:textId="6F9BBA3F" w:rsidR="0AA9EFDA" w:rsidRDefault="0AA9EFDA" w:rsidP="00B97C8F">
      <w:pPr>
        <w:spacing w:after="0" w:line="240" w:lineRule="auto"/>
        <w:ind w:firstLine="708"/>
        <w:contextualSpacing/>
        <w:jc w:val="center"/>
        <w:rPr>
          <w:rFonts w:ascii="Book Antiqua" w:hAnsi="Book Antiqua"/>
          <w:b/>
          <w:bCs/>
        </w:rPr>
      </w:pPr>
    </w:p>
    <w:p w14:paraId="7E1E2312" w14:textId="506F4B01" w:rsidR="00147DE7" w:rsidRPr="008F7C47" w:rsidRDefault="00147DE7" w:rsidP="00B97C8F">
      <w:pPr>
        <w:spacing w:after="0" w:line="240" w:lineRule="auto"/>
        <w:ind w:firstLine="708"/>
        <w:contextualSpacing/>
        <w:jc w:val="center"/>
        <w:rPr>
          <w:rFonts w:ascii="Book Antiqua" w:hAnsi="Book Antiqua"/>
          <w:b/>
          <w:bCs/>
        </w:rPr>
      </w:pPr>
      <w:r w:rsidRPr="018C4929">
        <w:rPr>
          <w:rFonts w:ascii="Book Antiqua" w:hAnsi="Book Antiqua"/>
          <w:b/>
          <w:bCs/>
        </w:rPr>
        <w:t>ALCANCE DEL INFORME</w:t>
      </w:r>
    </w:p>
    <w:p w14:paraId="1EBE24DC" w14:textId="77777777" w:rsidR="00D77503" w:rsidRDefault="00D77503" w:rsidP="00B97C8F">
      <w:pPr>
        <w:spacing w:after="0" w:line="240" w:lineRule="auto"/>
        <w:ind w:firstLine="708"/>
        <w:contextualSpacing/>
        <w:jc w:val="both"/>
        <w:rPr>
          <w:rFonts w:ascii="Book Antiqua" w:eastAsia="Book Antiqua" w:hAnsi="Book Antiqua" w:cs="Book Antiqua"/>
        </w:rPr>
      </w:pPr>
    </w:p>
    <w:p w14:paraId="3391F666" w14:textId="1BB95D1C" w:rsidR="00FC77C7" w:rsidRPr="00B97C8F" w:rsidRDefault="0DCE9AAB" w:rsidP="00B97C8F">
      <w:pPr>
        <w:pStyle w:val="ColorfulList-Accent11"/>
        <w:ind w:left="0" w:firstLine="708"/>
        <w:jc w:val="both"/>
        <w:rPr>
          <w:lang w:val="es-ES"/>
        </w:rPr>
      </w:pPr>
      <w:r w:rsidRPr="0AA9EFDA">
        <w:rPr>
          <w:rFonts w:ascii="Book Antiqua" w:eastAsia="Book Antiqua" w:hAnsi="Book Antiqua" w:cs="Book Antiqua"/>
          <w:color w:val="000000" w:themeColor="text1"/>
          <w:lang w:val="es-PR"/>
        </w:rPr>
        <w:t xml:space="preserve">Como parte del trámite legislativo, esta Comisión de Gobierno solicitó comentarios y ponencias a los siguientes: </w:t>
      </w:r>
      <w:r w:rsidRPr="0AA9EFDA">
        <w:rPr>
          <w:rFonts w:ascii="Book Antiqua" w:eastAsia="Book Antiqua" w:hAnsi="Book Antiqua" w:cs="Book Antiqua"/>
          <w:lang w:val="es-PR"/>
        </w:rPr>
        <w:t xml:space="preserve"> </w:t>
      </w:r>
    </w:p>
    <w:p w14:paraId="62F75192" w14:textId="6452D50B" w:rsidR="00FC77C7" w:rsidRDefault="00FC77C7" w:rsidP="00B97C8F">
      <w:pPr>
        <w:pStyle w:val="ColorfulList-Accent11"/>
        <w:ind w:left="0" w:firstLine="708"/>
        <w:jc w:val="both"/>
        <w:rPr>
          <w:rFonts w:ascii="Book Antiqua" w:eastAsia="Book Antiqua" w:hAnsi="Book Antiqua" w:cs="Book Antiqua"/>
          <w:lang w:val="es-PR"/>
        </w:rPr>
      </w:pPr>
    </w:p>
    <w:p w14:paraId="6464EF3B" w14:textId="197741A6" w:rsidR="00FC77C7" w:rsidRDefault="19CAE400" w:rsidP="00B97C8F">
      <w:pPr>
        <w:pStyle w:val="ColorfulList-Accent11"/>
        <w:numPr>
          <w:ilvl w:val="0"/>
          <w:numId w:val="2"/>
        </w:numPr>
        <w:jc w:val="both"/>
        <w:rPr>
          <w:rFonts w:ascii="Book Antiqua" w:eastAsia="Book Antiqua" w:hAnsi="Book Antiqua" w:cs="Book Antiqua"/>
          <w:lang w:val="es-PR"/>
        </w:rPr>
      </w:pPr>
      <w:r w:rsidRPr="0AA9EFDA">
        <w:rPr>
          <w:rFonts w:ascii="Book Antiqua" w:eastAsia="Book Antiqua" w:hAnsi="Book Antiqua" w:cs="Book Antiqua"/>
          <w:lang w:val="es-PR"/>
        </w:rPr>
        <w:t>Departamento de Estado</w:t>
      </w:r>
    </w:p>
    <w:p w14:paraId="42A24C31" w14:textId="3A491F0F" w:rsidR="00FC77C7" w:rsidRDefault="19CAE400" w:rsidP="00B97C8F">
      <w:pPr>
        <w:pStyle w:val="ColorfulList-Accent11"/>
        <w:numPr>
          <w:ilvl w:val="0"/>
          <w:numId w:val="2"/>
        </w:numPr>
        <w:jc w:val="both"/>
        <w:rPr>
          <w:rFonts w:ascii="Book Antiqua" w:eastAsia="Book Antiqua" w:hAnsi="Book Antiqua" w:cs="Book Antiqua"/>
          <w:lang w:val="es-PR"/>
        </w:rPr>
      </w:pPr>
      <w:r w:rsidRPr="0AA9EFDA">
        <w:rPr>
          <w:rFonts w:ascii="Book Antiqua" w:eastAsia="Book Antiqua" w:hAnsi="Book Antiqua" w:cs="Book Antiqua"/>
          <w:lang w:val="es-PR"/>
        </w:rPr>
        <w:t>Departamento de Agricultura</w:t>
      </w:r>
    </w:p>
    <w:p w14:paraId="63D9451D" w14:textId="76F4CFD4" w:rsidR="00FC77C7" w:rsidRDefault="19CAE400" w:rsidP="00B97C8F">
      <w:pPr>
        <w:pStyle w:val="ColorfulList-Accent11"/>
        <w:numPr>
          <w:ilvl w:val="0"/>
          <w:numId w:val="2"/>
        </w:numPr>
        <w:jc w:val="both"/>
        <w:rPr>
          <w:rFonts w:ascii="Book Antiqua" w:eastAsia="Book Antiqua" w:hAnsi="Book Antiqua" w:cs="Book Antiqua"/>
          <w:lang w:val="es-PR"/>
        </w:rPr>
      </w:pPr>
      <w:r w:rsidRPr="0AA9EFDA">
        <w:rPr>
          <w:rFonts w:ascii="Book Antiqua" w:eastAsia="Book Antiqua" w:hAnsi="Book Antiqua" w:cs="Book Antiqua"/>
          <w:lang w:val="es-PR"/>
        </w:rPr>
        <w:t>Oficina de Presupuesto de la Asamblea Legislativa</w:t>
      </w:r>
    </w:p>
    <w:p w14:paraId="08E1E8E0" w14:textId="5A20D644" w:rsidR="00FC77C7" w:rsidRDefault="00FC77C7" w:rsidP="00B97C8F">
      <w:pPr>
        <w:pStyle w:val="ColorfulList-Accent11"/>
        <w:ind w:left="0"/>
        <w:jc w:val="both"/>
        <w:rPr>
          <w:rFonts w:ascii="Book Antiqua" w:eastAsia="Book Antiqua" w:hAnsi="Book Antiqua" w:cs="Book Antiqua"/>
          <w:lang w:val="es-PR"/>
        </w:rPr>
      </w:pPr>
    </w:p>
    <w:p w14:paraId="59D56D00" w14:textId="2F3C64B7" w:rsidR="00FC77C7" w:rsidRDefault="434B9A71" w:rsidP="00B97C8F">
      <w:pPr>
        <w:pStyle w:val="ColorfulList-Accent11"/>
        <w:ind w:left="0"/>
        <w:jc w:val="both"/>
        <w:rPr>
          <w:lang w:val="es-PR"/>
        </w:rPr>
      </w:pPr>
      <w:r w:rsidRPr="0AA9EFDA">
        <w:rPr>
          <w:rFonts w:ascii="Book Antiqua" w:eastAsia="Book Antiqua" w:hAnsi="Book Antiqua" w:cs="Book Antiqua"/>
          <w:color w:val="000000" w:themeColor="text1"/>
          <w:lang w:val="es-PR"/>
        </w:rPr>
        <w:t>Además, del Senado de Puerto Rico recibimos el memorial de:</w:t>
      </w:r>
    </w:p>
    <w:p w14:paraId="63192566" w14:textId="0A87FF03" w:rsidR="00FC77C7" w:rsidRPr="00B97C8F" w:rsidRDefault="00FC77C7" w:rsidP="00B97C8F">
      <w:pPr>
        <w:pStyle w:val="ColorfulList-Accent11"/>
        <w:ind w:left="0"/>
        <w:jc w:val="both"/>
        <w:rPr>
          <w:lang w:val="es-ES"/>
        </w:rPr>
      </w:pPr>
    </w:p>
    <w:p w14:paraId="658CD268" w14:textId="0718EFC0" w:rsidR="00FC77C7" w:rsidRDefault="15221D79" w:rsidP="00B97C8F">
      <w:pPr>
        <w:pStyle w:val="ColorfulList-Accent11"/>
        <w:numPr>
          <w:ilvl w:val="0"/>
          <w:numId w:val="1"/>
        </w:numPr>
        <w:jc w:val="both"/>
        <w:rPr>
          <w:rFonts w:ascii="Book Antiqua" w:eastAsia="Book Antiqua" w:hAnsi="Book Antiqua" w:cs="Book Antiqua"/>
          <w:color w:val="000000" w:themeColor="text1"/>
          <w:lang w:val="es-PR"/>
        </w:rPr>
      </w:pPr>
      <w:r w:rsidRPr="0AA9EFDA">
        <w:rPr>
          <w:rFonts w:ascii="Book Antiqua" w:eastAsia="Book Antiqua" w:hAnsi="Book Antiqua" w:cs="Book Antiqua"/>
          <w:color w:val="000000" w:themeColor="text1"/>
          <w:lang w:val="es-PR"/>
        </w:rPr>
        <w:t>Departamento de Educación</w:t>
      </w:r>
    </w:p>
    <w:p w14:paraId="221C0715" w14:textId="5C892A42" w:rsidR="00FC77C7" w:rsidRDefault="00FC77C7" w:rsidP="00B97C8F">
      <w:pPr>
        <w:pStyle w:val="ColorfulList-Accent11"/>
        <w:ind w:left="0"/>
        <w:jc w:val="both"/>
        <w:rPr>
          <w:rFonts w:ascii="Book Antiqua" w:eastAsia="Book Antiqua" w:hAnsi="Book Antiqua" w:cs="Book Antiqua"/>
          <w:color w:val="000000" w:themeColor="text1"/>
          <w:lang w:val="es-PR"/>
        </w:rPr>
      </w:pPr>
    </w:p>
    <w:p w14:paraId="015AF881" w14:textId="1DE60C03" w:rsidR="00FC77C7" w:rsidRDefault="15221D79" w:rsidP="00B97C8F">
      <w:pPr>
        <w:spacing w:after="0" w:line="240" w:lineRule="auto"/>
        <w:ind w:firstLine="708"/>
        <w:contextualSpacing/>
        <w:jc w:val="both"/>
      </w:pPr>
      <w:r w:rsidRPr="0AA9EFDA">
        <w:rPr>
          <w:rFonts w:ascii="Book Antiqua" w:eastAsia="Book Antiqua" w:hAnsi="Book Antiqua" w:cs="Book Antiqua"/>
          <w:color w:val="000000" w:themeColor="text1"/>
          <w:lang w:val="es"/>
        </w:rPr>
        <w:t>Se recibieron y consideraron los siguientes:</w:t>
      </w:r>
    </w:p>
    <w:p w14:paraId="02A41F7B" w14:textId="674A4838" w:rsidR="00FC77C7" w:rsidRDefault="00FC77C7" w:rsidP="00B97C8F">
      <w:pPr>
        <w:pStyle w:val="ColorfulList-Accent11"/>
        <w:ind w:left="0"/>
        <w:jc w:val="both"/>
        <w:rPr>
          <w:rFonts w:ascii="Book Antiqua" w:eastAsia="Book Antiqua" w:hAnsi="Book Antiqua" w:cs="Book Antiqua"/>
          <w:color w:val="000000" w:themeColor="text1"/>
          <w:lang w:val="es-PR"/>
        </w:rPr>
      </w:pPr>
    </w:p>
    <w:p w14:paraId="58ED82C3" w14:textId="1199C00B" w:rsidR="00FC77C7" w:rsidRDefault="7C2E65CB" w:rsidP="00B97C8F">
      <w:pPr>
        <w:spacing w:after="0" w:line="240" w:lineRule="auto"/>
        <w:ind w:firstLine="708"/>
        <w:contextualSpacing/>
        <w:jc w:val="center"/>
        <w:rPr>
          <w:rFonts w:ascii="Book Antiqua" w:eastAsia="Book Antiqua" w:hAnsi="Book Antiqua" w:cs="Book Antiqua"/>
          <w:b/>
          <w:bCs/>
        </w:rPr>
      </w:pPr>
      <w:r w:rsidRPr="0AA9EFDA">
        <w:rPr>
          <w:rFonts w:ascii="Book Antiqua" w:eastAsia="Book Antiqua" w:hAnsi="Book Antiqua" w:cs="Book Antiqua"/>
          <w:b/>
          <w:bCs/>
        </w:rPr>
        <w:t>DEPARTAMENTO DE ESTADO</w:t>
      </w:r>
    </w:p>
    <w:p w14:paraId="2F84C1B9" w14:textId="20C18B82" w:rsidR="00FC77C7" w:rsidRDefault="00FC77C7" w:rsidP="00B97C8F">
      <w:pPr>
        <w:spacing w:after="0" w:line="240" w:lineRule="auto"/>
        <w:ind w:firstLine="708"/>
        <w:contextualSpacing/>
        <w:jc w:val="center"/>
        <w:rPr>
          <w:rFonts w:ascii="Book Antiqua" w:eastAsia="Book Antiqua" w:hAnsi="Book Antiqua" w:cs="Book Antiqua"/>
          <w:b/>
          <w:bCs/>
        </w:rPr>
      </w:pPr>
    </w:p>
    <w:p w14:paraId="010DB9D9" w14:textId="66187777" w:rsidR="00FC77C7" w:rsidRDefault="0FED8BB3" w:rsidP="00B97C8F">
      <w:pPr>
        <w:spacing w:after="0" w:line="240" w:lineRule="auto"/>
        <w:ind w:firstLine="708"/>
        <w:contextualSpacing/>
        <w:jc w:val="both"/>
        <w:rPr>
          <w:rFonts w:ascii="Book Antiqua" w:eastAsia="Book Antiqua" w:hAnsi="Book Antiqua" w:cs="Book Antiqua"/>
        </w:rPr>
      </w:pPr>
      <w:r w:rsidRPr="0AA9EFDA">
        <w:rPr>
          <w:rFonts w:ascii="Book Antiqua" w:eastAsia="Book Antiqua" w:hAnsi="Book Antiqua" w:cs="Book Antiqua"/>
        </w:rPr>
        <w:t>El Departamento de Estado precisó que la educación agrícola constituye un componente esencial del desarrollo económico y social de Puerto Rico, particularmente</w:t>
      </w:r>
      <w:r w:rsidR="65951164" w:rsidRPr="0AA9EFDA">
        <w:rPr>
          <w:rFonts w:ascii="Book Antiqua" w:eastAsia="Book Antiqua" w:hAnsi="Book Antiqua" w:cs="Book Antiqua"/>
        </w:rPr>
        <w:t xml:space="preserve"> en un contexto donde la autosuficiencia alimentaria y la sostenibilidad ambiental se han convertido en prioridades estratégicas. Ante ello, sostiene que la medida fortalece la cone</w:t>
      </w:r>
      <w:r w:rsidR="26999A7C" w:rsidRPr="0AA9EFDA">
        <w:rPr>
          <w:rFonts w:ascii="Book Antiqua" w:eastAsia="Book Antiqua" w:hAnsi="Book Antiqua" w:cs="Book Antiqua"/>
        </w:rPr>
        <w:t xml:space="preserve">xión con entre la juventud y el campo, promoviendo una visión moderna de la agricultura como motor de innovación, sostenibilidad y justicia social. Estado precisa que la celebración </w:t>
      </w:r>
      <w:r w:rsidR="229EB176" w:rsidRPr="0AA9EFDA">
        <w:rPr>
          <w:rFonts w:ascii="Book Antiqua" w:eastAsia="Book Antiqua" w:hAnsi="Book Antiqua" w:cs="Book Antiqua"/>
        </w:rPr>
        <w:t xml:space="preserve">propuesta no es meramente simbólica sino una herramienta de política pública que refuerza el vínculo entre educación, producción y desarrollo económico. </w:t>
      </w:r>
    </w:p>
    <w:p w14:paraId="3A96DEEC" w14:textId="4069CBB0" w:rsidR="00FC77C7" w:rsidRDefault="00FC77C7" w:rsidP="00B97C8F">
      <w:pPr>
        <w:spacing w:after="0" w:line="240" w:lineRule="auto"/>
        <w:ind w:firstLine="708"/>
        <w:contextualSpacing/>
        <w:jc w:val="both"/>
        <w:rPr>
          <w:rFonts w:ascii="Book Antiqua" w:eastAsia="Book Antiqua" w:hAnsi="Book Antiqua" w:cs="Book Antiqua"/>
        </w:rPr>
      </w:pPr>
    </w:p>
    <w:p w14:paraId="738DEFB1" w14:textId="29824045" w:rsidR="00FC77C7" w:rsidRDefault="229EB176" w:rsidP="00B97C8F">
      <w:pPr>
        <w:spacing w:after="0" w:line="240" w:lineRule="auto"/>
        <w:ind w:firstLine="708"/>
        <w:contextualSpacing/>
        <w:jc w:val="both"/>
        <w:rPr>
          <w:rFonts w:ascii="Book Antiqua" w:eastAsia="Book Antiqua" w:hAnsi="Book Antiqua" w:cs="Book Antiqua"/>
        </w:rPr>
      </w:pPr>
      <w:r w:rsidRPr="0AA9EFDA">
        <w:rPr>
          <w:rFonts w:ascii="Book Antiqua" w:eastAsia="Book Antiqua" w:hAnsi="Book Antiqua" w:cs="Book Antiqua"/>
        </w:rPr>
        <w:t>Sin embargo, sug</w:t>
      </w:r>
      <w:r w:rsidR="4832466C" w:rsidRPr="0AA9EFDA">
        <w:rPr>
          <w:rFonts w:ascii="Book Antiqua" w:eastAsia="Book Antiqua" w:hAnsi="Book Antiqua" w:cs="Book Antiqua"/>
        </w:rPr>
        <w:t>irió</w:t>
      </w:r>
      <w:r w:rsidRPr="0AA9EFDA">
        <w:rPr>
          <w:rFonts w:ascii="Book Antiqua" w:eastAsia="Book Antiqua" w:hAnsi="Book Antiqua" w:cs="Book Antiqua"/>
        </w:rPr>
        <w:t xml:space="preserve"> que se elimine de la conmemoración oficial el "Día de los Clubes 4 H”</w:t>
      </w:r>
      <w:r w:rsidR="33806F6F" w:rsidRPr="0AA9EFDA">
        <w:rPr>
          <w:rFonts w:ascii="Book Antiqua" w:eastAsia="Book Antiqua" w:hAnsi="Book Antiqua" w:cs="Book Antiqua"/>
        </w:rPr>
        <w:t xml:space="preserve"> </w:t>
      </w:r>
      <w:r w:rsidRPr="0AA9EFDA">
        <w:rPr>
          <w:rFonts w:ascii="Book Antiqua" w:eastAsia="Book Antiqua" w:hAnsi="Book Antiqua" w:cs="Book Antiqua"/>
        </w:rPr>
        <w:t xml:space="preserve">ya que cuenta con una conmemoración oficial establecida en la Ley 175-2002, el cual declara </w:t>
      </w:r>
      <w:r w:rsidR="153BFDEA" w:rsidRPr="0AA9EFDA">
        <w:rPr>
          <w:rFonts w:ascii="Book Antiqua" w:eastAsia="Book Antiqua" w:hAnsi="Book Antiqua" w:cs="Book Antiqua"/>
        </w:rPr>
        <w:t xml:space="preserve">la primera semana </w:t>
      </w:r>
      <w:r w:rsidRPr="0AA9EFDA">
        <w:rPr>
          <w:rFonts w:ascii="Book Antiqua" w:eastAsia="Book Antiqua" w:hAnsi="Book Antiqua" w:cs="Book Antiqua"/>
        </w:rPr>
        <w:t>de</w:t>
      </w:r>
      <w:r w:rsidR="3564ED35" w:rsidRPr="0AA9EFDA">
        <w:rPr>
          <w:rFonts w:ascii="Book Antiqua" w:eastAsia="Book Antiqua" w:hAnsi="Book Antiqua" w:cs="Book Antiqua"/>
        </w:rPr>
        <w:t>l mes</w:t>
      </w:r>
      <w:r w:rsidRPr="0AA9EFDA">
        <w:rPr>
          <w:rFonts w:ascii="Book Antiqua" w:eastAsia="Book Antiqua" w:hAnsi="Book Antiqua" w:cs="Book Antiqua"/>
        </w:rPr>
        <w:t xml:space="preserve"> octubre</w:t>
      </w:r>
      <w:r w:rsidR="5CC1CA7D" w:rsidRPr="0AA9EFDA">
        <w:rPr>
          <w:rFonts w:ascii="Book Antiqua" w:eastAsia="Book Antiqua" w:hAnsi="Book Antiqua" w:cs="Book Antiqua"/>
        </w:rPr>
        <w:t xml:space="preserve"> como </w:t>
      </w:r>
      <w:r w:rsidR="376927F4" w:rsidRPr="0AA9EFDA">
        <w:rPr>
          <w:rFonts w:ascii="Book Antiqua" w:eastAsia="Book Antiqua" w:hAnsi="Book Antiqua" w:cs="Book Antiqua"/>
        </w:rPr>
        <w:t xml:space="preserve">la “Semana de los Clubes 4H". </w:t>
      </w:r>
    </w:p>
    <w:p w14:paraId="1CDA7D55" w14:textId="2B03F00C" w:rsidR="00FC77C7" w:rsidRDefault="00FC77C7" w:rsidP="00B97C8F">
      <w:pPr>
        <w:spacing w:after="0" w:line="240" w:lineRule="auto"/>
        <w:ind w:firstLine="708"/>
        <w:contextualSpacing/>
        <w:jc w:val="both"/>
        <w:rPr>
          <w:rFonts w:ascii="Book Antiqua" w:eastAsia="Book Antiqua" w:hAnsi="Book Antiqua" w:cs="Book Antiqua"/>
        </w:rPr>
      </w:pPr>
    </w:p>
    <w:p w14:paraId="13D6A419" w14:textId="06AA5B9D" w:rsidR="00FC77C7" w:rsidRDefault="1D191264" w:rsidP="00B97C8F">
      <w:pPr>
        <w:spacing w:after="0" w:line="240" w:lineRule="auto"/>
        <w:ind w:firstLine="708"/>
        <w:contextualSpacing/>
        <w:jc w:val="both"/>
        <w:rPr>
          <w:rFonts w:ascii="Book Antiqua" w:eastAsia="Book Antiqua" w:hAnsi="Book Antiqua" w:cs="Book Antiqua"/>
        </w:rPr>
      </w:pPr>
      <w:r w:rsidRPr="0AA9EFDA">
        <w:rPr>
          <w:rFonts w:ascii="Book Antiqua" w:eastAsia="Book Antiqua" w:hAnsi="Book Antiqua" w:cs="Book Antiqua"/>
        </w:rPr>
        <w:t xml:space="preserve">En tanto, apoyan la medida, sujeto a la eliminación del Día de los Clubes 4 H, por entender que la misma </w:t>
      </w:r>
      <w:r w:rsidR="1AE95477" w:rsidRPr="0AA9EFDA">
        <w:rPr>
          <w:rFonts w:ascii="Book Antiqua" w:eastAsia="Book Antiqua" w:hAnsi="Book Antiqua" w:cs="Book Antiqua"/>
        </w:rPr>
        <w:t xml:space="preserve">promueve el aprecio por la agricultura como vocación y como motor de desarrollo económico, al tiempo que visibiliza el compromiso de múltiples sectores con la formación de una nueva generación de líderes empresariales. </w:t>
      </w:r>
    </w:p>
    <w:p w14:paraId="055DB4C8" w14:textId="0A0D4BEC" w:rsidR="00FC77C7" w:rsidRDefault="09C56098" w:rsidP="00B97C8F">
      <w:pPr>
        <w:spacing w:after="0" w:line="240" w:lineRule="auto"/>
        <w:ind w:firstLine="708"/>
        <w:contextualSpacing/>
        <w:jc w:val="both"/>
        <w:rPr>
          <w:rFonts w:ascii="Book Antiqua" w:eastAsia="Book Antiqua" w:hAnsi="Book Antiqua" w:cs="Book Antiqua"/>
        </w:rPr>
      </w:pPr>
      <w:r w:rsidRPr="0AA9EFDA">
        <w:rPr>
          <w:rFonts w:ascii="Book Antiqua" w:eastAsia="Book Antiqua" w:hAnsi="Book Antiqua" w:cs="Book Antiqua"/>
        </w:rPr>
        <w:t xml:space="preserve"> </w:t>
      </w:r>
    </w:p>
    <w:p w14:paraId="196002E0" w14:textId="43F57CF1" w:rsidR="00FC77C7" w:rsidRDefault="7C2E65CB" w:rsidP="00B97C8F">
      <w:pPr>
        <w:spacing w:after="0" w:line="240" w:lineRule="auto"/>
        <w:ind w:firstLine="708"/>
        <w:contextualSpacing/>
        <w:jc w:val="center"/>
        <w:rPr>
          <w:rFonts w:ascii="Book Antiqua" w:eastAsia="Book Antiqua" w:hAnsi="Book Antiqua" w:cs="Book Antiqua"/>
          <w:b/>
          <w:bCs/>
        </w:rPr>
      </w:pPr>
      <w:r w:rsidRPr="0AA9EFDA">
        <w:rPr>
          <w:rFonts w:ascii="Book Antiqua" w:eastAsia="Book Antiqua" w:hAnsi="Book Antiqua" w:cs="Book Antiqua"/>
          <w:b/>
          <w:bCs/>
        </w:rPr>
        <w:t>DEPARTAMENTO DE AGRICULTURA</w:t>
      </w:r>
    </w:p>
    <w:p w14:paraId="7AF5DDF6" w14:textId="48EAA755" w:rsidR="00FC77C7" w:rsidRDefault="00FC77C7" w:rsidP="00B97C8F">
      <w:pPr>
        <w:spacing w:after="0" w:line="240" w:lineRule="auto"/>
        <w:ind w:firstLine="708"/>
        <w:contextualSpacing/>
        <w:jc w:val="center"/>
        <w:rPr>
          <w:rFonts w:ascii="Book Antiqua" w:eastAsia="Book Antiqua" w:hAnsi="Book Antiqua" w:cs="Book Antiqua"/>
          <w:b/>
          <w:bCs/>
        </w:rPr>
      </w:pPr>
    </w:p>
    <w:p w14:paraId="3140C14B" w14:textId="1A5B0BC4" w:rsidR="00FC77C7" w:rsidRDefault="441C7103" w:rsidP="00B97C8F">
      <w:pPr>
        <w:spacing w:after="0" w:line="240" w:lineRule="auto"/>
        <w:ind w:firstLine="708"/>
        <w:contextualSpacing/>
        <w:jc w:val="both"/>
        <w:rPr>
          <w:rFonts w:ascii="Book Antiqua" w:eastAsia="Book Antiqua" w:hAnsi="Book Antiqua" w:cs="Book Antiqua"/>
        </w:rPr>
      </w:pPr>
      <w:r w:rsidRPr="0AA9EFDA">
        <w:rPr>
          <w:rFonts w:ascii="Book Antiqua" w:eastAsia="Book Antiqua" w:hAnsi="Book Antiqua" w:cs="Book Antiqua"/>
        </w:rPr>
        <w:t xml:space="preserve">El Departamento de Agricultura entiende que la </w:t>
      </w:r>
      <w:r w:rsidR="55B2F7E1" w:rsidRPr="0AA9EFDA">
        <w:rPr>
          <w:rFonts w:ascii="Book Antiqua" w:eastAsia="Book Antiqua" w:hAnsi="Book Antiqua" w:cs="Book Antiqua"/>
        </w:rPr>
        <w:t>agricultura es un pilar esencial del de</w:t>
      </w:r>
      <w:r w:rsidR="3AA78294" w:rsidRPr="0AA9EFDA">
        <w:rPr>
          <w:rFonts w:ascii="Book Antiqua" w:eastAsia="Book Antiqua" w:hAnsi="Book Antiqua" w:cs="Book Antiqua"/>
        </w:rPr>
        <w:t xml:space="preserve">sarrollo económico y social de Puerto Rico, y su sostenimiento depende, en gran medida, de la educación, la innovación y el relevo generacional. Desde esa </w:t>
      </w:r>
      <w:r w:rsidR="4A6C4622" w:rsidRPr="0AA9EFDA">
        <w:rPr>
          <w:rFonts w:ascii="Book Antiqua" w:eastAsia="Book Antiqua" w:hAnsi="Book Antiqua" w:cs="Book Antiqua"/>
        </w:rPr>
        <w:t>perspectiva</w:t>
      </w:r>
      <w:r w:rsidR="30C4F261" w:rsidRPr="0AA9EFDA">
        <w:rPr>
          <w:rFonts w:ascii="Book Antiqua" w:eastAsia="Book Antiqua" w:hAnsi="Book Antiqua" w:cs="Book Antiqua"/>
        </w:rPr>
        <w:t xml:space="preserve">, alude al hecho de que la celebración de esta semana no solo tiene un carácter conmemorativo, sino también educativo y formativo, al promover la integración entre estudiantes, maestros, profesionales agrícolas y la comunidad. </w:t>
      </w:r>
    </w:p>
    <w:p w14:paraId="7EEAE928" w14:textId="3590DDFB" w:rsidR="00FC77C7" w:rsidRDefault="00FC77C7" w:rsidP="00B97C8F">
      <w:pPr>
        <w:spacing w:after="0" w:line="240" w:lineRule="auto"/>
        <w:ind w:firstLine="708"/>
        <w:contextualSpacing/>
        <w:jc w:val="both"/>
        <w:rPr>
          <w:rFonts w:ascii="Book Antiqua" w:eastAsia="Book Antiqua" w:hAnsi="Book Antiqua" w:cs="Book Antiqua"/>
        </w:rPr>
      </w:pPr>
    </w:p>
    <w:p w14:paraId="7AD0EEAD" w14:textId="66D4E7C6" w:rsidR="00FC77C7" w:rsidRDefault="57635692" w:rsidP="00B97C8F">
      <w:pPr>
        <w:spacing w:after="0" w:line="240" w:lineRule="auto"/>
        <w:ind w:firstLine="708"/>
        <w:contextualSpacing/>
        <w:jc w:val="both"/>
        <w:rPr>
          <w:rFonts w:ascii="Book Antiqua" w:eastAsia="Book Antiqua" w:hAnsi="Book Antiqua" w:cs="Book Antiqua"/>
        </w:rPr>
      </w:pPr>
      <w:r w:rsidRPr="0AA9EFDA">
        <w:rPr>
          <w:rFonts w:ascii="Book Antiqua" w:eastAsia="Book Antiqua" w:hAnsi="Book Antiqua" w:cs="Book Antiqua"/>
        </w:rPr>
        <w:t>Por tanto, apoyan el propósito de la medida, por ser ésta una plataforma para promover y destacar las labores de los maestros agrícolas y profesionales del campo, quienes contribuyen</w:t>
      </w:r>
      <w:r w:rsidR="62F0D3F7" w:rsidRPr="0AA9EFDA">
        <w:rPr>
          <w:rFonts w:ascii="Book Antiqua" w:eastAsia="Book Antiqua" w:hAnsi="Book Antiqua" w:cs="Book Antiqua"/>
        </w:rPr>
        <w:t xml:space="preserve"> activamente a la formación académica y práctica de los futuros agricultores. </w:t>
      </w:r>
      <w:r w:rsidR="4F850F9E" w:rsidRPr="0AA9EFDA">
        <w:rPr>
          <w:rFonts w:ascii="Book Antiqua" w:eastAsia="Book Antiqua" w:hAnsi="Book Antiqua" w:cs="Book Antiqua"/>
        </w:rPr>
        <w:t xml:space="preserve"> No obstante, también plantea</w:t>
      </w:r>
      <w:r w:rsidR="7552A420" w:rsidRPr="0AA9EFDA">
        <w:rPr>
          <w:rFonts w:ascii="Book Antiqua" w:eastAsia="Book Antiqua" w:hAnsi="Book Antiqua" w:cs="Book Antiqua"/>
        </w:rPr>
        <w:t>n</w:t>
      </w:r>
      <w:r w:rsidR="4F850F9E" w:rsidRPr="0AA9EFDA">
        <w:rPr>
          <w:rFonts w:ascii="Book Antiqua" w:eastAsia="Book Antiqua" w:hAnsi="Book Antiqua" w:cs="Book Antiqua"/>
        </w:rPr>
        <w:t xml:space="preserve"> que el día designado para los Clubes 4 H debe ser eliminado por </w:t>
      </w:r>
      <w:r w:rsidR="3E89D633" w:rsidRPr="0AA9EFDA">
        <w:rPr>
          <w:rFonts w:ascii="Book Antiqua" w:eastAsia="Book Antiqua" w:hAnsi="Book Antiqua" w:cs="Book Antiqua"/>
        </w:rPr>
        <w:t xml:space="preserve">existir una semana específica dedicada a esta organización. </w:t>
      </w:r>
    </w:p>
    <w:p w14:paraId="4AA70546" w14:textId="7D83F339" w:rsidR="00FC77C7" w:rsidRDefault="00FC77C7" w:rsidP="00B97C8F">
      <w:pPr>
        <w:spacing w:after="0" w:line="240" w:lineRule="auto"/>
        <w:ind w:firstLine="708"/>
        <w:contextualSpacing/>
        <w:jc w:val="both"/>
        <w:rPr>
          <w:rFonts w:ascii="Book Antiqua" w:eastAsia="Book Antiqua" w:hAnsi="Book Antiqua" w:cs="Book Antiqua"/>
        </w:rPr>
      </w:pPr>
    </w:p>
    <w:p w14:paraId="71328195" w14:textId="09C4C6CB" w:rsidR="00FC77C7" w:rsidRDefault="7C2E65CB" w:rsidP="00B97C8F">
      <w:pPr>
        <w:spacing w:after="0" w:line="240" w:lineRule="auto"/>
        <w:ind w:firstLine="708"/>
        <w:contextualSpacing/>
        <w:jc w:val="center"/>
        <w:rPr>
          <w:rFonts w:ascii="Book Antiqua" w:eastAsia="Book Antiqua" w:hAnsi="Book Antiqua" w:cs="Book Antiqua"/>
        </w:rPr>
      </w:pPr>
      <w:r w:rsidRPr="0AA9EFDA">
        <w:rPr>
          <w:rFonts w:ascii="Book Antiqua" w:eastAsia="Book Antiqua" w:hAnsi="Book Antiqua" w:cs="Book Antiqua"/>
          <w:b/>
          <w:bCs/>
        </w:rPr>
        <w:t>DEPARTAMENTO DE EDUCACIÓN</w:t>
      </w:r>
      <w:r w:rsidRPr="0AA9EFDA">
        <w:rPr>
          <w:rFonts w:ascii="Book Antiqua" w:eastAsia="Book Antiqua" w:hAnsi="Book Antiqua" w:cs="Book Antiqua"/>
        </w:rPr>
        <w:t xml:space="preserve"> </w:t>
      </w:r>
    </w:p>
    <w:p w14:paraId="1392BA94" w14:textId="25BEDCA0" w:rsidR="00FC77C7" w:rsidRDefault="00FC77C7" w:rsidP="00B97C8F">
      <w:pPr>
        <w:spacing w:after="0" w:line="240" w:lineRule="auto"/>
        <w:ind w:firstLine="708"/>
        <w:contextualSpacing/>
        <w:jc w:val="center"/>
        <w:rPr>
          <w:rFonts w:ascii="Book Antiqua" w:eastAsia="Book Antiqua" w:hAnsi="Book Antiqua" w:cs="Book Antiqua"/>
        </w:rPr>
      </w:pPr>
    </w:p>
    <w:p w14:paraId="07D7B773" w14:textId="4071CF13" w:rsidR="00FC77C7" w:rsidRDefault="70BE817B" w:rsidP="00B97C8F">
      <w:pPr>
        <w:spacing w:after="0" w:line="240" w:lineRule="auto"/>
        <w:ind w:firstLine="708"/>
        <w:contextualSpacing/>
        <w:jc w:val="both"/>
        <w:rPr>
          <w:rFonts w:ascii="Book Antiqua" w:eastAsia="Book Antiqua" w:hAnsi="Book Antiqua" w:cs="Book Antiqua"/>
        </w:rPr>
      </w:pPr>
      <w:r w:rsidRPr="0AA9EFDA">
        <w:rPr>
          <w:rFonts w:ascii="Book Antiqua" w:eastAsia="Book Antiqua" w:hAnsi="Book Antiqua" w:cs="Book Antiqua"/>
          <w:color w:val="000000" w:themeColor="text1"/>
        </w:rPr>
        <w:t xml:space="preserve">Para el Departamento de Educación, el Proyecto del Senado 605 es una propuesta que contribuye al fortalecimiento de la educación agrícola en Puerto Rico. La medida resalta el papel de la agricultura como eje estratégico de desarrollo y reconoce a quienes </w:t>
      </w:r>
      <w:r w:rsidRPr="0AA9EFDA">
        <w:rPr>
          <w:rFonts w:ascii="Book Antiqua" w:eastAsia="Book Antiqua" w:hAnsi="Book Antiqua" w:cs="Book Antiqua"/>
          <w:color w:val="000000" w:themeColor="text1"/>
        </w:rPr>
        <w:lastRenderedPageBreak/>
        <w:t>aportan a ese esfuerzo desde la formación estudiantil, la docencia y la práctica profesional.</w:t>
      </w:r>
    </w:p>
    <w:p w14:paraId="38CE2544" w14:textId="19EF33BB" w:rsidR="00FC77C7" w:rsidRDefault="00FC77C7" w:rsidP="00B97C8F">
      <w:pPr>
        <w:spacing w:after="0" w:line="240" w:lineRule="auto"/>
        <w:ind w:firstLine="708"/>
        <w:contextualSpacing/>
        <w:jc w:val="center"/>
        <w:rPr>
          <w:rFonts w:ascii="Book Antiqua" w:eastAsia="Book Antiqua" w:hAnsi="Book Antiqua" w:cs="Book Antiqua"/>
        </w:rPr>
      </w:pPr>
    </w:p>
    <w:p w14:paraId="4C9B7DC5" w14:textId="78C600F2" w:rsidR="00FC77C7" w:rsidRDefault="36864D87" w:rsidP="00B97C8F">
      <w:pPr>
        <w:spacing w:after="0" w:line="240" w:lineRule="auto"/>
        <w:ind w:firstLine="708"/>
        <w:contextualSpacing/>
        <w:jc w:val="both"/>
        <w:rPr>
          <w:rFonts w:ascii="Book Antiqua" w:eastAsia="Book Antiqua" w:hAnsi="Book Antiqua" w:cs="Book Antiqua"/>
        </w:rPr>
      </w:pPr>
      <w:r w:rsidRPr="0AA9EFDA">
        <w:rPr>
          <w:rFonts w:ascii="Book Antiqua" w:eastAsia="Book Antiqua" w:hAnsi="Book Antiqua" w:cs="Book Antiqua"/>
        </w:rPr>
        <w:t>De otra parte, hacemos constar que, en atención a las recomendaciones recibidas por las agencias, y al análisis de la Comisión se atendieron mediante enmiendas técnicas de forma, dirigidas a armonizar la redacción entre otros asuntos, los siguientes:</w:t>
      </w:r>
    </w:p>
    <w:p w14:paraId="5D80AC82" w14:textId="77777777" w:rsidR="00FC77C7" w:rsidRDefault="00FC77C7" w:rsidP="00B97C8F">
      <w:pPr>
        <w:spacing w:after="0" w:line="240" w:lineRule="auto"/>
        <w:ind w:firstLine="708"/>
        <w:contextualSpacing/>
        <w:jc w:val="both"/>
      </w:pPr>
    </w:p>
    <w:p w14:paraId="59BE0BFD" w14:textId="0816916C" w:rsidR="00FC77C7" w:rsidRDefault="36864D87" w:rsidP="00B97C8F">
      <w:pPr>
        <w:pStyle w:val="ListParagraph"/>
        <w:numPr>
          <w:ilvl w:val="0"/>
          <w:numId w:val="4"/>
        </w:numPr>
        <w:spacing w:after="0" w:line="240" w:lineRule="auto"/>
        <w:jc w:val="both"/>
        <w:rPr>
          <w:rFonts w:ascii="Book Antiqua" w:eastAsia="Book Antiqua" w:hAnsi="Book Antiqua" w:cs="Book Antiqua"/>
        </w:rPr>
      </w:pPr>
      <w:r w:rsidRPr="0AA9EFDA">
        <w:rPr>
          <w:rFonts w:ascii="Book Antiqua" w:eastAsia="Book Antiqua" w:hAnsi="Book Antiqua" w:cs="Book Antiqua"/>
        </w:rPr>
        <w:t>La consistencia interna del texto, toda vez que el título de la medida incluía el “Día del Ganadero Puertorriqueño”, mientras que el articulado hacía referencia al “Día del Empresario Agrícola”.</w:t>
      </w:r>
    </w:p>
    <w:p w14:paraId="15280626" w14:textId="1F7918FC" w:rsidR="00FC77C7" w:rsidRDefault="00FC77C7" w:rsidP="00B97C8F">
      <w:pPr>
        <w:pStyle w:val="ListParagraph"/>
        <w:spacing w:after="0" w:line="240" w:lineRule="auto"/>
        <w:jc w:val="both"/>
        <w:rPr>
          <w:rFonts w:ascii="Book Antiqua" w:eastAsia="Book Antiqua" w:hAnsi="Book Antiqua" w:cs="Book Antiqua"/>
        </w:rPr>
      </w:pPr>
    </w:p>
    <w:p w14:paraId="63DBF798" w14:textId="23737FEF" w:rsidR="00FC77C7" w:rsidRDefault="36864D87" w:rsidP="00B97C8F">
      <w:pPr>
        <w:pStyle w:val="ListParagraph"/>
        <w:numPr>
          <w:ilvl w:val="0"/>
          <w:numId w:val="4"/>
        </w:numPr>
        <w:spacing w:after="0" w:line="240" w:lineRule="auto"/>
        <w:jc w:val="both"/>
        <w:rPr>
          <w:rFonts w:ascii="Book Antiqua" w:eastAsia="Book Antiqua" w:hAnsi="Book Antiqua" w:cs="Book Antiqua"/>
        </w:rPr>
      </w:pPr>
      <w:r w:rsidRPr="0AA9EFDA">
        <w:rPr>
          <w:rFonts w:ascii="Book Antiqua" w:eastAsia="Book Antiqua" w:hAnsi="Book Antiqua" w:cs="Book Antiqua"/>
        </w:rPr>
        <w:t>La uniformidad en la denominación de los días conmemorativos, particularmente entre el “Día del Maestro Agrícola” y el “Día del Maestro de Educación Agrícola”.</w:t>
      </w:r>
    </w:p>
    <w:p w14:paraId="706F552D" w14:textId="082EA58A" w:rsidR="00FC77C7" w:rsidRDefault="00FC77C7" w:rsidP="00B97C8F">
      <w:pPr>
        <w:pStyle w:val="ListParagraph"/>
        <w:spacing w:after="0" w:line="240" w:lineRule="auto"/>
        <w:jc w:val="both"/>
        <w:rPr>
          <w:rFonts w:ascii="Book Antiqua" w:eastAsia="Book Antiqua" w:hAnsi="Book Antiqua" w:cs="Book Antiqua"/>
        </w:rPr>
      </w:pPr>
    </w:p>
    <w:p w14:paraId="07A8C33D" w14:textId="4533054D" w:rsidR="00FC77C7" w:rsidRDefault="36864D87" w:rsidP="00B97C8F">
      <w:pPr>
        <w:pStyle w:val="ListParagraph"/>
        <w:numPr>
          <w:ilvl w:val="0"/>
          <w:numId w:val="4"/>
        </w:numPr>
        <w:spacing w:after="0" w:line="240" w:lineRule="auto"/>
        <w:jc w:val="both"/>
        <w:rPr>
          <w:rFonts w:ascii="Book Antiqua" w:eastAsia="Book Antiqua" w:hAnsi="Book Antiqua" w:cs="Book Antiqua"/>
        </w:rPr>
      </w:pPr>
      <w:r w:rsidRPr="0AA9EFDA">
        <w:rPr>
          <w:rFonts w:ascii="Book Antiqua" w:eastAsia="Book Antiqua" w:hAnsi="Book Antiqua" w:cs="Book Antiqua"/>
        </w:rPr>
        <w:t>La exclusión del Club 4-H del alcance de la medida, conforme a los señalamientos del Departamento de Estado y del Departamento de Agricultura, quienes indicaron que dicha organización ya cuenta con reconocimiento legislativo y conmemorativo mediante la Ley 175-2002 y la celebración del “National 4-H Week” durante el mes de octubre.</w:t>
      </w:r>
    </w:p>
    <w:p w14:paraId="6BDB7ACF" w14:textId="77777777" w:rsidR="00FC77C7" w:rsidRDefault="00FC77C7" w:rsidP="00B97C8F">
      <w:pPr>
        <w:pStyle w:val="ListParagraph"/>
        <w:spacing w:after="0" w:line="240" w:lineRule="auto"/>
        <w:jc w:val="both"/>
        <w:rPr>
          <w:rFonts w:ascii="Book Antiqua" w:eastAsia="Book Antiqua" w:hAnsi="Book Antiqua" w:cs="Book Antiqua"/>
        </w:rPr>
      </w:pPr>
    </w:p>
    <w:p w14:paraId="43A1B5E5" w14:textId="4DD71696" w:rsidR="00FC77C7" w:rsidRDefault="36864D87" w:rsidP="00B97C8F">
      <w:pPr>
        <w:spacing w:after="0" w:line="240" w:lineRule="auto"/>
        <w:ind w:firstLine="708"/>
        <w:contextualSpacing/>
        <w:jc w:val="both"/>
        <w:rPr>
          <w:rFonts w:ascii="Book Antiqua" w:eastAsia="Book Antiqua" w:hAnsi="Book Antiqua" w:cs="Book Antiqua"/>
        </w:rPr>
      </w:pPr>
      <w:r w:rsidRPr="0AA9EFDA">
        <w:rPr>
          <w:rFonts w:ascii="Book Antiqua" w:eastAsia="Book Antiqua" w:hAnsi="Book Antiqua" w:cs="Book Antiqua"/>
        </w:rPr>
        <w:t>Las recomendaciones antes descritas fueron acogidas por esta Comisión y debidamente incorporadas en el entirillado que acompaña este Informe.</w:t>
      </w:r>
    </w:p>
    <w:p w14:paraId="2F6F54BB" w14:textId="77777777" w:rsidR="00C23176" w:rsidRDefault="00C23176" w:rsidP="00C23176">
      <w:pPr>
        <w:spacing w:after="0" w:line="240" w:lineRule="auto"/>
        <w:contextualSpacing/>
        <w:rPr>
          <w:rFonts w:ascii="Book Antiqua" w:eastAsia="Book Antiqua" w:hAnsi="Book Antiqua" w:cs="Book Antiqua"/>
        </w:rPr>
      </w:pPr>
    </w:p>
    <w:p w14:paraId="50BCA91F" w14:textId="5D124DE4" w:rsidR="4AC3E774" w:rsidRDefault="4AC3E774" w:rsidP="00C23176">
      <w:pPr>
        <w:spacing w:after="0" w:line="240" w:lineRule="auto"/>
        <w:contextualSpacing/>
        <w:jc w:val="center"/>
        <w:rPr>
          <w:rFonts w:ascii="Book Antiqua" w:hAnsi="Book Antiqua"/>
          <w:b/>
          <w:bCs/>
        </w:rPr>
      </w:pPr>
      <w:r w:rsidRPr="018C4929">
        <w:rPr>
          <w:rFonts w:ascii="Book Antiqua" w:hAnsi="Book Antiqua"/>
          <w:b/>
          <w:bCs/>
        </w:rPr>
        <w:t>AN</w:t>
      </w:r>
      <w:r w:rsidR="2F872868" w:rsidRPr="018C4929">
        <w:rPr>
          <w:rFonts w:ascii="Book Antiqua" w:hAnsi="Book Antiqua"/>
          <w:b/>
          <w:bCs/>
        </w:rPr>
        <w:t>Á</w:t>
      </w:r>
      <w:r w:rsidRPr="018C4929">
        <w:rPr>
          <w:rFonts w:ascii="Book Antiqua" w:hAnsi="Book Antiqua"/>
          <w:b/>
          <w:bCs/>
        </w:rPr>
        <w:t>LISIS PRESUPUESTARIO</w:t>
      </w:r>
    </w:p>
    <w:p w14:paraId="04AA9C06" w14:textId="77777777" w:rsidR="00FC77C7" w:rsidRDefault="00FC77C7" w:rsidP="00B97C8F">
      <w:pPr>
        <w:spacing w:after="0" w:line="240" w:lineRule="auto"/>
        <w:ind w:firstLine="708"/>
        <w:contextualSpacing/>
        <w:jc w:val="both"/>
        <w:rPr>
          <w:rFonts w:ascii="Book Antiqua" w:eastAsia="Book Antiqua" w:hAnsi="Book Antiqua" w:cs="Book Antiqua"/>
        </w:rPr>
      </w:pPr>
    </w:p>
    <w:p w14:paraId="414629EC" w14:textId="1868B9BF" w:rsidR="518FC7CF" w:rsidRDefault="518FC7CF" w:rsidP="00B97C8F">
      <w:pPr>
        <w:spacing w:after="0" w:line="240" w:lineRule="auto"/>
        <w:ind w:firstLine="708"/>
        <w:contextualSpacing/>
        <w:jc w:val="both"/>
      </w:pPr>
      <w:r w:rsidRPr="018C4929">
        <w:rPr>
          <w:rFonts w:ascii="Book Antiqua" w:eastAsia="Book Antiqua" w:hAnsi="Book Antiqua" w:cs="Book Antiqua"/>
        </w:rPr>
        <w:t>La Oficina de Presupuesto de la Asamblea Legislativa (OPAL) estimó que la medida no genera impacto fiscal, toda vez que se limita a la designación de fechas conmemorativas y a exhortar al Ejecutivo y a las agencias concernidas a emitir proclamas o realizar actividades dentro de sus capacidades y recursos existentes.</w:t>
      </w:r>
    </w:p>
    <w:p w14:paraId="74B0F47E" w14:textId="77777777" w:rsidR="00E44E9F" w:rsidRDefault="00E44E9F" w:rsidP="00B97C8F">
      <w:pPr>
        <w:spacing w:after="0" w:line="240" w:lineRule="auto"/>
        <w:ind w:firstLine="708"/>
        <w:contextualSpacing/>
        <w:jc w:val="both"/>
        <w:rPr>
          <w:rFonts w:ascii="Book Antiqua" w:eastAsia="Book Antiqua" w:hAnsi="Book Antiqua" w:cs="Book Antiqua"/>
        </w:rPr>
      </w:pPr>
    </w:p>
    <w:p w14:paraId="56AEF2FD" w14:textId="65BF3DC1" w:rsidR="518FC7CF" w:rsidRDefault="518FC7CF" w:rsidP="00B97C8F">
      <w:pPr>
        <w:spacing w:after="0" w:line="240" w:lineRule="auto"/>
        <w:ind w:firstLine="708"/>
        <w:contextualSpacing/>
        <w:jc w:val="both"/>
      </w:pPr>
      <w:r w:rsidRPr="018C4929">
        <w:rPr>
          <w:rFonts w:ascii="Book Antiqua" w:eastAsia="Book Antiqua" w:hAnsi="Book Antiqua" w:cs="Book Antiqua"/>
        </w:rPr>
        <w:t>OPAL concluyó que el Proyecto del Senado 605 no crea programas nuevos, no asigna fondos, no impone gastos obligatorios ni requiere personal o estructuras administrativas adicionales.</w:t>
      </w:r>
    </w:p>
    <w:p w14:paraId="4561DFF2" w14:textId="72CD357F" w:rsidR="0AA9EFDA" w:rsidRDefault="0AA9EFDA" w:rsidP="00B97C8F">
      <w:pPr>
        <w:spacing w:after="0" w:line="240" w:lineRule="auto"/>
        <w:contextualSpacing/>
        <w:jc w:val="center"/>
        <w:rPr>
          <w:rFonts w:ascii="Book Antiqua" w:hAnsi="Book Antiqua"/>
          <w:b/>
          <w:bCs/>
        </w:rPr>
      </w:pPr>
    </w:p>
    <w:p w14:paraId="23C5E784" w14:textId="43A08EBE" w:rsidR="00147DE7" w:rsidRPr="00A578C9" w:rsidRDefault="00147DE7" w:rsidP="00B97C8F">
      <w:pPr>
        <w:spacing w:after="0" w:line="240" w:lineRule="auto"/>
        <w:contextualSpacing/>
        <w:jc w:val="center"/>
        <w:rPr>
          <w:rFonts w:ascii="Book Antiqua" w:hAnsi="Book Antiqua"/>
          <w:b/>
          <w:bCs/>
        </w:rPr>
      </w:pPr>
      <w:r w:rsidRPr="018C4929">
        <w:rPr>
          <w:rFonts w:ascii="Book Antiqua" w:hAnsi="Book Antiqua"/>
          <w:b/>
          <w:bCs/>
        </w:rPr>
        <w:t>CONCLUSIÓN</w:t>
      </w:r>
    </w:p>
    <w:p w14:paraId="40847253" w14:textId="77777777" w:rsidR="00AC5CFC" w:rsidRDefault="00147DE7" w:rsidP="00B97C8F">
      <w:pPr>
        <w:spacing w:after="0" w:line="240" w:lineRule="auto"/>
        <w:contextualSpacing/>
        <w:jc w:val="both"/>
      </w:pPr>
      <w:r w:rsidRPr="0AA9EFDA">
        <w:rPr>
          <w:rFonts w:ascii="Times New Roman" w:hAnsi="Times New Roman" w:cs="Times New Roman"/>
        </w:rPr>
        <w:t> </w:t>
      </w:r>
      <w:r w:rsidRPr="0AA9EFDA">
        <w:rPr>
          <w:rFonts w:ascii="Book Antiqua" w:hAnsi="Book Antiqua"/>
        </w:rPr>
        <w:t> </w:t>
      </w:r>
      <w:r w:rsidR="0C0D37CA" w:rsidRPr="0AA9EFDA">
        <w:rPr>
          <w:rFonts w:ascii="Book Antiqua" w:eastAsia="Book Antiqua" w:hAnsi="Book Antiqua" w:cs="Book Antiqua"/>
        </w:rPr>
        <w:t xml:space="preserve"> </w:t>
      </w:r>
      <w:r w:rsidR="00E44E9F">
        <w:tab/>
      </w:r>
    </w:p>
    <w:p w14:paraId="2767C57F" w14:textId="3C7A726C" w:rsidR="00E44E9F" w:rsidRDefault="158C678D" w:rsidP="00AC5CFC">
      <w:pPr>
        <w:spacing w:after="0" w:line="240" w:lineRule="auto"/>
        <w:ind w:firstLine="708"/>
        <w:contextualSpacing/>
        <w:jc w:val="both"/>
        <w:rPr>
          <w:rFonts w:ascii="Book Antiqua" w:eastAsia="Book Antiqua" w:hAnsi="Book Antiqua" w:cs="Book Antiqua"/>
        </w:rPr>
      </w:pPr>
      <w:r w:rsidRPr="0AA9EFDA">
        <w:rPr>
          <w:rFonts w:ascii="Book Antiqua" w:eastAsia="Book Antiqua" w:hAnsi="Book Antiqua" w:cs="Book Antiqua"/>
        </w:rPr>
        <w:t>Luego de evaluar el contenido del Proyecto del Senado 605, las posturas de las agencias consultadas y el análisis presupuestario correspondiente, esta Comisión concluye que la medida responde a un interés público legítimo y se alinea con la política pública del Gobierno de Puerto Rico dirigida a fortalecer la educación agrícola, el relevo generacional y el desarrollo sostenible del sector agrícola.</w:t>
      </w:r>
    </w:p>
    <w:p w14:paraId="3234CAE3" w14:textId="77777777" w:rsidR="00AC5CFC" w:rsidRDefault="00AC5CFC" w:rsidP="00B97C8F">
      <w:pPr>
        <w:spacing w:after="0" w:line="240" w:lineRule="auto"/>
        <w:ind w:firstLine="708"/>
        <w:contextualSpacing/>
        <w:jc w:val="both"/>
        <w:rPr>
          <w:rFonts w:ascii="Book Antiqua" w:eastAsia="Book Antiqua" w:hAnsi="Book Antiqua" w:cs="Book Antiqua"/>
        </w:rPr>
      </w:pPr>
    </w:p>
    <w:p w14:paraId="49B43AD0" w14:textId="3422B2DE" w:rsidR="00E44E9F" w:rsidRDefault="158C678D" w:rsidP="00B97C8F">
      <w:pPr>
        <w:spacing w:after="0" w:line="240" w:lineRule="auto"/>
        <w:ind w:firstLine="708"/>
        <w:contextualSpacing/>
        <w:jc w:val="both"/>
        <w:rPr>
          <w:rFonts w:ascii="Book Antiqua" w:eastAsia="Book Antiqua" w:hAnsi="Book Antiqua" w:cs="Book Antiqua"/>
        </w:rPr>
      </w:pPr>
      <w:r w:rsidRPr="0AA9EFDA">
        <w:rPr>
          <w:rFonts w:ascii="Book Antiqua" w:eastAsia="Book Antiqua" w:hAnsi="Book Antiqua" w:cs="Book Antiqua"/>
        </w:rPr>
        <w:lastRenderedPageBreak/>
        <w:t>Si bien la medida es de naturaleza conmemorativa, esta Comisión reconoce que las designaciones oficiales mediante ley constituyen instrumentos formales de política pública que permiten integrar esfuerzos educativos, comunitarios y sectoriales dentro del marco institucional del Estado. La agricultura representa un componente estratégico de la seguridad alimentaria y del desarrollo económico del País, por lo que la promoción de liderato juvenil, la formación técnica y el reconocimiento profesional en este ámbito trascienden el plano simbólico.</w:t>
      </w:r>
    </w:p>
    <w:p w14:paraId="085A7C86" w14:textId="77777777" w:rsidR="00AC5CFC" w:rsidRDefault="00AC5CFC" w:rsidP="00AC5CFC">
      <w:pPr>
        <w:spacing w:after="0" w:line="240" w:lineRule="auto"/>
        <w:contextualSpacing/>
        <w:jc w:val="both"/>
        <w:rPr>
          <w:rFonts w:ascii="Book Antiqua" w:eastAsia="Book Antiqua" w:hAnsi="Book Antiqua" w:cs="Book Antiqua"/>
        </w:rPr>
      </w:pPr>
    </w:p>
    <w:p w14:paraId="1D6B16FF" w14:textId="2E5830F2" w:rsidR="00E44E9F" w:rsidRDefault="158C678D" w:rsidP="00AC5CFC">
      <w:pPr>
        <w:spacing w:after="0" w:line="240" w:lineRule="auto"/>
        <w:ind w:firstLine="708"/>
        <w:contextualSpacing/>
        <w:jc w:val="both"/>
        <w:rPr>
          <w:rFonts w:ascii="Book Antiqua" w:eastAsia="Book Antiqua" w:hAnsi="Book Antiqua" w:cs="Book Antiqua"/>
        </w:rPr>
      </w:pPr>
      <w:r w:rsidRPr="0AA9EFDA">
        <w:rPr>
          <w:rFonts w:ascii="Book Antiqua" w:eastAsia="Book Antiqua" w:hAnsi="Book Antiqua" w:cs="Book Antiqua"/>
        </w:rPr>
        <w:t>Del análisis realizado, se determinó que la implementación de la medida se encuentra expresamente condicionada a los recursos disponibles, que no crea programas nuevos ni impone obligaciones presupuestarias adicionales, y que las enmiendas técnicas incorporadas permiten armonizar el texto, evitar duplicidad normativa y facilitar su correcta ejecución.</w:t>
      </w:r>
    </w:p>
    <w:p w14:paraId="3451338F" w14:textId="77777777" w:rsidR="00AC5CFC" w:rsidRDefault="00AC5CFC" w:rsidP="00B97C8F">
      <w:pPr>
        <w:spacing w:after="0" w:line="240" w:lineRule="auto"/>
        <w:ind w:firstLine="708"/>
        <w:contextualSpacing/>
        <w:jc w:val="both"/>
        <w:rPr>
          <w:rFonts w:ascii="Book Antiqua" w:eastAsia="Book Antiqua" w:hAnsi="Book Antiqua" w:cs="Book Antiqua"/>
        </w:rPr>
      </w:pPr>
    </w:p>
    <w:p w14:paraId="1D8D78D5" w14:textId="1267D488" w:rsidR="00E44E9F" w:rsidRDefault="158C678D" w:rsidP="00B97C8F">
      <w:pPr>
        <w:spacing w:after="0" w:line="240" w:lineRule="auto"/>
        <w:ind w:firstLine="708"/>
        <w:contextualSpacing/>
        <w:jc w:val="both"/>
        <w:rPr>
          <w:rFonts w:ascii="Book Antiqua" w:eastAsia="Book Antiqua" w:hAnsi="Book Antiqua" w:cs="Book Antiqua"/>
        </w:rPr>
      </w:pPr>
      <w:r w:rsidRPr="0AA9EFDA">
        <w:rPr>
          <w:rFonts w:ascii="Book Antiqua" w:eastAsia="Book Antiqua" w:hAnsi="Book Antiqua" w:cs="Book Antiqua"/>
        </w:rPr>
        <w:t>Por tanto, esta Comisión estima que el Proyecto del Senado 605 constituye una medida razonable, viable y consistente con el interés público, por lo que rinde Informe Positivo con las enmiendas incorporadas en el entirillado que se acompaña y recomienda su aprobación, según enmendado.</w:t>
      </w:r>
    </w:p>
    <w:p w14:paraId="2205BFB7" w14:textId="34B02860" w:rsidR="00E44E9F" w:rsidRDefault="00E44E9F" w:rsidP="00B97C8F">
      <w:pPr>
        <w:spacing w:after="0" w:line="240" w:lineRule="auto"/>
        <w:contextualSpacing/>
        <w:jc w:val="both"/>
      </w:pPr>
    </w:p>
    <w:p w14:paraId="1D693166" w14:textId="77777777" w:rsidR="00AC5CFC" w:rsidRDefault="00AC5CFC" w:rsidP="00B97C8F">
      <w:pPr>
        <w:spacing w:after="0" w:line="240" w:lineRule="auto"/>
        <w:contextualSpacing/>
        <w:jc w:val="both"/>
      </w:pPr>
    </w:p>
    <w:p w14:paraId="35804488" w14:textId="1B36D7E9" w:rsidR="00147DE7" w:rsidRPr="00A578C9" w:rsidRDefault="175CAE52" w:rsidP="00B97C8F">
      <w:pPr>
        <w:spacing w:after="0" w:line="240" w:lineRule="auto"/>
        <w:contextualSpacing/>
        <w:jc w:val="both"/>
        <w:rPr>
          <w:rFonts w:ascii="Book Antiqua" w:eastAsia="Book Antiqua" w:hAnsi="Book Antiqua" w:cs="Book Antiqua"/>
        </w:rPr>
      </w:pPr>
      <w:r w:rsidRPr="018C4929">
        <w:rPr>
          <w:rFonts w:ascii="Book Antiqua" w:eastAsia="Book Antiqua" w:hAnsi="Book Antiqua" w:cs="Book Antiqua"/>
        </w:rPr>
        <w:t>Respetuosamente sometido,</w:t>
      </w:r>
    </w:p>
    <w:p w14:paraId="4C026545" w14:textId="5BBE2064" w:rsidR="00147DE7" w:rsidRDefault="00147DE7" w:rsidP="00B97C8F">
      <w:pPr>
        <w:spacing w:after="0" w:line="240" w:lineRule="auto"/>
        <w:contextualSpacing/>
        <w:rPr>
          <w:rFonts w:ascii="Book Antiqua" w:hAnsi="Book Antiqua"/>
          <w:b/>
          <w:bCs/>
        </w:rPr>
      </w:pPr>
    </w:p>
    <w:p w14:paraId="550859DD" w14:textId="07FDC6E4" w:rsidR="00E44E9F" w:rsidRDefault="00E44E9F" w:rsidP="00B97C8F">
      <w:pPr>
        <w:spacing w:after="0" w:line="240" w:lineRule="auto"/>
        <w:contextualSpacing/>
        <w:rPr>
          <w:rFonts w:ascii="Book Antiqua" w:hAnsi="Book Antiqua"/>
          <w:b/>
          <w:bCs/>
        </w:rPr>
      </w:pPr>
    </w:p>
    <w:p w14:paraId="6C780C91" w14:textId="77777777" w:rsidR="00AC5CFC" w:rsidRDefault="00AC5CFC" w:rsidP="00B97C8F">
      <w:pPr>
        <w:spacing w:after="0" w:line="240" w:lineRule="auto"/>
        <w:contextualSpacing/>
        <w:rPr>
          <w:rFonts w:ascii="Book Antiqua" w:hAnsi="Book Antiqua"/>
          <w:b/>
          <w:bCs/>
        </w:rPr>
      </w:pPr>
    </w:p>
    <w:p w14:paraId="48AFC660" w14:textId="77777777" w:rsidR="003A233B" w:rsidRPr="00A578C9" w:rsidRDefault="003A233B" w:rsidP="00B97C8F">
      <w:pPr>
        <w:spacing w:after="0" w:line="240" w:lineRule="auto"/>
        <w:contextualSpacing/>
        <w:rPr>
          <w:rFonts w:ascii="Book Antiqua" w:hAnsi="Book Antiqua"/>
          <w:b/>
          <w:bCs/>
        </w:rPr>
      </w:pPr>
    </w:p>
    <w:p w14:paraId="14D1F46B" w14:textId="54191DCC" w:rsidR="00147DE7" w:rsidRPr="00A578C9" w:rsidRDefault="00147DE7" w:rsidP="00B97C8F">
      <w:pPr>
        <w:spacing w:after="0" w:line="240" w:lineRule="auto"/>
        <w:contextualSpacing/>
        <w:rPr>
          <w:rFonts w:ascii="Book Antiqua" w:hAnsi="Book Antiqua"/>
        </w:rPr>
      </w:pPr>
      <w:r w:rsidRPr="018C4929">
        <w:rPr>
          <w:rFonts w:ascii="Book Antiqua" w:hAnsi="Book Antiqua"/>
          <w:b/>
          <w:bCs/>
        </w:rPr>
        <w:t>Hon. Víctor L. Parés-Otero</w:t>
      </w:r>
      <w:r>
        <w:tab/>
      </w:r>
      <w:r>
        <w:tab/>
      </w:r>
      <w:r>
        <w:tab/>
      </w:r>
      <w:r>
        <w:tab/>
      </w:r>
      <w:r w:rsidRPr="018C4929">
        <w:rPr>
          <w:rFonts w:ascii="Times New Roman" w:hAnsi="Times New Roman" w:cs="Times New Roman"/>
        </w:rPr>
        <w:t>  </w:t>
      </w:r>
      <w:r w:rsidRPr="018C4929">
        <w:rPr>
          <w:rFonts w:ascii="Book Antiqua" w:hAnsi="Book Antiqua"/>
        </w:rPr>
        <w:t> </w:t>
      </w:r>
    </w:p>
    <w:p w14:paraId="559A6CA2" w14:textId="77777777" w:rsidR="00147DE7" w:rsidRPr="00A578C9" w:rsidRDefault="00147DE7" w:rsidP="00B97C8F">
      <w:pPr>
        <w:spacing w:after="0" w:line="240" w:lineRule="auto"/>
        <w:contextualSpacing/>
        <w:rPr>
          <w:rFonts w:ascii="Book Antiqua" w:hAnsi="Book Antiqua"/>
        </w:rPr>
      </w:pPr>
      <w:r w:rsidRPr="00A578C9">
        <w:rPr>
          <w:rFonts w:ascii="Book Antiqua" w:hAnsi="Book Antiqua"/>
        </w:rPr>
        <w:t>Presidente</w:t>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Times New Roman" w:hAnsi="Times New Roman" w:cs="Times New Roman"/>
        </w:rPr>
        <w:t>  </w:t>
      </w:r>
      <w:r w:rsidRPr="00A578C9">
        <w:rPr>
          <w:rFonts w:ascii="Book Antiqua" w:hAnsi="Book Antiqua"/>
        </w:rPr>
        <w:t> </w:t>
      </w:r>
    </w:p>
    <w:p w14:paraId="204672CC" w14:textId="77777777" w:rsidR="00147DE7" w:rsidRPr="00A578C9" w:rsidRDefault="00147DE7" w:rsidP="00B97C8F">
      <w:pPr>
        <w:spacing w:after="0" w:line="240" w:lineRule="auto"/>
        <w:contextualSpacing/>
        <w:rPr>
          <w:rFonts w:ascii="Book Antiqua" w:hAnsi="Book Antiqua"/>
        </w:rPr>
      </w:pPr>
      <w:r w:rsidRPr="00A578C9">
        <w:rPr>
          <w:rFonts w:ascii="Book Antiqua" w:hAnsi="Book Antiqua"/>
        </w:rPr>
        <w:t>Comisión de Gobierno</w:t>
      </w:r>
      <w:r w:rsidRPr="00A578C9">
        <w:rPr>
          <w:rFonts w:ascii="Times New Roman" w:hAnsi="Times New Roman" w:cs="Times New Roman"/>
        </w:rPr>
        <w:t>  </w:t>
      </w:r>
      <w:r w:rsidRPr="00A578C9">
        <w:rPr>
          <w:rFonts w:ascii="Book Antiqua" w:hAnsi="Book Antiqua"/>
        </w:rPr>
        <w:t> </w:t>
      </w:r>
    </w:p>
    <w:p w14:paraId="6ECABEDF" w14:textId="117A3B82" w:rsidR="00147DE7" w:rsidRPr="003D39DE" w:rsidRDefault="00147DE7" w:rsidP="00B97C8F">
      <w:pPr>
        <w:spacing w:after="0" w:line="240" w:lineRule="auto"/>
        <w:contextualSpacing/>
        <w:rPr>
          <w:rFonts w:ascii="Book Antiqua" w:hAnsi="Book Antiqua"/>
        </w:rPr>
      </w:pPr>
      <w:r w:rsidRPr="00A578C9">
        <w:rPr>
          <w:rFonts w:ascii="Book Antiqua" w:hAnsi="Book Antiqua"/>
        </w:rPr>
        <w:t>Cámara de Representantes</w:t>
      </w:r>
      <w:r w:rsidRPr="00A578C9">
        <w:rPr>
          <w:rFonts w:ascii="Times New Roman" w:hAnsi="Times New Roman" w:cs="Times New Roman"/>
        </w:rPr>
        <w:t>  </w:t>
      </w:r>
      <w:r w:rsidRPr="00A578C9">
        <w:rPr>
          <w:rFonts w:ascii="Book Antiqua" w:hAnsi="Book Antiqua"/>
        </w:rPr>
        <w:t> </w:t>
      </w:r>
    </w:p>
    <w:p w14:paraId="61AC57D2" w14:textId="77777777" w:rsidR="00147DE7" w:rsidRDefault="00147DE7" w:rsidP="00B97C8F">
      <w:pPr>
        <w:spacing w:after="0" w:line="240" w:lineRule="auto"/>
        <w:contextualSpacing/>
      </w:pPr>
    </w:p>
    <w:sectPr w:rsidR="00147DE7" w:rsidSect="00147DE7">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50FC8" w14:textId="77777777" w:rsidR="00F10156" w:rsidRDefault="00F10156" w:rsidP="00147DE7">
      <w:pPr>
        <w:spacing w:after="0" w:line="240" w:lineRule="auto"/>
      </w:pPr>
      <w:r>
        <w:separator/>
      </w:r>
    </w:p>
  </w:endnote>
  <w:endnote w:type="continuationSeparator" w:id="0">
    <w:p w14:paraId="6A77153A" w14:textId="77777777" w:rsidR="00F10156" w:rsidRDefault="00F10156" w:rsidP="00147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eastAsia="Book Antiqua" w:hAnsi="Book Antiqua" w:cs="Book Antiqua"/>
        <w:lang w:val="es-ES"/>
      </w:rPr>
      <w:id w:val="1138766366"/>
      <w:docPartObj>
        <w:docPartGallery w:val="Page Numbers (Bottom of Page)"/>
        <w:docPartUnique/>
      </w:docPartObj>
    </w:sdtPr>
    <w:sdtEndPr/>
    <w:sdtContent>
      <w:p w14:paraId="48F54065" w14:textId="77777777" w:rsidR="00147DE7" w:rsidRDefault="00147DE7" w:rsidP="018C4929">
        <w:pPr>
          <w:pStyle w:val="Footer"/>
          <w:jc w:val="center"/>
          <w:rPr>
            <w:rFonts w:ascii="Book Antiqua" w:eastAsia="Book Antiqua" w:hAnsi="Book Antiqua" w:cs="Book Antiqua"/>
          </w:rPr>
        </w:pPr>
        <w:r w:rsidRPr="018C4929">
          <w:rPr>
            <w:rFonts w:ascii="Book Antiqua" w:eastAsia="Book Antiqua" w:hAnsi="Book Antiqua" w:cs="Book Antiqua"/>
            <w:lang w:val="es-ES"/>
          </w:rPr>
          <w:fldChar w:fldCharType="begin"/>
        </w:r>
        <w:r>
          <w:instrText>PAGE   \* MERGEFORMAT</w:instrText>
        </w:r>
        <w:r w:rsidRPr="018C4929">
          <w:fldChar w:fldCharType="separate"/>
        </w:r>
        <w:r w:rsidR="018C4929" w:rsidRPr="018C4929">
          <w:rPr>
            <w:rFonts w:ascii="Book Antiqua" w:eastAsia="Book Antiqua" w:hAnsi="Book Antiqua" w:cs="Book Antiqua"/>
            <w:lang w:val="es-ES"/>
          </w:rPr>
          <w:t>2</w:t>
        </w:r>
        <w:r w:rsidRPr="018C4929">
          <w:rPr>
            <w:rFonts w:ascii="Book Antiqua" w:eastAsia="Book Antiqua" w:hAnsi="Book Antiqua" w:cs="Book Antiqua"/>
            <w:lang w:val="es-ES"/>
          </w:rPr>
          <w:fldChar w:fldCharType="end"/>
        </w:r>
      </w:p>
    </w:sdtContent>
  </w:sdt>
  <w:p w14:paraId="03B44E4B" w14:textId="77777777" w:rsidR="00147DE7" w:rsidRDefault="00147D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18C4929" w14:paraId="2E92E9F6" w14:textId="77777777" w:rsidTr="018C4929">
      <w:trPr>
        <w:trHeight w:val="300"/>
      </w:trPr>
      <w:tc>
        <w:tcPr>
          <w:tcW w:w="3120" w:type="dxa"/>
        </w:tcPr>
        <w:p w14:paraId="0ECCD9BD" w14:textId="49FE97B1" w:rsidR="018C4929" w:rsidRDefault="018C4929" w:rsidP="018C4929">
          <w:pPr>
            <w:pStyle w:val="Header"/>
            <w:ind w:left="-115"/>
          </w:pPr>
        </w:p>
      </w:tc>
      <w:tc>
        <w:tcPr>
          <w:tcW w:w="3120" w:type="dxa"/>
        </w:tcPr>
        <w:p w14:paraId="0E34F8D4" w14:textId="5B547671" w:rsidR="018C4929" w:rsidRDefault="018C4929" w:rsidP="018C4929">
          <w:pPr>
            <w:pStyle w:val="Header"/>
            <w:jc w:val="center"/>
          </w:pPr>
        </w:p>
      </w:tc>
      <w:tc>
        <w:tcPr>
          <w:tcW w:w="3120" w:type="dxa"/>
        </w:tcPr>
        <w:p w14:paraId="472ECD18" w14:textId="34CE1DC8" w:rsidR="018C4929" w:rsidRDefault="018C4929" w:rsidP="018C4929">
          <w:pPr>
            <w:pStyle w:val="Header"/>
            <w:ind w:right="-115"/>
            <w:jc w:val="right"/>
          </w:pPr>
        </w:p>
      </w:tc>
    </w:tr>
  </w:tbl>
  <w:p w14:paraId="637421CC" w14:textId="62178311" w:rsidR="018C4929" w:rsidRDefault="018C4929" w:rsidP="018C49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22E03" w14:textId="77777777" w:rsidR="00F10156" w:rsidRDefault="00F10156" w:rsidP="00147DE7">
      <w:pPr>
        <w:spacing w:after="0" w:line="240" w:lineRule="auto"/>
      </w:pPr>
      <w:r>
        <w:separator/>
      </w:r>
    </w:p>
  </w:footnote>
  <w:footnote w:type="continuationSeparator" w:id="0">
    <w:p w14:paraId="462526C1" w14:textId="77777777" w:rsidR="00F10156" w:rsidRDefault="00F10156" w:rsidP="00147D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9600D" w14:textId="09E6AEAB" w:rsidR="00147DE7" w:rsidRDefault="00147DE7">
    <w:pPr>
      <w:pStyle w:val="Header"/>
      <w:rPr>
        <w:rFonts w:ascii="Book Antiqua" w:hAnsi="Book Antiqua"/>
        <w:sz w:val="20"/>
        <w:szCs w:val="20"/>
      </w:rPr>
    </w:pPr>
    <w:r>
      <w:rPr>
        <w:rFonts w:ascii="Book Antiqua" w:hAnsi="Book Antiqua"/>
        <w:sz w:val="20"/>
        <w:szCs w:val="20"/>
      </w:rPr>
      <w:t>Informe Positivo</w:t>
    </w:r>
    <w:r w:rsidR="003D6158">
      <w:rPr>
        <w:rFonts w:ascii="Book Antiqua" w:hAnsi="Book Antiqua"/>
        <w:sz w:val="20"/>
        <w:szCs w:val="20"/>
      </w:rPr>
      <w:t xml:space="preserve"> </w:t>
    </w:r>
  </w:p>
  <w:p w14:paraId="49B6DA6B" w14:textId="758B4250" w:rsidR="00147DE7" w:rsidRPr="002F23A4" w:rsidRDefault="00147DE7">
    <w:pPr>
      <w:pStyle w:val="Header"/>
      <w:rPr>
        <w:rFonts w:ascii="Book Antiqua" w:hAnsi="Book Antiqua"/>
        <w:sz w:val="20"/>
        <w:szCs w:val="20"/>
      </w:rPr>
    </w:pPr>
    <w:r>
      <w:rPr>
        <w:rFonts w:ascii="Book Antiqua" w:hAnsi="Book Antiqua"/>
        <w:sz w:val="20"/>
        <w:szCs w:val="20"/>
      </w:rPr>
      <w:t>Proyecto del Senado 605</w:t>
    </w:r>
  </w:p>
  <w:p w14:paraId="06E612EA" w14:textId="77777777" w:rsidR="00147DE7" w:rsidRDefault="00147D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18C4929" w14:paraId="0065E6DB" w14:textId="77777777" w:rsidTr="018C4929">
      <w:trPr>
        <w:trHeight w:val="300"/>
      </w:trPr>
      <w:tc>
        <w:tcPr>
          <w:tcW w:w="3120" w:type="dxa"/>
        </w:tcPr>
        <w:p w14:paraId="1F6DB454" w14:textId="4A8E6227" w:rsidR="018C4929" w:rsidRDefault="018C4929" w:rsidP="018C4929">
          <w:pPr>
            <w:pStyle w:val="Header"/>
            <w:ind w:left="-115"/>
          </w:pPr>
        </w:p>
      </w:tc>
      <w:tc>
        <w:tcPr>
          <w:tcW w:w="3120" w:type="dxa"/>
        </w:tcPr>
        <w:p w14:paraId="4FEF42C5" w14:textId="50CED608" w:rsidR="018C4929" w:rsidRDefault="018C4929" w:rsidP="018C4929">
          <w:pPr>
            <w:pStyle w:val="Header"/>
            <w:jc w:val="center"/>
          </w:pPr>
        </w:p>
      </w:tc>
      <w:tc>
        <w:tcPr>
          <w:tcW w:w="3120" w:type="dxa"/>
        </w:tcPr>
        <w:p w14:paraId="57467A63" w14:textId="6C0F15F7" w:rsidR="018C4929" w:rsidRDefault="018C4929" w:rsidP="018C4929">
          <w:pPr>
            <w:pStyle w:val="Header"/>
            <w:ind w:right="-115"/>
            <w:jc w:val="right"/>
          </w:pPr>
        </w:p>
      </w:tc>
    </w:tr>
  </w:tbl>
  <w:p w14:paraId="6E6DB800" w14:textId="4A9CAACE" w:rsidR="018C4929" w:rsidRDefault="018C4929" w:rsidP="018C49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67D55"/>
    <w:multiLevelType w:val="hybridMultilevel"/>
    <w:tmpl w:val="270E9EFC"/>
    <w:lvl w:ilvl="0" w:tplc="9B1034D0">
      <w:start w:val="1"/>
      <w:numFmt w:val="decimal"/>
      <w:lvlText w:val="%1."/>
      <w:lvlJc w:val="left"/>
      <w:pPr>
        <w:ind w:left="1068" w:hanging="360"/>
      </w:pPr>
    </w:lvl>
    <w:lvl w:ilvl="1" w:tplc="92D6C9AC">
      <w:start w:val="1"/>
      <w:numFmt w:val="lowerLetter"/>
      <w:lvlText w:val="%2."/>
      <w:lvlJc w:val="left"/>
      <w:pPr>
        <w:ind w:left="1788" w:hanging="360"/>
      </w:pPr>
    </w:lvl>
    <w:lvl w:ilvl="2" w:tplc="7760358E">
      <w:start w:val="1"/>
      <w:numFmt w:val="lowerRoman"/>
      <w:lvlText w:val="%3."/>
      <w:lvlJc w:val="right"/>
      <w:pPr>
        <w:ind w:left="2508" w:hanging="180"/>
      </w:pPr>
    </w:lvl>
    <w:lvl w:ilvl="3" w:tplc="D87CC78E">
      <w:start w:val="1"/>
      <w:numFmt w:val="decimal"/>
      <w:lvlText w:val="%4."/>
      <w:lvlJc w:val="left"/>
      <w:pPr>
        <w:ind w:left="3228" w:hanging="360"/>
      </w:pPr>
    </w:lvl>
    <w:lvl w:ilvl="4" w:tplc="0D8E84FA">
      <w:start w:val="1"/>
      <w:numFmt w:val="lowerLetter"/>
      <w:lvlText w:val="%5."/>
      <w:lvlJc w:val="left"/>
      <w:pPr>
        <w:ind w:left="3948" w:hanging="360"/>
      </w:pPr>
    </w:lvl>
    <w:lvl w:ilvl="5" w:tplc="FD3233DC">
      <w:start w:val="1"/>
      <w:numFmt w:val="lowerRoman"/>
      <w:lvlText w:val="%6."/>
      <w:lvlJc w:val="right"/>
      <w:pPr>
        <w:ind w:left="4668" w:hanging="180"/>
      </w:pPr>
    </w:lvl>
    <w:lvl w:ilvl="6" w:tplc="C7C68F3E">
      <w:start w:val="1"/>
      <w:numFmt w:val="decimal"/>
      <w:lvlText w:val="%7."/>
      <w:lvlJc w:val="left"/>
      <w:pPr>
        <w:ind w:left="5388" w:hanging="360"/>
      </w:pPr>
    </w:lvl>
    <w:lvl w:ilvl="7" w:tplc="E7D216F6">
      <w:start w:val="1"/>
      <w:numFmt w:val="lowerLetter"/>
      <w:lvlText w:val="%8."/>
      <w:lvlJc w:val="left"/>
      <w:pPr>
        <w:ind w:left="6108" w:hanging="360"/>
      </w:pPr>
    </w:lvl>
    <w:lvl w:ilvl="8" w:tplc="293A1B3C">
      <w:start w:val="1"/>
      <w:numFmt w:val="lowerRoman"/>
      <w:lvlText w:val="%9."/>
      <w:lvlJc w:val="right"/>
      <w:pPr>
        <w:ind w:left="6828" w:hanging="180"/>
      </w:pPr>
    </w:lvl>
  </w:abstractNum>
  <w:abstractNum w:abstractNumId="1" w15:restartNumberingAfterBreak="0">
    <w:nsid w:val="3A11253F"/>
    <w:multiLevelType w:val="hybridMultilevel"/>
    <w:tmpl w:val="9EA0D84C"/>
    <w:lvl w:ilvl="0" w:tplc="561E4F90">
      <w:start w:val="1"/>
      <w:numFmt w:val="bullet"/>
      <w:lvlText w:val=""/>
      <w:lvlJc w:val="left"/>
      <w:pPr>
        <w:ind w:left="720" w:hanging="360"/>
      </w:pPr>
      <w:rPr>
        <w:rFonts w:ascii="Symbol" w:hAnsi="Symbol" w:hint="default"/>
      </w:rPr>
    </w:lvl>
    <w:lvl w:ilvl="1" w:tplc="B4549330">
      <w:start w:val="1"/>
      <w:numFmt w:val="bullet"/>
      <w:lvlText w:val="o"/>
      <w:lvlJc w:val="left"/>
      <w:pPr>
        <w:ind w:left="1440" w:hanging="360"/>
      </w:pPr>
      <w:rPr>
        <w:rFonts w:ascii="Courier New" w:hAnsi="Courier New" w:hint="default"/>
      </w:rPr>
    </w:lvl>
    <w:lvl w:ilvl="2" w:tplc="41908584">
      <w:start w:val="1"/>
      <w:numFmt w:val="bullet"/>
      <w:lvlText w:val=""/>
      <w:lvlJc w:val="left"/>
      <w:pPr>
        <w:ind w:left="2160" w:hanging="360"/>
      </w:pPr>
      <w:rPr>
        <w:rFonts w:ascii="Wingdings" w:hAnsi="Wingdings" w:hint="default"/>
      </w:rPr>
    </w:lvl>
    <w:lvl w:ilvl="3" w:tplc="9A5C2412">
      <w:start w:val="1"/>
      <w:numFmt w:val="bullet"/>
      <w:lvlText w:val=""/>
      <w:lvlJc w:val="left"/>
      <w:pPr>
        <w:ind w:left="2880" w:hanging="360"/>
      </w:pPr>
      <w:rPr>
        <w:rFonts w:ascii="Symbol" w:hAnsi="Symbol" w:hint="default"/>
      </w:rPr>
    </w:lvl>
    <w:lvl w:ilvl="4" w:tplc="0E6E035C">
      <w:start w:val="1"/>
      <w:numFmt w:val="bullet"/>
      <w:lvlText w:val="o"/>
      <w:lvlJc w:val="left"/>
      <w:pPr>
        <w:ind w:left="3600" w:hanging="360"/>
      </w:pPr>
      <w:rPr>
        <w:rFonts w:ascii="Courier New" w:hAnsi="Courier New" w:hint="default"/>
      </w:rPr>
    </w:lvl>
    <w:lvl w:ilvl="5" w:tplc="41AE2690">
      <w:start w:val="1"/>
      <w:numFmt w:val="bullet"/>
      <w:lvlText w:val=""/>
      <w:lvlJc w:val="left"/>
      <w:pPr>
        <w:ind w:left="4320" w:hanging="360"/>
      </w:pPr>
      <w:rPr>
        <w:rFonts w:ascii="Wingdings" w:hAnsi="Wingdings" w:hint="default"/>
      </w:rPr>
    </w:lvl>
    <w:lvl w:ilvl="6" w:tplc="DD04A47A">
      <w:start w:val="1"/>
      <w:numFmt w:val="bullet"/>
      <w:lvlText w:val=""/>
      <w:lvlJc w:val="left"/>
      <w:pPr>
        <w:ind w:left="5040" w:hanging="360"/>
      </w:pPr>
      <w:rPr>
        <w:rFonts w:ascii="Symbol" w:hAnsi="Symbol" w:hint="default"/>
      </w:rPr>
    </w:lvl>
    <w:lvl w:ilvl="7" w:tplc="5F2A25CE">
      <w:start w:val="1"/>
      <w:numFmt w:val="bullet"/>
      <w:lvlText w:val="o"/>
      <w:lvlJc w:val="left"/>
      <w:pPr>
        <w:ind w:left="5760" w:hanging="360"/>
      </w:pPr>
      <w:rPr>
        <w:rFonts w:ascii="Courier New" w:hAnsi="Courier New" w:hint="default"/>
      </w:rPr>
    </w:lvl>
    <w:lvl w:ilvl="8" w:tplc="A544CE7C">
      <w:start w:val="1"/>
      <w:numFmt w:val="bullet"/>
      <w:lvlText w:val=""/>
      <w:lvlJc w:val="left"/>
      <w:pPr>
        <w:ind w:left="6480" w:hanging="360"/>
      </w:pPr>
      <w:rPr>
        <w:rFonts w:ascii="Wingdings" w:hAnsi="Wingdings" w:hint="default"/>
      </w:rPr>
    </w:lvl>
  </w:abstractNum>
  <w:abstractNum w:abstractNumId="2" w15:restartNumberingAfterBreak="0">
    <w:nsid w:val="3D9D0106"/>
    <w:multiLevelType w:val="multilevel"/>
    <w:tmpl w:val="BF0E2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D4121E"/>
    <w:multiLevelType w:val="multilevel"/>
    <w:tmpl w:val="8AB00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01FB3B"/>
    <w:multiLevelType w:val="hybridMultilevel"/>
    <w:tmpl w:val="F522B8C0"/>
    <w:lvl w:ilvl="0" w:tplc="55A06F80">
      <w:start w:val="1"/>
      <w:numFmt w:val="decimal"/>
      <w:lvlText w:val="%1."/>
      <w:lvlJc w:val="left"/>
      <w:pPr>
        <w:ind w:left="1068" w:hanging="360"/>
      </w:pPr>
    </w:lvl>
    <w:lvl w:ilvl="1" w:tplc="03149596">
      <w:start w:val="1"/>
      <w:numFmt w:val="lowerLetter"/>
      <w:lvlText w:val="%2."/>
      <w:lvlJc w:val="left"/>
      <w:pPr>
        <w:ind w:left="1788" w:hanging="360"/>
      </w:pPr>
    </w:lvl>
    <w:lvl w:ilvl="2" w:tplc="14B82F72">
      <w:start w:val="1"/>
      <w:numFmt w:val="lowerRoman"/>
      <w:lvlText w:val="%3."/>
      <w:lvlJc w:val="right"/>
      <w:pPr>
        <w:ind w:left="2508" w:hanging="180"/>
      </w:pPr>
    </w:lvl>
    <w:lvl w:ilvl="3" w:tplc="8ED2B9D4">
      <w:start w:val="1"/>
      <w:numFmt w:val="decimal"/>
      <w:lvlText w:val="%4."/>
      <w:lvlJc w:val="left"/>
      <w:pPr>
        <w:ind w:left="3228" w:hanging="360"/>
      </w:pPr>
    </w:lvl>
    <w:lvl w:ilvl="4" w:tplc="6AF48C12">
      <w:start w:val="1"/>
      <w:numFmt w:val="lowerLetter"/>
      <w:lvlText w:val="%5."/>
      <w:lvlJc w:val="left"/>
      <w:pPr>
        <w:ind w:left="3948" w:hanging="360"/>
      </w:pPr>
    </w:lvl>
    <w:lvl w:ilvl="5" w:tplc="118C97E4">
      <w:start w:val="1"/>
      <w:numFmt w:val="lowerRoman"/>
      <w:lvlText w:val="%6."/>
      <w:lvlJc w:val="right"/>
      <w:pPr>
        <w:ind w:left="4668" w:hanging="180"/>
      </w:pPr>
    </w:lvl>
    <w:lvl w:ilvl="6" w:tplc="7472D604">
      <w:start w:val="1"/>
      <w:numFmt w:val="decimal"/>
      <w:lvlText w:val="%7."/>
      <w:lvlJc w:val="left"/>
      <w:pPr>
        <w:ind w:left="5388" w:hanging="360"/>
      </w:pPr>
    </w:lvl>
    <w:lvl w:ilvl="7" w:tplc="F3BABD02">
      <w:start w:val="1"/>
      <w:numFmt w:val="lowerLetter"/>
      <w:lvlText w:val="%8."/>
      <w:lvlJc w:val="left"/>
      <w:pPr>
        <w:ind w:left="6108" w:hanging="360"/>
      </w:pPr>
    </w:lvl>
    <w:lvl w:ilvl="8" w:tplc="9F3EA4F0">
      <w:start w:val="1"/>
      <w:numFmt w:val="lowerRoman"/>
      <w:lvlText w:val="%9."/>
      <w:lvlJc w:val="right"/>
      <w:pPr>
        <w:ind w:left="6828" w:hanging="180"/>
      </w:pPr>
    </w:lvl>
  </w:abstractNum>
  <w:abstractNum w:abstractNumId="5" w15:restartNumberingAfterBreak="0">
    <w:nsid w:val="59F78F69"/>
    <w:multiLevelType w:val="hybridMultilevel"/>
    <w:tmpl w:val="D2861CEE"/>
    <w:lvl w:ilvl="0" w:tplc="5E82353A">
      <w:start w:val="1"/>
      <w:numFmt w:val="decimal"/>
      <w:lvlText w:val="%1."/>
      <w:lvlJc w:val="left"/>
      <w:pPr>
        <w:ind w:left="720" w:hanging="360"/>
      </w:pPr>
    </w:lvl>
    <w:lvl w:ilvl="1" w:tplc="779E7B8C">
      <w:start w:val="1"/>
      <w:numFmt w:val="lowerLetter"/>
      <w:lvlText w:val="%2."/>
      <w:lvlJc w:val="left"/>
      <w:pPr>
        <w:ind w:left="1440" w:hanging="360"/>
      </w:pPr>
    </w:lvl>
    <w:lvl w:ilvl="2" w:tplc="362234F6">
      <w:start w:val="1"/>
      <w:numFmt w:val="lowerRoman"/>
      <w:lvlText w:val="%3."/>
      <w:lvlJc w:val="right"/>
      <w:pPr>
        <w:ind w:left="2160" w:hanging="180"/>
      </w:pPr>
    </w:lvl>
    <w:lvl w:ilvl="3" w:tplc="0AE8DCAA">
      <w:start w:val="1"/>
      <w:numFmt w:val="decimal"/>
      <w:lvlText w:val="%4."/>
      <w:lvlJc w:val="left"/>
      <w:pPr>
        <w:ind w:left="2880" w:hanging="360"/>
      </w:pPr>
    </w:lvl>
    <w:lvl w:ilvl="4" w:tplc="19B477B2">
      <w:start w:val="1"/>
      <w:numFmt w:val="lowerLetter"/>
      <w:lvlText w:val="%5."/>
      <w:lvlJc w:val="left"/>
      <w:pPr>
        <w:ind w:left="3600" w:hanging="360"/>
      </w:pPr>
    </w:lvl>
    <w:lvl w:ilvl="5" w:tplc="4E00A74A">
      <w:start w:val="1"/>
      <w:numFmt w:val="lowerRoman"/>
      <w:lvlText w:val="%6."/>
      <w:lvlJc w:val="right"/>
      <w:pPr>
        <w:ind w:left="4320" w:hanging="180"/>
      </w:pPr>
    </w:lvl>
    <w:lvl w:ilvl="6" w:tplc="5E1A6FBA">
      <w:start w:val="1"/>
      <w:numFmt w:val="decimal"/>
      <w:lvlText w:val="%7."/>
      <w:lvlJc w:val="left"/>
      <w:pPr>
        <w:ind w:left="5040" w:hanging="360"/>
      </w:pPr>
    </w:lvl>
    <w:lvl w:ilvl="7" w:tplc="8C482566">
      <w:start w:val="1"/>
      <w:numFmt w:val="lowerLetter"/>
      <w:lvlText w:val="%8."/>
      <w:lvlJc w:val="left"/>
      <w:pPr>
        <w:ind w:left="5760" w:hanging="360"/>
      </w:pPr>
    </w:lvl>
    <w:lvl w:ilvl="8" w:tplc="3D52C46A">
      <w:start w:val="1"/>
      <w:numFmt w:val="lowerRoman"/>
      <w:lvlText w:val="%9."/>
      <w:lvlJc w:val="right"/>
      <w:pPr>
        <w:ind w:left="6480" w:hanging="180"/>
      </w:pPr>
    </w:lvl>
  </w:abstractNum>
  <w:num w:numId="1" w16cid:durableId="887105690">
    <w:abstractNumId w:val="5"/>
  </w:num>
  <w:num w:numId="2" w16cid:durableId="986012333">
    <w:abstractNumId w:val="4"/>
  </w:num>
  <w:num w:numId="3" w16cid:durableId="1298796990">
    <w:abstractNumId w:val="0"/>
  </w:num>
  <w:num w:numId="4" w16cid:durableId="494491685">
    <w:abstractNumId w:val="1"/>
  </w:num>
  <w:num w:numId="5" w16cid:durableId="526606856">
    <w:abstractNumId w:val="3"/>
  </w:num>
  <w:num w:numId="6" w16cid:durableId="8852219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DE7"/>
    <w:rsid w:val="00003787"/>
    <w:rsid w:val="00037C0F"/>
    <w:rsid w:val="000640EE"/>
    <w:rsid w:val="000C055C"/>
    <w:rsid w:val="00127DBC"/>
    <w:rsid w:val="00147DE7"/>
    <w:rsid w:val="00155340"/>
    <w:rsid w:val="00181352"/>
    <w:rsid w:val="001E77FA"/>
    <w:rsid w:val="00271E6B"/>
    <w:rsid w:val="002976BB"/>
    <w:rsid w:val="002D294F"/>
    <w:rsid w:val="00385C97"/>
    <w:rsid w:val="003A233B"/>
    <w:rsid w:val="003D39DE"/>
    <w:rsid w:val="003D6158"/>
    <w:rsid w:val="0043272B"/>
    <w:rsid w:val="00592699"/>
    <w:rsid w:val="005AB69A"/>
    <w:rsid w:val="006A05C2"/>
    <w:rsid w:val="006A4C58"/>
    <w:rsid w:val="0083168D"/>
    <w:rsid w:val="008443B7"/>
    <w:rsid w:val="008934B7"/>
    <w:rsid w:val="008E3D3F"/>
    <w:rsid w:val="008F63CD"/>
    <w:rsid w:val="00960EB6"/>
    <w:rsid w:val="0096213D"/>
    <w:rsid w:val="00965DB6"/>
    <w:rsid w:val="00A16A33"/>
    <w:rsid w:val="00A35F2B"/>
    <w:rsid w:val="00A40F6F"/>
    <w:rsid w:val="00A8033F"/>
    <w:rsid w:val="00AC5CFC"/>
    <w:rsid w:val="00AC6F8C"/>
    <w:rsid w:val="00B100E2"/>
    <w:rsid w:val="00B5727A"/>
    <w:rsid w:val="00B97C8F"/>
    <w:rsid w:val="00BC2C9D"/>
    <w:rsid w:val="00BD7BD4"/>
    <w:rsid w:val="00C10D94"/>
    <w:rsid w:val="00C23176"/>
    <w:rsid w:val="00C40B8F"/>
    <w:rsid w:val="00CA55BF"/>
    <w:rsid w:val="00CD0A10"/>
    <w:rsid w:val="00D77503"/>
    <w:rsid w:val="00E44E9F"/>
    <w:rsid w:val="00E60B26"/>
    <w:rsid w:val="00E61AFA"/>
    <w:rsid w:val="00EC3E6E"/>
    <w:rsid w:val="00EE2DB1"/>
    <w:rsid w:val="00F10156"/>
    <w:rsid w:val="00FC020F"/>
    <w:rsid w:val="00FC77C7"/>
    <w:rsid w:val="018C4929"/>
    <w:rsid w:val="01A0DA85"/>
    <w:rsid w:val="07B429A6"/>
    <w:rsid w:val="09C56098"/>
    <w:rsid w:val="0A10A6CC"/>
    <w:rsid w:val="0AA9EFDA"/>
    <w:rsid w:val="0C0D37CA"/>
    <w:rsid w:val="0C22C9BD"/>
    <w:rsid w:val="0D3170B0"/>
    <w:rsid w:val="0D3E2D81"/>
    <w:rsid w:val="0D809EEE"/>
    <w:rsid w:val="0DCE9AAB"/>
    <w:rsid w:val="0E276470"/>
    <w:rsid w:val="0E944235"/>
    <w:rsid w:val="0FED8BB3"/>
    <w:rsid w:val="1099EAD4"/>
    <w:rsid w:val="15221D79"/>
    <w:rsid w:val="153BFDEA"/>
    <w:rsid w:val="158C678D"/>
    <w:rsid w:val="175CAE52"/>
    <w:rsid w:val="19CAE400"/>
    <w:rsid w:val="1AE95477"/>
    <w:rsid w:val="1C57BB0F"/>
    <w:rsid w:val="1CFF96B0"/>
    <w:rsid w:val="1D191264"/>
    <w:rsid w:val="1D5AEBFD"/>
    <w:rsid w:val="1FB2ADA9"/>
    <w:rsid w:val="1FC36736"/>
    <w:rsid w:val="206575A2"/>
    <w:rsid w:val="212D6D29"/>
    <w:rsid w:val="229EB176"/>
    <w:rsid w:val="22B94F05"/>
    <w:rsid w:val="2395F77C"/>
    <w:rsid w:val="2431A937"/>
    <w:rsid w:val="255BD3F1"/>
    <w:rsid w:val="258875D4"/>
    <w:rsid w:val="261EAC32"/>
    <w:rsid w:val="26999A7C"/>
    <w:rsid w:val="27606EC7"/>
    <w:rsid w:val="2959EEC8"/>
    <w:rsid w:val="2A5DD972"/>
    <w:rsid w:val="2DA0082A"/>
    <w:rsid w:val="2DEEE222"/>
    <w:rsid w:val="2E88D86C"/>
    <w:rsid w:val="2F872868"/>
    <w:rsid w:val="30C4F261"/>
    <w:rsid w:val="31D0A92D"/>
    <w:rsid w:val="324B3271"/>
    <w:rsid w:val="33806F6F"/>
    <w:rsid w:val="33CFC2AB"/>
    <w:rsid w:val="34B0B3E8"/>
    <w:rsid w:val="3564ED35"/>
    <w:rsid w:val="36864D87"/>
    <w:rsid w:val="36F639B9"/>
    <w:rsid w:val="376927F4"/>
    <w:rsid w:val="3862EAC5"/>
    <w:rsid w:val="39ACF11B"/>
    <w:rsid w:val="39AFFD6D"/>
    <w:rsid w:val="3AA78294"/>
    <w:rsid w:val="3BF050AD"/>
    <w:rsid w:val="3C844D1D"/>
    <w:rsid w:val="3E540413"/>
    <w:rsid w:val="3E89D633"/>
    <w:rsid w:val="3EAF3F2F"/>
    <w:rsid w:val="417F1724"/>
    <w:rsid w:val="434B9A71"/>
    <w:rsid w:val="441C7103"/>
    <w:rsid w:val="48260320"/>
    <w:rsid w:val="4832466C"/>
    <w:rsid w:val="48378015"/>
    <w:rsid w:val="49A4E515"/>
    <w:rsid w:val="4A6C4622"/>
    <w:rsid w:val="4AC3E774"/>
    <w:rsid w:val="4B0EB303"/>
    <w:rsid w:val="4B9A98F0"/>
    <w:rsid w:val="4C4121C3"/>
    <w:rsid w:val="4E884B02"/>
    <w:rsid w:val="4F0AE939"/>
    <w:rsid w:val="4F850F9E"/>
    <w:rsid w:val="50E7CDE9"/>
    <w:rsid w:val="518FC7CF"/>
    <w:rsid w:val="51A4E282"/>
    <w:rsid w:val="5284DF53"/>
    <w:rsid w:val="544E6A59"/>
    <w:rsid w:val="552374B5"/>
    <w:rsid w:val="55B2F7E1"/>
    <w:rsid w:val="57483B80"/>
    <w:rsid w:val="57635692"/>
    <w:rsid w:val="5865E48F"/>
    <w:rsid w:val="588C0FF2"/>
    <w:rsid w:val="5B086179"/>
    <w:rsid w:val="5CC1CA7D"/>
    <w:rsid w:val="5D9769D9"/>
    <w:rsid w:val="5F4584F0"/>
    <w:rsid w:val="60A8B261"/>
    <w:rsid w:val="61C605AF"/>
    <w:rsid w:val="61FE131D"/>
    <w:rsid w:val="62F0D3F7"/>
    <w:rsid w:val="63E71CB4"/>
    <w:rsid w:val="644FAB43"/>
    <w:rsid w:val="64E47CAC"/>
    <w:rsid w:val="65951164"/>
    <w:rsid w:val="66A7DDE0"/>
    <w:rsid w:val="679BD58C"/>
    <w:rsid w:val="682F5DAD"/>
    <w:rsid w:val="68D2ECBF"/>
    <w:rsid w:val="699681A3"/>
    <w:rsid w:val="6C037150"/>
    <w:rsid w:val="6D83D787"/>
    <w:rsid w:val="6DEFDFE1"/>
    <w:rsid w:val="70A79BB6"/>
    <w:rsid w:val="70BE817B"/>
    <w:rsid w:val="70CB1467"/>
    <w:rsid w:val="720041E6"/>
    <w:rsid w:val="7234FB5A"/>
    <w:rsid w:val="7249D909"/>
    <w:rsid w:val="73773D2F"/>
    <w:rsid w:val="73FC04AA"/>
    <w:rsid w:val="752FC41D"/>
    <w:rsid w:val="7552A420"/>
    <w:rsid w:val="76A8D4E9"/>
    <w:rsid w:val="77C4FF81"/>
    <w:rsid w:val="78675BBC"/>
    <w:rsid w:val="78F87640"/>
    <w:rsid w:val="791A2964"/>
    <w:rsid w:val="7BE533B6"/>
    <w:rsid w:val="7C2E65CB"/>
    <w:rsid w:val="7E93638E"/>
    <w:rsid w:val="7F85BE2E"/>
    <w:rsid w:val="7FC5F597"/>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5A7BB"/>
  <w15:chartTrackingRefBased/>
  <w15:docId w15:val="{40326432-FD00-4A1F-B2DD-41E39F409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DE7"/>
  </w:style>
  <w:style w:type="paragraph" w:styleId="Heading1">
    <w:name w:val="heading 1"/>
    <w:basedOn w:val="Normal"/>
    <w:next w:val="Normal"/>
    <w:link w:val="Heading1Char"/>
    <w:uiPriority w:val="9"/>
    <w:qFormat/>
    <w:rsid w:val="00147D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7D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7D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7D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7D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7D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D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D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D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D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7D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7D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7D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7D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7D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D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D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DE7"/>
    <w:rPr>
      <w:rFonts w:eastAsiaTheme="majorEastAsia" w:cstheme="majorBidi"/>
      <w:color w:val="272727" w:themeColor="text1" w:themeTint="D8"/>
    </w:rPr>
  </w:style>
  <w:style w:type="paragraph" w:styleId="Title">
    <w:name w:val="Title"/>
    <w:basedOn w:val="Normal"/>
    <w:next w:val="Normal"/>
    <w:link w:val="TitleChar"/>
    <w:uiPriority w:val="10"/>
    <w:qFormat/>
    <w:rsid w:val="00147D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D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D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D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DE7"/>
    <w:pPr>
      <w:spacing w:before="160"/>
      <w:jc w:val="center"/>
    </w:pPr>
    <w:rPr>
      <w:i/>
      <w:iCs/>
      <w:color w:val="404040" w:themeColor="text1" w:themeTint="BF"/>
    </w:rPr>
  </w:style>
  <w:style w:type="character" w:customStyle="1" w:styleId="QuoteChar">
    <w:name w:val="Quote Char"/>
    <w:basedOn w:val="DefaultParagraphFont"/>
    <w:link w:val="Quote"/>
    <w:uiPriority w:val="29"/>
    <w:rsid w:val="00147DE7"/>
    <w:rPr>
      <w:i/>
      <w:iCs/>
      <w:color w:val="404040" w:themeColor="text1" w:themeTint="BF"/>
    </w:rPr>
  </w:style>
  <w:style w:type="paragraph" w:styleId="ListParagraph">
    <w:name w:val="List Paragraph"/>
    <w:basedOn w:val="Normal"/>
    <w:uiPriority w:val="34"/>
    <w:qFormat/>
    <w:rsid w:val="00147DE7"/>
    <w:pPr>
      <w:ind w:left="720"/>
      <w:contextualSpacing/>
    </w:pPr>
  </w:style>
  <w:style w:type="character" w:styleId="IntenseEmphasis">
    <w:name w:val="Intense Emphasis"/>
    <w:basedOn w:val="DefaultParagraphFont"/>
    <w:uiPriority w:val="21"/>
    <w:qFormat/>
    <w:rsid w:val="00147DE7"/>
    <w:rPr>
      <w:i/>
      <w:iCs/>
      <w:color w:val="0F4761" w:themeColor="accent1" w:themeShade="BF"/>
    </w:rPr>
  </w:style>
  <w:style w:type="paragraph" w:styleId="IntenseQuote">
    <w:name w:val="Intense Quote"/>
    <w:basedOn w:val="Normal"/>
    <w:next w:val="Normal"/>
    <w:link w:val="IntenseQuoteChar"/>
    <w:uiPriority w:val="30"/>
    <w:qFormat/>
    <w:rsid w:val="00147D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7DE7"/>
    <w:rPr>
      <w:i/>
      <w:iCs/>
      <w:color w:val="0F4761" w:themeColor="accent1" w:themeShade="BF"/>
    </w:rPr>
  </w:style>
  <w:style w:type="character" w:styleId="IntenseReference">
    <w:name w:val="Intense Reference"/>
    <w:basedOn w:val="DefaultParagraphFont"/>
    <w:uiPriority w:val="32"/>
    <w:qFormat/>
    <w:rsid w:val="00147DE7"/>
    <w:rPr>
      <w:b/>
      <w:bCs/>
      <w:smallCaps/>
      <w:color w:val="0F4761" w:themeColor="accent1" w:themeShade="BF"/>
      <w:spacing w:val="5"/>
    </w:rPr>
  </w:style>
  <w:style w:type="paragraph" w:styleId="Header">
    <w:name w:val="header"/>
    <w:basedOn w:val="Normal"/>
    <w:link w:val="HeaderChar"/>
    <w:uiPriority w:val="99"/>
    <w:unhideWhenUsed/>
    <w:rsid w:val="00147D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7DE7"/>
  </w:style>
  <w:style w:type="paragraph" w:styleId="Footer">
    <w:name w:val="footer"/>
    <w:basedOn w:val="Normal"/>
    <w:link w:val="FooterChar"/>
    <w:uiPriority w:val="99"/>
    <w:unhideWhenUsed/>
    <w:rsid w:val="00147D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7DE7"/>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lorfulList-Accent11">
    <w:name w:val="Colorful List - Accent 11"/>
    <w:basedOn w:val="Normal"/>
    <w:uiPriority w:val="34"/>
    <w:qFormat/>
    <w:rsid w:val="0AA9EFDA"/>
    <w:pPr>
      <w:spacing w:after="0" w:line="240" w:lineRule="auto"/>
      <w:ind w:left="720"/>
      <w:contextualSpacing/>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1437</Words>
  <Characters>8224</Characters>
  <Application>Microsoft Office Word</Application>
  <DocSecurity>4</DocSecurity>
  <Lines>192</Lines>
  <Paragraphs>54</Paragraphs>
  <ScaleCrop>false</ScaleCrop>
  <Company/>
  <LinksUpToDate>false</LinksUpToDate>
  <CharactersWithSpaces>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2026-02-26T18:22:00Z</dcterms:created>
  <dcterms:modified xsi:type="dcterms:W3CDTF">2026-02-26T18:22:00Z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ec05a0a6-64db-49ee-8267-8221d61a7199</vt:lpwstr>
  </property>
</Properties>
</file>