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60BD5" w14:textId="029C4E60" w:rsidR="00D454DC" w:rsidRPr="003E3789" w:rsidRDefault="780CD979" w:rsidP="00D454DC">
      <w:pPr>
        <w:tabs>
          <w:tab w:val="right" w:pos="709"/>
        </w:tabs>
        <w:spacing w:line="360" w:lineRule="auto"/>
        <w:jc w:val="center"/>
        <w:rPr>
          <w:rFonts w:ascii="Book Antiqua" w:hAnsi="Book Antiqua"/>
          <w:b/>
          <w:sz w:val="28"/>
          <w:szCs w:val="28"/>
          <w:lang w:val="es-ES"/>
        </w:rPr>
      </w:pPr>
      <w:r w:rsidRPr="3E6144AE">
        <w:rPr>
          <w:rFonts w:ascii="Book Antiqua" w:hAnsi="Book Antiqua"/>
          <w:b/>
          <w:bCs/>
          <w:sz w:val="28"/>
          <w:szCs w:val="28"/>
          <w:lang w:val="es-ES"/>
        </w:rPr>
        <w:t xml:space="preserve"> </w:t>
      </w:r>
      <w:r w:rsidR="00D454DC" w:rsidRPr="003E3789">
        <w:rPr>
          <w:rFonts w:ascii="Book Antiqua" w:hAnsi="Book Antiqua"/>
          <w:b/>
          <w:sz w:val="28"/>
          <w:szCs w:val="28"/>
          <w:lang w:val="es-ES"/>
        </w:rPr>
        <w:t>GOBIERNO DE PUERTO RICO</w:t>
      </w:r>
    </w:p>
    <w:p w14:paraId="15E78EC5" w14:textId="6F384433" w:rsidR="00D454DC" w:rsidRPr="003E3789" w:rsidRDefault="00F90B3A" w:rsidP="00D454DC">
      <w:pPr>
        <w:suppressLineNumbers/>
        <w:tabs>
          <w:tab w:val="left" w:pos="7560"/>
        </w:tabs>
        <w:jc w:val="both"/>
        <w:rPr>
          <w:rFonts w:ascii="Book Antiqua" w:hAnsi="Book Antiqua"/>
          <w:lang w:val="es-ES"/>
        </w:rPr>
      </w:pPr>
      <w:r w:rsidRPr="003E3789">
        <w:rPr>
          <w:rFonts w:ascii="Book Antiqua" w:hAnsi="Book Antiqua"/>
          <w:lang w:val="es-ES"/>
        </w:rPr>
        <w:t>20</w:t>
      </w:r>
      <w:r w:rsidR="009B31FB" w:rsidRPr="003E3789">
        <w:rPr>
          <w:rFonts w:ascii="Book Antiqua" w:hAnsi="Book Antiqua"/>
          <w:vertAlign w:val="superscript"/>
          <w:lang w:val="es-ES"/>
        </w:rPr>
        <w:t>m</w:t>
      </w:r>
      <w:r w:rsidR="00D454DC" w:rsidRPr="003E3789">
        <w:rPr>
          <w:rFonts w:ascii="Book Antiqua" w:hAnsi="Book Antiqua"/>
          <w:vertAlign w:val="superscript"/>
          <w:lang w:val="es-ES"/>
        </w:rPr>
        <w:t>a.</w:t>
      </w:r>
      <w:r w:rsidR="00D454DC" w:rsidRPr="003E3789">
        <w:rPr>
          <w:rFonts w:ascii="Book Antiqua" w:hAnsi="Book Antiqua"/>
          <w:lang w:val="es-ES"/>
        </w:rPr>
        <w:t xml:space="preserve"> Asamblea</w:t>
      </w:r>
      <w:r w:rsidR="00D454DC" w:rsidRPr="003E3789">
        <w:rPr>
          <w:rFonts w:ascii="Book Antiqua" w:hAnsi="Book Antiqua"/>
          <w:lang w:val="es-ES"/>
        </w:rPr>
        <w:tab/>
        <w:t xml:space="preserve">    </w:t>
      </w:r>
      <w:r w:rsidR="00544C7B">
        <w:rPr>
          <w:rFonts w:ascii="Book Antiqua" w:hAnsi="Book Antiqua"/>
          <w:lang w:val="es-ES"/>
        </w:rPr>
        <w:t>2</w:t>
      </w:r>
      <w:r w:rsidR="00544C7B">
        <w:rPr>
          <w:rFonts w:ascii="Book Antiqua" w:hAnsi="Book Antiqua"/>
          <w:vertAlign w:val="superscript"/>
          <w:lang w:val="es-ES"/>
        </w:rPr>
        <w:t>d</w:t>
      </w:r>
      <w:r w:rsidR="00834021" w:rsidRPr="003E3789">
        <w:rPr>
          <w:rFonts w:ascii="Book Antiqua" w:hAnsi="Book Antiqua"/>
          <w:vertAlign w:val="superscript"/>
          <w:lang w:val="es-ES"/>
        </w:rPr>
        <w:t>a</w:t>
      </w:r>
      <w:r w:rsidR="00D454DC" w:rsidRPr="003E3789">
        <w:rPr>
          <w:rFonts w:ascii="Book Antiqua" w:hAnsi="Book Antiqua"/>
          <w:vertAlign w:val="superscript"/>
          <w:lang w:val="es-ES"/>
        </w:rPr>
        <w:t>.</w:t>
      </w:r>
      <w:r w:rsidR="00D454DC" w:rsidRPr="003E3789">
        <w:rPr>
          <w:rFonts w:ascii="Book Antiqua" w:hAnsi="Book Antiqua"/>
          <w:lang w:val="es-ES"/>
        </w:rPr>
        <w:t xml:space="preserve">   Sesión </w:t>
      </w:r>
    </w:p>
    <w:p w14:paraId="0FA29DBB" w14:textId="09B2AF80" w:rsidR="00D454DC" w:rsidRPr="003E3789" w:rsidRDefault="00D454DC" w:rsidP="4E6FCEB9">
      <w:pPr>
        <w:rPr>
          <w:rFonts w:ascii="Book Antiqua" w:hAnsi="Book Antiqua"/>
          <w:b/>
          <w:bCs/>
          <w:lang w:val="es-ES"/>
        </w:rPr>
      </w:pPr>
      <w:r w:rsidRPr="4E6FCEB9">
        <w:rPr>
          <w:rFonts w:ascii="Book Antiqua" w:hAnsi="Book Antiqua"/>
          <w:lang w:val="es-ES"/>
        </w:rPr>
        <w:t xml:space="preserve">       </w:t>
      </w:r>
      <w:r w:rsidR="00BD219E" w:rsidRPr="4E6FCEB9">
        <w:rPr>
          <w:rFonts w:ascii="Book Antiqua" w:hAnsi="Book Antiqua"/>
          <w:lang w:val="es-ES"/>
        </w:rPr>
        <w:t xml:space="preserve">  </w:t>
      </w:r>
      <w:r w:rsidRPr="4E6FCEB9">
        <w:rPr>
          <w:rFonts w:ascii="Book Antiqua" w:hAnsi="Book Antiqua"/>
          <w:lang w:val="es-ES"/>
        </w:rPr>
        <w:t>Legislativa</w:t>
      </w:r>
      <w:r w:rsidRPr="00C02F88">
        <w:rPr>
          <w:lang w:val="es-PR"/>
        </w:rPr>
        <w:tab/>
      </w:r>
      <w:r w:rsidRPr="00C02F88">
        <w:rPr>
          <w:lang w:val="es-PR"/>
        </w:rPr>
        <w:tab/>
      </w:r>
      <w:r w:rsidRPr="00C02F88">
        <w:rPr>
          <w:lang w:val="es-PR"/>
        </w:rPr>
        <w:tab/>
      </w:r>
      <w:r w:rsidRPr="00C02F88">
        <w:rPr>
          <w:lang w:val="es-PR"/>
        </w:rPr>
        <w:tab/>
      </w:r>
      <w:r w:rsidRPr="00C02F88">
        <w:rPr>
          <w:lang w:val="es-PR"/>
        </w:rPr>
        <w:tab/>
      </w:r>
      <w:r w:rsidRPr="00C02F88">
        <w:rPr>
          <w:lang w:val="es-PR"/>
        </w:rPr>
        <w:tab/>
      </w:r>
      <w:r w:rsidRPr="00C02F88">
        <w:rPr>
          <w:lang w:val="es-PR"/>
        </w:rPr>
        <w:tab/>
      </w:r>
      <w:r w:rsidRPr="00C02F88">
        <w:rPr>
          <w:lang w:val="es-PR"/>
        </w:rPr>
        <w:tab/>
      </w:r>
      <w:r w:rsidRPr="00C02F88">
        <w:rPr>
          <w:lang w:val="es-PR"/>
        </w:rPr>
        <w:tab/>
      </w:r>
      <w:r w:rsidRPr="4E6FCEB9">
        <w:rPr>
          <w:rFonts w:ascii="Book Antiqua" w:hAnsi="Book Antiqua"/>
          <w:lang w:val="es-ES"/>
        </w:rPr>
        <w:t xml:space="preserve">   </w:t>
      </w:r>
      <w:r w:rsidR="00834021" w:rsidRPr="4E6FCEB9">
        <w:rPr>
          <w:rFonts w:ascii="Book Antiqua" w:hAnsi="Book Antiqua"/>
          <w:lang w:val="es-ES"/>
        </w:rPr>
        <w:t xml:space="preserve">  </w:t>
      </w:r>
      <w:r w:rsidRPr="4E6FCEB9">
        <w:rPr>
          <w:rFonts w:ascii="Book Antiqua" w:hAnsi="Book Antiqua"/>
          <w:lang w:val="es-ES"/>
        </w:rPr>
        <w:t>Ordinaria</w:t>
      </w:r>
    </w:p>
    <w:p w14:paraId="672A6659" w14:textId="6CF75636" w:rsidR="00D454DC" w:rsidRPr="003E3789" w:rsidRDefault="00A42C32" w:rsidP="00A42C32">
      <w:pPr>
        <w:tabs>
          <w:tab w:val="left" w:pos="6851"/>
        </w:tabs>
        <w:spacing w:line="360" w:lineRule="auto"/>
        <w:rPr>
          <w:rFonts w:ascii="Book Antiqua" w:hAnsi="Book Antiqua"/>
          <w:b/>
          <w:sz w:val="36"/>
          <w:szCs w:val="36"/>
          <w:lang w:val="es-ES"/>
        </w:rPr>
      </w:pPr>
      <w:r>
        <w:rPr>
          <w:rFonts w:ascii="Book Antiqua" w:hAnsi="Book Antiqua"/>
          <w:b/>
          <w:sz w:val="36"/>
          <w:szCs w:val="36"/>
          <w:lang w:val="es-ES"/>
        </w:rPr>
        <w:tab/>
      </w:r>
    </w:p>
    <w:p w14:paraId="10F5F563" w14:textId="77777777" w:rsidR="00D454DC" w:rsidRPr="003E3789" w:rsidRDefault="00D454DC" w:rsidP="00D454DC">
      <w:pPr>
        <w:spacing w:line="360" w:lineRule="auto"/>
        <w:jc w:val="center"/>
        <w:rPr>
          <w:rFonts w:ascii="Book Antiqua" w:hAnsi="Book Antiqua"/>
          <w:b/>
          <w:sz w:val="36"/>
          <w:szCs w:val="36"/>
          <w:lang w:val="es-ES"/>
        </w:rPr>
      </w:pPr>
      <w:r w:rsidRPr="003E3789">
        <w:rPr>
          <w:rFonts w:ascii="Book Antiqua" w:hAnsi="Book Antiqua"/>
          <w:b/>
          <w:sz w:val="36"/>
          <w:szCs w:val="36"/>
          <w:lang w:val="es-ES"/>
        </w:rPr>
        <w:t>SENADO DE PUERTO RICO</w:t>
      </w:r>
    </w:p>
    <w:p w14:paraId="670D02DB" w14:textId="2B6174E2" w:rsidR="00D454DC" w:rsidRPr="003E3789" w:rsidRDefault="00126ABF" w:rsidP="16EAA9FE">
      <w:pPr>
        <w:spacing w:line="360" w:lineRule="auto"/>
        <w:jc w:val="center"/>
        <w:rPr>
          <w:rFonts w:ascii="Book Antiqua" w:hAnsi="Book Antiqua"/>
          <w:b/>
          <w:bCs/>
          <w:sz w:val="52"/>
          <w:szCs w:val="52"/>
          <w:lang w:val="es-ES"/>
        </w:rPr>
      </w:pPr>
      <w:r>
        <w:rPr>
          <w:rFonts w:ascii="Book Antiqua" w:hAnsi="Book Antiqua"/>
          <w:b/>
          <w:bCs/>
          <w:sz w:val="52"/>
          <w:szCs w:val="52"/>
          <w:lang w:val="es-ES"/>
        </w:rPr>
        <w:t>P</w:t>
      </w:r>
      <w:r w:rsidR="00811D5C" w:rsidRPr="16EAA9FE">
        <w:rPr>
          <w:rFonts w:ascii="Book Antiqua" w:hAnsi="Book Antiqua"/>
          <w:b/>
          <w:bCs/>
          <w:sz w:val="52"/>
          <w:szCs w:val="52"/>
          <w:lang w:val="es-ES"/>
        </w:rPr>
        <w:t>.</w:t>
      </w:r>
      <w:r>
        <w:rPr>
          <w:rFonts w:ascii="Book Antiqua" w:hAnsi="Book Antiqua"/>
          <w:b/>
          <w:bCs/>
          <w:sz w:val="52"/>
          <w:szCs w:val="52"/>
          <w:lang w:val="es-ES"/>
        </w:rPr>
        <w:t xml:space="preserve"> </w:t>
      </w:r>
      <w:r w:rsidR="009C4980">
        <w:rPr>
          <w:rFonts w:ascii="Book Antiqua" w:hAnsi="Book Antiqua"/>
          <w:b/>
          <w:bCs/>
          <w:sz w:val="52"/>
          <w:szCs w:val="52"/>
          <w:lang w:val="es-ES"/>
        </w:rPr>
        <w:t>de</w:t>
      </w:r>
      <w:r>
        <w:rPr>
          <w:rFonts w:ascii="Book Antiqua" w:hAnsi="Book Antiqua"/>
          <w:b/>
          <w:bCs/>
          <w:sz w:val="52"/>
          <w:szCs w:val="52"/>
          <w:lang w:val="es-ES"/>
        </w:rPr>
        <w:t xml:space="preserve"> </w:t>
      </w:r>
      <w:r w:rsidR="009C4980">
        <w:rPr>
          <w:rFonts w:ascii="Book Antiqua" w:hAnsi="Book Antiqua"/>
          <w:b/>
          <w:bCs/>
          <w:sz w:val="52"/>
          <w:szCs w:val="52"/>
          <w:lang w:val="es-ES"/>
        </w:rPr>
        <w:t>l</w:t>
      </w:r>
      <w:r>
        <w:rPr>
          <w:rFonts w:ascii="Book Antiqua" w:hAnsi="Book Antiqua"/>
          <w:b/>
          <w:bCs/>
          <w:sz w:val="52"/>
          <w:szCs w:val="52"/>
          <w:lang w:val="es-ES"/>
        </w:rPr>
        <w:t>a</w:t>
      </w:r>
      <w:r w:rsidR="009C4980">
        <w:rPr>
          <w:rFonts w:ascii="Book Antiqua" w:hAnsi="Book Antiqua"/>
          <w:b/>
          <w:bCs/>
          <w:sz w:val="52"/>
          <w:szCs w:val="52"/>
          <w:lang w:val="es-ES"/>
        </w:rPr>
        <w:t xml:space="preserve"> </w:t>
      </w:r>
      <w:r>
        <w:rPr>
          <w:rFonts w:ascii="Book Antiqua" w:hAnsi="Book Antiqua"/>
          <w:b/>
          <w:bCs/>
          <w:sz w:val="52"/>
          <w:szCs w:val="52"/>
          <w:lang w:val="es-ES"/>
        </w:rPr>
        <w:t>C</w:t>
      </w:r>
      <w:r w:rsidR="009C4980">
        <w:rPr>
          <w:rFonts w:ascii="Book Antiqua" w:hAnsi="Book Antiqua"/>
          <w:b/>
          <w:bCs/>
          <w:sz w:val="52"/>
          <w:szCs w:val="52"/>
          <w:lang w:val="es-ES"/>
        </w:rPr>
        <w:t xml:space="preserve">. </w:t>
      </w:r>
      <w:r w:rsidR="00A42C32">
        <w:rPr>
          <w:rFonts w:ascii="Book Antiqua" w:hAnsi="Book Antiqua"/>
          <w:b/>
          <w:bCs/>
          <w:sz w:val="52"/>
          <w:szCs w:val="52"/>
          <w:lang w:val="es-ES"/>
        </w:rPr>
        <w:t>606</w:t>
      </w:r>
    </w:p>
    <w:p w14:paraId="37EF53F6" w14:textId="77777777" w:rsidR="00D454DC" w:rsidRPr="003E3789" w:rsidRDefault="00D454DC" w:rsidP="00D454DC">
      <w:pPr>
        <w:spacing w:line="360" w:lineRule="auto"/>
        <w:jc w:val="center"/>
        <w:rPr>
          <w:rFonts w:ascii="Book Antiqua" w:hAnsi="Book Antiqua"/>
          <w:b/>
          <w:sz w:val="28"/>
          <w:szCs w:val="28"/>
          <w:lang w:val="es-ES"/>
        </w:rPr>
      </w:pPr>
      <w:r w:rsidRPr="003E3789">
        <w:rPr>
          <w:rFonts w:ascii="Book Antiqua" w:hAnsi="Book Antiqua"/>
          <w:b/>
          <w:sz w:val="28"/>
          <w:szCs w:val="28"/>
          <w:lang w:val="es-ES"/>
        </w:rPr>
        <w:t xml:space="preserve">INFORME </w:t>
      </w:r>
      <w:r w:rsidR="00EB57F5" w:rsidRPr="003E3789">
        <w:rPr>
          <w:rFonts w:ascii="Book Antiqua" w:hAnsi="Book Antiqua"/>
          <w:b/>
          <w:sz w:val="28"/>
          <w:szCs w:val="28"/>
          <w:lang w:val="es-ES"/>
        </w:rPr>
        <w:t>POSITIVO</w:t>
      </w:r>
    </w:p>
    <w:p w14:paraId="0A37501D" w14:textId="77777777" w:rsidR="00D454DC" w:rsidRPr="003E3789" w:rsidRDefault="00D454DC" w:rsidP="00D454DC">
      <w:pPr>
        <w:spacing w:line="360" w:lineRule="auto"/>
        <w:jc w:val="center"/>
        <w:rPr>
          <w:rFonts w:ascii="Book Antiqua" w:hAnsi="Book Antiqua"/>
          <w:lang w:val="es-ES"/>
        </w:rPr>
      </w:pPr>
    </w:p>
    <w:p w14:paraId="3E2129E7" w14:textId="46D6EAB2" w:rsidR="00D454DC" w:rsidRPr="003E3789" w:rsidRDefault="00FA5F03" w:rsidP="00D454DC">
      <w:pPr>
        <w:spacing w:line="360" w:lineRule="auto"/>
        <w:jc w:val="center"/>
        <w:rPr>
          <w:rFonts w:ascii="Book Antiqua" w:hAnsi="Book Antiqua"/>
          <w:lang w:val="es-ES"/>
        </w:rPr>
      </w:pPr>
      <w:r>
        <w:rPr>
          <w:rFonts w:ascii="Book Antiqua" w:hAnsi="Book Antiqua"/>
          <w:lang w:val="es-ES"/>
        </w:rPr>
        <w:t>22</w:t>
      </w:r>
      <w:r w:rsidR="00D454DC" w:rsidRPr="16EAA9FE">
        <w:rPr>
          <w:rFonts w:ascii="Book Antiqua" w:hAnsi="Book Antiqua"/>
          <w:lang w:val="es-ES"/>
        </w:rPr>
        <w:t xml:space="preserve"> de </w:t>
      </w:r>
      <w:r w:rsidR="00544C7B">
        <w:rPr>
          <w:rFonts w:ascii="Book Antiqua" w:hAnsi="Book Antiqua"/>
          <w:lang w:val="es-ES"/>
        </w:rPr>
        <w:t>agosto</w:t>
      </w:r>
      <w:r w:rsidR="7075934A" w:rsidRPr="16EAA9FE">
        <w:rPr>
          <w:rFonts w:ascii="Book Antiqua" w:hAnsi="Book Antiqua"/>
          <w:lang w:val="es-ES"/>
        </w:rPr>
        <w:t xml:space="preserve"> </w:t>
      </w:r>
      <w:r w:rsidR="00D454DC" w:rsidRPr="16EAA9FE">
        <w:rPr>
          <w:rFonts w:ascii="Book Antiqua" w:hAnsi="Book Antiqua"/>
          <w:lang w:val="es-ES"/>
        </w:rPr>
        <w:t>de 202</w:t>
      </w:r>
      <w:r w:rsidR="00F90B3A" w:rsidRPr="16EAA9FE">
        <w:rPr>
          <w:rFonts w:ascii="Book Antiqua" w:hAnsi="Book Antiqua"/>
          <w:lang w:val="es-ES"/>
        </w:rPr>
        <w:t>5</w:t>
      </w:r>
    </w:p>
    <w:p w14:paraId="5DAB6C7B" w14:textId="77777777" w:rsidR="00D454DC" w:rsidRPr="003E3789" w:rsidRDefault="00D454DC" w:rsidP="00D454DC">
      <w:pPr>
        <w:rPr>
          <w:rFonts w:ascii="Book Antiqua" w:hAnsi="Book Antiqua"/>
          <w:b/>
          <w:lang w:val="es-ES"/>
        </w:rPr>
      </w:pPr>
    </w:p>
    <w:p w14:paraId="20938F15" w14:textId="77777777" w:rsidR="00D454DC" w:rsidRPr="003E3789" w:rsidRDefault="00D454DC" w:rsidP="00946C49">
      <w:pPr>
        <w:jc w:val="both"/>
        <w:rPr>
          <w:rFonts w:ascii="Book Antiqua" w:hAnsi="Book Antiqua"/>
          <w:b/>
          <w:color w:val="000000"/>
          <w:lang w:val="es-ES"/>
        </w:rPr>
      </w:pPr>
      <w:r w:rsidRPr="003E3789">
        <w:rPr>
          <w:rFonts w:ascii="Book Antiqua" w:hAnsi="Book Antiqua"/>
          <w:b/>
          <w:color w:val="000000"/>
          <w:lang w:val="es-ES"/>
        </w:rPr>
        <w:t>AL SENADO DE PUERTO RICO:</w:t>
      </w:r>
    </w:p>
    <w:p w14:paraId="02EB378F" w14:textId="77777777" w:rsidR="00D454DC" w:rsidRPr="003E3789" w:rsidRDefault="00D454DC" w:rsidP="00946C49">
      <w:pPr>
        <w:jc w:val="both"/>
        <w:rPr>
          <w:rFonts w:ascii="Book Antiqua" w:hAnsi="Book Antiqua"/>
          <w:color w:val="000000"/>
          <w:lang w:val="es-ES"/>
        </w:rPr>
      </w:pPr>
    </w:p>
    <w:p w14:paraId="10C4B67C" w14:textId="68620E28" w:rsidR="00D454DC" w:rsidRPr="003E3789" w:rsidRDefault="00834021" w:rsidP="0059030F">
      <w:pPr>
        <w:jc w:val="both"/>
        <w:rPr>
          <w:rFonts w:ascii="Book Antiqua" w:hAnsi="Book Antiqua"/>
          <w:color w:val="000000"/>
          <w:lang w:val="es-ES"/>
        </w:rPr>
      </w:pPr>
      <w:r w:rsidRPr="16EAA9FE">
        <w:rPr>
          <w:rFonts w:ascii="Book Antiqua" w:hAnsi="Book Antiqua"/>
          <w:color w:val="000000" w:themeColor="text1"/>
          <w:lang w:val="es-ES"/>
        </w:rPr>
        <w:t>La</w:t>
      </w:r>
      <w:r w:rsidR="00D454DC" w:rsidRPr="16EAA9FE">
        <w:rPr>
          <w:rFonts w:ascii="Book Antiqua" w:hAnsi="Book Antiqua"/>
          <w:color w:val="000000" w:themeColor="text1"/>
          <w:lang w:val="es-ES"/>
        </w:rPr>
        <w:t xml:space="preserve"> </w:t>
      </w:r>
      <w:r w:rsidR="00B93E7F" w:rsidRPr="16EAA9FE">
        <w:rPr>
          <w:rFonts w:ascii="Book Antiqua" w:hAnsi="Book Antiqua"/>
          <w:color w:val="000000" w:themeColor="text1"/>
          <w:lang w:val="es-ES"/>
        </w:rPr>
        <w:t>Comisión</w:t>
      </w:r>
      <w:r w:rsidR="00D454DC" w:rsidRPr="16EAA9FE">
        <w:rPr>
          <w:rFonts w:ascii="Book Antiqua" w:hAnsi="Book Antiqua"/>
          <w:color w:val="000000" w:themeColor="text1"/>
          <w:lang w:val="es-ES"/>
        </w:rPr>
        <w:t xml:space="preserve"> de</w:t>
      </w:r>
      <w:r w:rsidR="00F90B3A" w:rsidRPr="16EAA9FE">
        <w:rPr>
          <w:rFonts w:ascii="Book Antiqua" w:hAnsi="Book Antiqua"/>
          <w:color w:val="000000" w:themeColor="text1"/>
          <w:lang w:val="es-ES"/>
        </w:rPr>
        <w:t xml:space="preserve"> Gobierno</w:t>
      </w:r>
      <w:r w:rsidR="00D454DC" w:rsidRPr="16EAA9FE">
        <w:rPr>
          <w:rFonts w:ascii="Book Antiqua" w:hAnsi="Book Antiqua"/>
          <w:color w:val="000000" w:themeColor="text1"/>
          <w:lang w:val="es-ES"/>
        </w:rPr>
        <w:t>, previo estudio y consideración</w:t>
      </w:r>
      <w:r w:rsidR="00BD219E" w:rsidRPr="16EAA9FE">
        <w:rPr>
          <w:rFonts w:ascii="Book Antiqua" w:hAnsi="Book Antiqua"/>
          <w:color w:val="000000" w:themeColor="text1"/>
          <w:lang w:val="es-ES"/>
        </w:rPr>
        <w:t xml:space="preserve"> de</w:t>
      </w:r>
      <w:r w:rsidR="00A42C32">
        <w:rPr>
          <w:rFonts w:ascii="Book Antiqua" w:hAnsi="Book Antiqua"/>
          <w:color w:val="000000" w:themeColor="text1"/>
          <w:lang w:val="es-ES"/>
        </w:rPr>
        <w:t>l</w:t>
      </w:r>
      <w:r w:rsidR="00BD219E" w:rsidRPr="16EAA9FE">
        <w:rPr>
          <w:rFonts w:ascii="Book Antiqua" w:hAnsi="Book Antiqua"/>
          <w:color w:val="000000" w:themeColor="text1"/>
          <w:lang w:val="es-ES"/>
        </w:rPr>
        <w:t xml:space="preserve"> </w:t>
      </w:r>
      <w:r w:rsidR="4D0E7F8D" w:rsidRPr="16EAA9FE">
        <w:rPr>
          <w:rFonts w:ascii="Book Antiqua" w:hAnsi="Book Antiqua"/>
          <w:b/>
          <w:bCs/>
          <w:color w:val="000000" w:themeColor="text1"/>
          <w:lang w:val="es-ES"/>
        </w:rPr>
        <w:t>P</w:t>
      </w:r>
      <w:r w:rsidR="00BD219E" w:rsidRPr="16EAA9FE">
        <w:rPr>
          <w:rFonts w:ascii="Book Antiqua" w:hAnsi="Book Antiqua"/>
          <w:b/>
          <w:bCs/>
          <w:color w:val="000000" w:themeColor="text1"/>
          <w:lang w:val="es-ES"/>
        </w:rPr>
        <w:t>.</w:t>
      </w:r>
      <w:r w:rsidR="00C020E7">
        <w:rPr>
          <w:rFonts w:ascii="Book Antiqua" w:hAnsi="Book Antiqua"/>
          <w:b/>
          <w:bCs/>
          <w:color w:val="000000" w:themeColor="text1"/>
          <w:lang w:val="es-ES"/>
        </w:rPr>
        <w:t xml:space="preserve"> de la C. </w:t>
      </w:r>
      <w:r w:rsidR="00A42C32">
        <w:rPr>
          <w:rFonts w:ascii="Book Antiqua" w:hAnsi="Book Antiqua"/>
          <w:b/>
          <w:bCs/>
          <w:color w:val="000000" w:themeColor="text1"/>
          <w:lang w:val="es-ES"/>
        </w:rPr>
        <w:t>606</w:t>
      </w:r>
      <w:r w:rsidR="00AA618A" w:rsidRPr="16EAA9FE">
        <w:rPr>
          <w:rFonts w:ascii="Book Antiqua" w:hAnsi="Book Antiqua"/>
          <w:color w:val="000000" w:themeColor="text1"/>
          <w:lang w:val="es-ES"/>
        </w:rPr>
        <w:t xml:space="preserve">, </w:t>
      </w:r>
      <w:r w:rsidR="00701793" w:rsidRPr="16EAA9FE">
        <w:rPr>
          <w:rFonts w:ascii="Book Antiqua" w:hAnsi="Book Antiqua"/>
          <w:color w:val="000000" w:themeColor="text1"/>
          <w:lang w:val="es-ES"/>
        </w:rPr>
        <w:t>recomienda</w:t>
      </w:r>
      <w:r w:rsidR="00D454DC" w:rsidRPr="16EAA9FE">
        <w:rPr>
          <w:rFonts w:ascii="Book Antiqua" w:hAnsi="Book Antiqua"/>
          <w:color w:val="000000" w:themeColor="text1"/>
          <w:lang w:val="es-ES"/>
        </w:rPr>
        <w:t xml:space="preserve"> a</w:t>
      </w:r>
      <w:r w:rsidR="0015414D" w:rsidRPr="16EAA9FE">
        <w:rPr>
          <w:rFonts w:ascii="Book Antiqua" w:hAnsi="Book Antiqua"/>
          <w:color w:val="000000" w:themeColor="text1"/>
          <w:lang w:val="es-ES"/>
        </w:rPr>
        <w:t xml:space="preserve"> este Alto Cuerpo su aprobación</w:t>
      </w:r>
      <w:r w:rsidRPr="16EAA9FE">
        <w:rPr>
          <w:rFonts w:ascii="Book Antiqua" w:hAnsi="Book Antiqua"/>
          <w:color w:val="000000" w:themeColor="text1"/>
          <w:lang w:val="es-ES"/>
        </w:rPr>
        <w:t xml:space="preserve"> </w:t>
      </w:r>
      <w:r w:rsidR="00C020E7" w:rsidRPr="00A42C32">
        <w:rPr>
          <w:rFonts w:ascii="Book Antiqua" w:hAnsi="Book Antiqua"/>
          <w:color w:val="000000" w:themeColor="text1"/>
          <w:lang w:val="es-ES"/>
        </w:rPr>
        <w:t>sin</w:t>
      </w:r>
      <w:r w:rsidR="330F5101" w:rsidRPr="16EAA9FE">
        <w:rPr>
          <w:rFonts w:ascii="Book Antiqua" w:hAnsi="Book Antiqua"/>
          <w:color w:val="000000" w:themeColor="text1"/>
          <w:lang w:val="es-ES"/>
        </w:rPr>
        <w:t xml:space="preserve"> </w:t>
      </w:r>
      <w:r w:rsidRPr="16EAA9FE">
        <w:rPr>
          <w:rFonts w:ascii="Book Antiqua" w:hAnsi="Book Antiqua"/>
          <w:color w:val="000000" w:themeColor="text1"/>
          <w:lang w:val="es-ES"/>
        </w:rPr>
        <w:t>enmiendas</w:t>
      </w:r>
      <w:r w:rsidR="00D454DC" w:rsidRPr="16EAA9FE">
        <w:rPr>
          <w:rFonts w:ascii="Book Antiqua" w:hAnsi="Book Antiqua"/>
          <w:color w:val="000000" w:themeColor="text1"/>
          <w:lang w:val="es-ES"/>
        </w:rPr>
        <w:t>.</w:t>
      </w:r>
    </w:p>
    <w:p w14:paraId="6A05A809" w14:textId="77777777" w:rsidR="00D454DC" w:rsidRPr="003E3789" w:rsidRDefault="00D454DC" w:rsidP="00946C49">
      <w:pPr>
        <w:ind w:firstLine="720"/>
        <w:jc w:val="both"/>
        <w:rPr>
          <w:rFonts w:ascii="Book Antiqua" w:hAnsi="Book Antiqua"/>
          <w:color w:val="000000"/>
          <w:lang w:val="es-ES"/>
        </w:rPr>
      </w:pPr>
    </w:p>
    <w:p w14:paraId="6A7977B5" w14:textId="77777777" w:rsidR="00D454DC" w:rsidRPr="003E3789" w:rsidRDefault="00D454DC" w:rsidP="00946C49">
      <w:pPr>
        <w:jc w:val="center"/>
        <w:outlineLvl w:val="0"/>
        <w:rPr>
          <w:rFonts w:ascii="Book Antiqua" w:hAnsi="Book Antiqua"/>
          <w:b/>
          <w:caps/>
          <w:color w:val="000000"/>
          <w:lang w:val="es-ES"/>
        </w:rPr>
      </w:pPr>
      <w:r w:rsidRPr="003E3789">
        <w:rPr>
          <w:rFonts w:ascii="Book Antiqua" w:hAnsi="Book Antiqua"/>
          <w:b/>
          <w:caps/>
          <w:color w:val="000000"/>
          <w:lang w:val="es-ES"/>
        </w:rPr>
        <w:t>ALCANCE DE LA MEDIDA</w:t>
      </w:r>
    </w:p>
    <w:p w14:paraId="5A39BBE3" w14:textId="77777777" w:rsidR="00D454DC" w:rsidRPr="003E3789" w:rsidRDefault="00D454DC" w:rsidP="00946C49">
      <w:pPr>
        <w:jc w:val="both"/>
        <w:outlineLvl w:val="0"/>
        <w:rPr>
          <w:rFonts w:ascii="Book Antiqua" w:hAnsi="Book Antiqua"/>
          <w:b/>
          <w:caps/>
          <w:color w:val="000000"/>
          <w:lang w:val="es-ES"/>
        </w:rPr>
      </w:pPr>
    </w:p>
    <w:p w14:paraId="5BBBD58F" w14:textId="75AE439B" w:rsidR="16EAA9FE" w:rsidRPr="00F00545" w:rsidRDefault="4A1839A4" w:rsidP="00F00545">
      <w:pPr>
        <w:spacing w:line="276" w:lineRule="auto"/>
        <w:jc w:val="both"/>
        <w:rPr>
          <w:rFonts w:ascii="Book Antiqua" w:hAnsi="Book Antiqua"/>
          <w:color w:val="000000" w:themeColor="text1"/>
          <w:lang w:val="es-ES"/>
        </w:rPr>
      </w:pPr>
      <w:r w:rsidRPr="00F00545">
        <w:rPr>
          <w:rFonts w:ascii="Book Antiqua" w:hAnsi="Book Antiqua"/>
          <w:color w:val="000000" w:themeColor="text1"/>
          <w:lang w:val="es-ES"/>
        </w:rPr>
        <w:t xml:space="preserve">El </w:t>
      </w:r>
      <w:r w:rsidR="5C50EDB2" w:rsidRPr="00C64658">
        <w:rPr>
          <w:rFonts w:ascii="Book Antiqua" w:hAnsi="Book Antiqua"/>
          <w:color w:val="000000" w:themeColor="text1"/>
          <w:lang w:val="es-ES"/>
        </w:rPr>
        <w:t xml:space="preserve">Proyecto </w:t>
      </w:r>
      <w:r w:rsidR="00BD219E" w:rsidRPr="00C64658">
        <w:rPr>
          <w:rFonts w:ascii="Book Antiqua" w:hAnsi="Book Antiqua"/>
          <w:color w:val="000000" w:themeColor="text1"/>
          <w:lang w:val="es-ES"/>
        </w:rPr>
        <w:t xml:space="preserve">de la Cámara </w:t>
      </w:r>
      <w:r w:rsidR="00A42C32" w:rsidRPr="00C64658">
        <w:rPr>
          <w:rFonts w:ascii="Book Antiqua" w:hAnsi="Book Antiqua"/>
          <w:color w:val="000000" w:themeColor="text1"/>
          <w:lang w:val="es-ES"/>
        </w:rPr>
        <w:t>606</w:t>
      </w:r>
      <w:r w:rsidR="00B93E7F" w:rsidRPr="00F00545">
        <w:rPr>
          <w:rFonts w:ascii="Book Antiqua" w:hAnsi="Book Antiqua"/>
          <w:b/>
          <w:bCs/>
          <w:color w:val="000000" w:themeColor="text1"/>
          <w:lang w:val="es-ES"/>
        </w:rPr>
        <w:t xml:space="preserve"> </w:t>
      </w:r>
      <w:r w:rsidR="00F90B3A" w:rsidRPr="00F00545">
        <w:rPr>
          <w:rFonts w:ascii="Book Antiqua" w:hAnsi="Book Antiqua"/>
          <w:color w:val="000000" w:themeColor="text1"/>
          <w:lang w:val="es-ES"/>
        </w:rPr>
        <w:t xml:space="preserve">tiene como objetivo </w:t>
      </w:r>
      <w:r w:rsidR="00A42C32" w:rsidRPr="00F00545">
        <w:rPr>
          <w:rFonts w:ascii="Book Antiqua" w:hAnsi="Book Antiqua"/>
          <w:color w:val="000000"/>
          <w:lang w:val="es-PR"/>
        </w:rPr>
        <w:t>añadir el inciso (p) al Artículo 5 de la Ley 60-2014, según enmendada, conocida como “Ley Uniforme de Vehículos Oficiales del Gobierno de Puerto Rico”, a los fines de exceptuar de sus disposiciones a los comisionados auxiliares, comandantes de zona, jefes de distrito y al director de transportación del Negociado del Cuerpo de Bomberos de Puerto Rico, en consideración a las facultades, poderes y deberes que ejercen dichos funcionarios; y para otros fines relacionados.</w:t>
      </w:r>
    </w:p>
    <w:p w14:paraId="40330075" w14:textId="77777777" w:rsidR="00D454DC" w:rsidRPr="00F00545" w:rsidRDefault="00D454DC" w:rsidP="00F00545">
      <w:pPr>
        <w:spacing w:line="276" w:lineRule="auto"/>
        <w:jc w:val="center"/>
        <w:rPr>
          <w:rFonts w:ascii="Book Antiqua" w:hAnsi="Book Antiqua"/>
          <w:b/>
          <w:bCs/>
          <w:color w:val="000000" w:themeColor="text1"/>
          <w:lang w:val="es-ES"/>
        </w:rPr>
      </w:pPr>
      <w:r w:rsidRPr="00F00545">
        <w:rPr>
          <w:rFonts w:ascii="Book Antiqua" w:hAnsi="Book Antiqua"/>
          <w:b/>
          <w:bCs/>
          <w:color w:val="000000" w:themeColor="text1"/>
          <w:lang w:val="es-ES"/>
        </w:rPr>
        <w:t>INTRODUCCIÓN</w:t>
      </w:r>
    </w:p>
    <w:p w14:paraId="742253DF" w14:textId="77777777" w:rsidR="00B078D8" w:rsidRPr="00245466" w:rsidRDefault="00B078D8" w:rsidP="00F00545">
      <w:pPr>
        <w:spacing w:before="100" w:beforeAutospacing="1" w:after="100" w:afterAutospacing="1" w:line="276" w:lineRule="auto"/>
        <w:jc w:val="both"/>
        <w:rPr>
          <w:rFonts w:ascii="Book Antiqua" w:hAnsi="Book Antiqua"/>
          <w:lang w:val="es-PR"/>
        </w:rPr>
      </w:pPr>
      <w:r w:rsidRPr="00245466">
        <w:rPr>
          <w:rFonts w:ascii="Book Antiqua" w:hAnsi="Book Antiqua"/>
          <w:lang w:val="es-PR"/>
        </w:rPr>
        <w:t>El uso de vehículos oficiales en el Gobierno de Puerto Rico está regulado por la Ley 60-2014, según enmendada, conocida como “Ley Uniforme de Vehículos Oficiales del Gobierno de Puerto Rico” (Ley 60-2014). Esta Ley establece como norma general que, salvo las excepciones expresamente previstas, ningún Jefe de Agencia o Funcionario Público podrá utilizar vehículos oficiales fuera del horario regular de trabajo. Para asegurar el cumplimiento de esta política pública, se dispone que dichos vehículos deberán ser devueltos a la agencia una vez concluida la jornada laboral.</w:t>
      </w:r>
    </w:p>
    <w:p w14:paraId="35D5DE93" w14:textId="77777777" w:rsidR="00B078D8" w:rsidRPr="00245466" w:rsidRDefault="00B078D8" w:rsidP="00F00545">
      <w:pPr>
        <w:spacing w:before="100" w:beforeAutospacing="1" w:after="100" w:afterAutospacing="1" w:line="276" w:lineRule="auto"/>
        <w:jc w:val="both"/>
        <w:rPr>
          <w:rFonts w:ascii="Book Antiqua" w:hAnsi="Book Antiqua"/>
          <w:lang w:val="es-PR"/>
        </w:rPr>
      </w:pPr>
      <w:r w:rsidRPr="00245466">
        <w:rPr>
          <w:rFonts w:ascii="Book Antiqua" w:hAnsi="Book Antiqua"/>
          <w:lang w:val="es-PR"/>
        </w:rPr>
        <w:lastRenderedPageBreak/>
        <w:t xml:space="preserve">No obstante, mediante la aprobación de la Ley 56-2021, la cual enmienda la Ley 60-2014, se reconoció que existen funciones cuya naturaleza operativa exige una disponibilidad permanente por parte del personal encargado. Por tal razón, se exceptuó de la aplicación de la Ley 60-2014 a ciertos funcionarios del Negociado de la Policía de Puerto Rico (NPPR), incluyendo comandantes de zona y de área, directores de divisiones especializadas y oficiales con responsabilidades operacionales críticas. Esta excepción legislativa se sustentó en el hecho de que la seguridad pública requiere de capacidad de respuesta inmediata, sin limitaciones de horario, para proteger a la ciudadanía de manera eficiente. </w:t>
      </w:r>
    </w:p>
    <w:p w14:paraId="0940DAB5" w14:textId="77777777" w:rsidR="003922EE" w:rsidRPr="00245466" w:rsidRDefault="00B078D8" w:rsidP="00F00545">
      <w:pPr>
        <w:spacing w:before="100" w:beforeAutospacing="1" w:after="100" w:afterAutospacing="1" w:line="276" w:lineRule="auto"/>
        <w:jc w:val="both"/>
        <w:rPr>
          <w:rFonts w:ascii="Book Antiqua" w:hAnsi="Book Antiqua"/>
          <w:lang w:val="es-PR"/>
        </w:rPr>
      </w:pPr>
      <w:r w:rsidRPr="00245466">
        <w:rPr>
          <w:rFonts w:ascii="Book Antiqua" w:hAnsi="Book Antiqua"/>
          <w:lang w:val="es-PR"/>
        </w:rPr>
        <w:t xml:space="preserve">Es importante destacar que los comisionados auxiliares, comandantes de zona y jefes de distrito del Negociado del Cuerpo de Bomberos de Puerto Rico (NCBPR) desempeñan funciones análogas a las de sus contrapartes en el NPPR. Igualmente, el director de transportación de dicha entidad tiene la responsabilidad de mantener operativa la flota vehicular de manera ininterrumpida, los siete días de la semana. Por la naturaleza de estas funciones, se requiere que estos funcionarios tengan acceso continuo a sus vehículos oficiales, incluso fuera del horario regular, a fin de garantizar la coordinación, supervisión y ejecución de operaciones durante emergencias o situaciones imprevistas. </w:t>
      </w:r>
    </w:p>
    <w:p w14:paraId="63F89668" w14:textId="0D5822EF" w:rsidR="00B078D8" w:rsidRPr="00245466" w:rsidRDefault="00B078D8" w:rsidP="00F00545">
      <w:pPr>
        <w:spacing w:before="100" w:beforeAutospacing="1" w:after="100" w:afterAutospacing="1" w:line="276" w:lineRule="auto"/>
        <w:jc w:val="both"/>
        <w:rPr>
          <w:rFonts w:ascii="Book Antiqua" w:hAnsi="Book Antiqua"/>
          <w:lang w:val="es-PR"/>
        </w:rPr>
      </w:pPr>
      <w:r w:rsidRPr="00245466">
        <w:rPr>
          <w:rFonts w:ascii="Book Antiqua" w:hAnsi="Book Antiqua"/>
          <w:lang w:val="es-PR"/>
        </w:rPr>
        <w:t>Esta medida propone enmendar la Ley 60-2014 con el objetivo de extender la excepción ya reconocida a funcionarios clave del NCBPR, reforzando así la capacidad de respuesta del Gobierno ante eventos que puedan poner en riesgo la vida, la propiedad o la seguridad del pueblo de Puerto Rico.</w:t>
      </w:r>
    </w:p>
    <w:p w14:paraId="590361DB" w14:textId="75DD8757" w:rsidR="00D454DC" w:rsidRPr="00F00545" w:rsidRDefault="5CCCAC99" w:rsidP="00F00545">
      <w:pPr>
        <w:spacing w:line="276" w:lineRule="auto"/>
        <w:jc w:val="center"/>
        <w:rPr>
          <w:rFonts w:ascii="Book Antiqua" w:hAnsi="Book Antiqua"/>
          <w:b/>
          <w:bCs/>
          <w:caps/>
          <w:color w:val="000000"/>
          <w:lang w:val="es-ES"/>
        </w:rPr>
      </w:pPr>
      <w:r w:rsidRPr="00F00545">
        <w:rPr>
          <w:rFonts w:ascii="Book Antiqua" w:hAnsi="Book Antiqua"/>
          <w:b/>
          <w:bCs/>
          <w:caps/>
          <w:color w:val="000000" w:themeColor="text1"/>
          <w:lang w:val="es-ES"/>
        </w:rPr>
        <w:t>Análisis</w:t>
      </w:r>
      <w:r w:rsidR="00D454DC" w:rsidRPr="00F00545">
        <w:rPr>
          <w:rFonts w:ascii="Book Antiqua" w:hAnsi="Book Antiqua"/>
          <w:b/>
          <w:bCs/>
          <w:caps/>
          <w:color w:val="000000" w:themeColor="text1"/>
          <w:lang w:val="es-ES"/>
        </w:rPr>
        <w:t xml:space="preserve"> de la Medida</w:t>
      </w:r>
    </w:p>
    <w:p w14:paraId="0D0B940D" w14:textId="77777777" w:rsidR="00902F31" w:rsidRPr="00F00545" w:rsidRDefault="00902F31" w:rsidP="00F00545">
      <w:pPr>
        <w:spacing w:line="276" w:lineRule="auto"/>
        <w:ind w:firstLine="708"/>
        <w:jc w:val="center"/>
        <w:rPr>
          <w:rFonts w:ascii="Book Antiqua" w:hAnsi="Book Antiqua"/>
          <w:b/>
          <w:caps/>
          <w:color w:val="000000"/>
          <w:lang w:val="es-ES"/>
        </w:rPr>
      </w:pPr>
    </w:p>
    <w:p w14:paraId="28AA9A5A" w14:textId="1CB60CCC" w:rsidR="00A42C32" w:rsidRPr="00F00545" w:rsidRDefault="00716354" w:rsidP="00F00545">
      <w:pPr>
        <w:spacing w:line="276" w:lineRule="auto"/>
        <w:jc w:val="both"/>
        <w:rPr>
          <w:rFonts w:ascii="Book Antiqua" w:hAnsi="Book Antiqua"/>
          <w:lang w:val="es-PR"/>
        </w:rPr>
      </w:pPr>
      <w:r w:rsidRPr="00F00545">
        <w:rPr>
          <w:rFonts w:ascii="Book Antiqua" w:eastAsia="Arial" w:hAnsi="Book Antiqua"/>
          <w:color w:val="000000"/>
          <w:lang w:val="es-ES"/>
        </w:rPr>
        <w:t>La Comisión de Gobierno del Senado</w:t>
      </w:r>
      <w:r w:rsidR="00CA78A5" w:rsidRPr="00F00545">
        <w:rPr>
          <w:rFonts w:ascii="Book Antiqua" w:eastAsia="Arial" w:hAnsi="Book Antiqua"/>
          <w:color w:val="000000"/>
          <w:lang w:val="es-ES"/>
        </w:rPr>
        <w:t xml:space="preserve"> de Puerto Rico</w:t>
      </w:r>
      <w:r w:rsidRPr="00F00545">
        <w:rPr>
          <w:rFonts w:ascii="Book Antiqua" w:eastAsia="Arial" w:hAnsi="Book Antiqua"/>
          <w:color w:val="000000"/>
          <w:lang w:val="es-ES"/>
        </w:rPr>
        <w:t xml:space="preserve">, en cumplimiento de su responsabilidad </w:t>
      </w:r>
      <w:r w:rsidR="00CA78A5" w:rsidRPr="00F00545">
        <w:rPr>
          <w:rFonts w:ascii="Book Antiqua" w:eastAsia="Arial" w:hAnsi="Book Antiqua"/>
          <w:color w:val="000000"/>
          <w:lang w:val="es-ES"/>
        </w:rPr>
        <w:t xml:space="preserve">y deber </w:t>
      </w:r>
      <w:r w:rsidRPr="00F00545">
        <w:rPr>
          <w:rFonts w:ascii="Book Antiqua" w:eastAsia="Arial" w:hAnsi="Book Antiqua"/>
          <w:color w:val="000000"/>
          <w:lang w:val="es-ES"/>
        </w:rPr>
        <w:t>ministerial</w:t>
      </w:r>
      <w:r w:rsidR="00CA78A5" w:rsidRPr="00F00545">
        <w:rPr>
          <w:rFonts w:ascii="Book Antiqua" w:eastAsia="Arial" w:hAnsi="Book Antiqua"/>
          <w:color w:val="000000"/>
          <w:lang w:val="es-ES"/>
        </w:rPr>
        <w:t xml:space="preserve"> en el estudio y evaluación de</w:t>
      </w:r>
      <w:r w:rsidR="00A42C32" w:rsidRPr="00F00545">
        <w:rPr>
          <w:rFonts w:ascii="Book Antiqua" w:eastAsia="Arial" w:hAnsi="Book Antiqua"/>
          <w:color w:val="000000"/>
          <w:lang w:val="es-ES"/>
        </w:rPr>
        <w:t>l</w:t>
      </w:r>
      <w:r w:rsidR="00CA78A5" w:rsidRPr="00F00545">
        <w:rPr>
          <w:rFonts w:ascii="Book Antiqua" w:eastAsia="Arial" w:hAnsi="Book Antiqua"/>
          <w:color w:val="000000"/>
          <w:lang w:val="es-ES"/>
        </w:rPr>
        <w:t xml:space="preserve"> </w:t>
      </w:r>
      <w:r w:rsidR="00A42C32" w:rsidRPr="00F00545">
        <w:rPr>
          <w:rFonts w:ascii="Book Antiqua" w:eastAsia="Arial" w:hAnsi="Book Antiqua"/>
          <w:b/>
          <w:bCs/>
          <w:color w:val="000000"/>
          <w:lang w:val="es-ES"/>
        </w:rPr>
        <w:t xml:space="preserve">Proyecto </w:t>
      </w:r>
      <w:r w:rsidR="00BD219E" w:rsidRPr="00F00545">
        <w:rPr>
          <w:rFonts w:ascii="Book Antiqua" w:eastAsia="Arial" w:hAnsi="Book Antiqua"/>
          <w:b/>
          <w:bCs/>
          <w:color w:val="000000"/>
          <w:lang w:val="es-ES"/>
        </w:rPr>
        <w:t xml:space="preserve">de la Cámara </w:t>
      </w:r>
      <w:r w:rsidR="00A42C32" w:rsidRPr="00F00545">
        <w:rPr>
          <w:rFonts w:ascii="Book Antiqua" w:eastAsia="Arial" w:hAnsi="Book Antiqua"/>
          <w:b/>
          <w:bCs/>
          <w:color w:val="000000"/>
          <w:lang w:val="es-ES"/>
        </w:rPr>
        <w:t>606</w:t>
      </w:r>
      <w:r w:rsidR="00CA78A5" w:rsidRPr="00F00545">
        <w:rPr>
          <w:rFonts w:ascii="Book Antiqua" w:eastAsia="Arial" w:hAnsi="Book Antiqua"/>
          <w:color w:val="000000"/>
          <w:lang w:val="es-ES"/>
        </w:rPr>
        <w:t xml:space="preserve">, </w:t>
      </w:r>
      <w:r w:rsidR="001744A8" w:rsidRPr="00F00545">
        <w:rPr>
          <w:rFonts w:ascii="Book Antiqua" w:eastAsia="Arial" w:hAnsi="Book Antiqua"/>
          <w:color w:val="000000"/>
          <w:lang w:val="es-ES"/>
        </w:rPr>
        <w:t>consideró el análisis</w:t>
      </w:r>
      <w:r w:rsidR="00D22A77" w:rsidRPr="00F00545">
        <w:rPr>
          <w:rFonts w:ascii="Book Antiqua" w:eastAsia="Arial" w:hAnsi="Book Antiqua"/>
          <w:color w:val="000000"/>
          <w:lang w:val="es-ES"/>
        </w:rPr>
        <w:t xml:space="preserve"> de la medida</w:t>
      </w:r>
      <w:r w:rsidR="001744A8" w:rsidRPr="00F00545">
        <w:rPr>
          <w:rFonts w:ascii="Book Antiqua" w:eastAsia="Arial" w:hAnsi="Book Antiqua"/>
          <w:color w:val="000000"/>
          <w:lang w:val="es-ES"/>
        </w:rPr>
        <w:t xml:space="preserve"> realizado por la Comisión de Gobierno de la Cámara de Representantes. </w:t>
      </w:r>
      <w:r w:rsidR="00A42C32" w:rsidRPr="00F00545">
        <w:rPr>
          <w:rFonts w:ascii="Book Antiqua" w:hAnsi="Book Antiqua"/>
          <w:lang w:val="es-PR"/>
        </w:rPr>
        <w:t xml:space="preserve">Dicha comisión solicitó los comentarios de las siguientes agencias y entidades: el Departamento de Seguridad Pública (DSP), el Departamento de Justicia (DJ), la Oficina de Presupuesto de la Asamblea Legislativa (OPAL) y la Administración de Servicios Generales (ASG). No obstante, al momento de la redacción de este Informe, </w:t>
      </w:r>
      <w:r w:rsidR="00B078D8" w:rsidRPr="00F00545">
        <w:rPr>
          <w:rFonts w:ascii="Book Antiqua" w:hAnsi="Book Antiqua"/>
          <w:lang w:val="es-PR"/>
        </w:rPr>
        <w:t xml:space="preserve">se consideraron </w:t>
      </w:r>
      <w:r w:rsidR="00A42C32" w:rsidRPr="00F00545">
        <w:rPr>
          <w:rFonts w:ascii="Book Antiqua" w:hAnsi="Book Antiqua"/>
          <w:lang w:val="es-PR"/>
        </w:rPr>
        <w:t xml:space="preserve">los comentarios emitidos por el DSP, la ASG y </w:t>
      </w:r>
      <w:r w:rsidR="00B078D8" w:rsidRPr="00F00545">
        <w:rPr>
          <w:rFonts w:ascii="Book Antiqua" w:hAnsi="Book Antiqua"/>
          <w:lang w:val="es-PR"/>
        </w:rPr>
        <w:t xml:space="preserve">la </w:t>
      </w:r>
      <w:r w:rsidR="00A42C32" w:rsidRPr="00F00545">
        <w:rPr>
          <w:rFonts w:ascii="Book Antiqua" w:hAnsi="Book Antiqua"/>
          <w:lang w:val="es-PR"/>
        </w:rPr>
        <w:t>OPAL.</w:t>
      </w:r>
    </w:p>
    <w:p w14:paraId="75C3945D" w14:textId="77777777" w:rsidR="00A42C32" w:rsidRPr="00F00545" w:rsidRDefault="00A42C32" w:rsidP="00F00545">
      <w:pPr>
        <w:spacing w:line="276" w:lineRule="auto"/>
        <w:jc w:val="both"/>
        <w:rPr>
          <w:rFonts w:ascii="Book Antiqua" w:hAnsi="Book Antiqua"/>
          <w:lang w:val="es-PR"/>
        </w:rPr>
      </w:pPr>
    </w:p>
    <w:p w14:paraId="4FED8D79" w14:textId="17D3759E" w:rsidR="00902F31" w:rsidRPr="00F00545" w:rsidRDefault="00A42C32" w:rsidP="00F00545">
      <w:pPr>
        <w:pStyle w:val="NoSpacing"/>
        <w:spacing w:line="276" w:lineRule="auto"/>
        <w:jc w:val="center"/>
        <w:rPr>
          <w:rFonts w:ascii="Book Antiqua" w:hAnsi="Book Antiqua"/>
          <w:b/>
          <w:bCs/>
          <w:lang w:val="es-ES"/>
        </w:rPr>
      </w:pPr>
      <w:r w:rsidRPr="00F00545">
        <w:rPr>
          <w:rFonts w:ascii="Book Antiqua" w:hAnsi="Book Antiqua"/>
          <w:b/>
          <w:bCs/>
          <w:lang w:val="es-ES"/>
        </w:rPr>
        <w:t>ADMINISTRACIÓN DE SERVICIOS GENERALES</w:t>
      </w:r>
    </w:p>
    <w:p w14:paraId="735B36F4" w14:textId="77777777" w:rsidR="003922EE" w:rsidRPr="00245466" w:rsidRDefault="00A42C32" w:rsidP="00F00545">
      <w:pPr>
        <w:spacing w:before="100" w:beforeAutospacing="1" w:after="100" w:afterAutospacing="1" w:line="276" w:lineRule="auto"/>
        <w:jc w:val="both"/>
        <w:rPr>
          <w:rFonts w:ascii="Book Antiqua" w:hAnsi="Book Antiqua"/>
          <w:lang w:val="es-PR"/>
        </w:rPr>
      </w:pPr>
      <w:r w:rsidRPr="00245466">
        <w:rPr>
          <w:rFonts w:ascii="Book Antiqua" w:hAnsi="Book Antiqua"/>
          <w:lang w:val="es-PR"/>
        </w:rPr>
        <w:lastRenderedPageBreak/>
        <w:t xml:space="preserve">La ASG presentó </w:t>
      </w:r>
      <w:r w:rsidR="00B078D8" w:rsidRPr="00245466">
        <w:rPr>
          <w:rFonts w:ascii="Book Antiqua" w:hAnsi="Book Antiqua"/>
          <w:lang w:val="es-PR"/>
        </w:rPr>
        <w:t>su</w:t>
      </w:r>
      <w:r w:rsidRPr="00245466">
        <w:rPr>
          <w:rFonts w:ascii="Book Antiqua" w:hAnsi="Book Antiqua"/>
          <w:lang w:val="es-PR"/>
        </w:rPr>
        <w:t xml:space="preserve"> Memorial Explicativo a la Comisión de Gobierno de la Cámara de Representantes en el que expresó su respaldo al P. de la C. 606. En su memorial, la ASG reconoció que la Ley 60-2014 establece restricciones claras sobre el uso de vehículos oficiales fuera del horario laboral, salvo para aquellos funcionarios expresamente exceptuados en el Artículo 5 de la Ley antes mencionada. </w:t>
      </w:r>
    </w:p>
    <w:p w14:paraId="51058A14" w14:textId="5C8EF509" w:rsidR="003922EE" w:rsidRPr="00245466" w:rsidRDefault="00A42C32" w:rsidP="00F00545">
      <w:pPr>
        <w:spacing w:before="100" w:beforeAutospacing="1" w:after="100" w:afterAutospacing="1" w:line="276" w:lineRule="auto"/>
        <w:jc w:val="both"/>
        <w:rPr>
          <w:rFonts w:ascii="Book Antiqua" w:hAnsi="Book Antiqua"/>
          <w:lang w:val="es-PR"/>
        </w:rPr>
      </w:pPr>
      <w:r w:rsidRPr="00245466">
        <w:rPr>
          <w:rFonts w:ascii="Book Antiqua" w:hAnsi="Book Antiqua"/>
          <w:lang w:val="es-PR"/>
        </w:rPr>
        <w:t xml:space="preserve">No obstante, la ASG reconoció que ciertas funciones requieren atención continua y disponibilidad permanente, particularmente aquellas relacionadas con la seguridad pública y la respuesta a emergencias. En ese contexto, avaló la propuesta de extender las excepciones establecidas en la medida a puestos homólogos dentro del </w:t>
      </w:r>
      <w:r w:rsidR="00B078D8" w:rsidRPr="00245466">
        <w:rPr>
          <w:rFonts w:ascii="Book Antiqua" w:hAnsi="Book Antiqua"/>
          <w:lang w:val="es-PR"/>
        </w:rPr>
        <w:t>NCBPR</w:t>
      </w:r>
      <w:r w:rsidRPr="00245466">
        <w:rPr>
          <w:rFonts w:ascii="Book Antiqua" w:hAnsi="Book Antiqua"/>
          <w:lang w:val="es-PR"/>
        </w:rPr>
        <w:t xml:space="preserve">. </w:t>
      </w:r>
      <w:r w:rsidR="00B078D8" w:rsidRPr="00245466">
        <w:rPr>
          <w:rFonts w:ascii="Book Antiqua" w:hAnsi="Book Antiqua"/>
          <w:lang w:val="es-PR"/>
        </w:rPr>
        <w:t xml:space="preserve">La ASG </w:t>
      </w:r>
      <w:r w:rsidRPr="00245466">
        <w:rPr>
          <w:rFonts w:ascii="Book Antiqua" w:hAnsi="Book Antiqua"/>
          <w:lang w:val="es-PR"/>
        </w:rPr>
        <w:t xml:space="preserve">coincidió en que los comisionados auxiliares, comandantes de zona, jefes de distrito y el director de transportación del </w:t>
      </w:r>
      <w:r w:rsidR="00B078D8" w:rsidRPr="00245466">
        <w:rPr>
          <w:rFonts w:ascii="Book Antiqua" w:hAnsi="Book Antiqua"/>
          <w:lang w:val="es-PR"/>
        </w:rPr>
        <w:t>NCBPR</w:t>
      </w:r>
      <w:r w:rsidRPr="00245466">
        <w:rPr>
          <w:rFonts w:ascii="Book Antiqua" w:hAnsi="Book Antiqua"/>
          <w:lang w:val="es-PR"/>
        </w:rPr>
        <w:t xml:space="preserve"> desempeñan funciones que requieren acceso ininterrumpido a vehículos oficiales. Esto es fundamental para asegurar la operatividad y coordinación de respuestas durante situaciones de emergencia fuera del horario regular. </w:t>
      </w:r>
    </w:p>
    <w:p w14:paraId="699D2BD2" w14:textId="5C58AD84" w:rsidR="00A42C32" w:rsidRPr="00245466" w:rsidRDefault="00A42C32" w:rsidP="00F00545">
      <w:pPr>
        <w:spacing w:before="100" w:beforeAutospacing="1" w:after="100" w:afterAutospacing="1" w:line="276" w:lineRule="auto"/>
        <w:jc w:val="both"/>
        <w:rPr>
          <w:rFonts w:ascii="Book Antiqua" w:hAnsi="Book Antiqua"/>
          <w:lang w:val="es-PR"/>
        </w:rPr>
      </w:pPr>
      <w:r w:rsidRPr="00245466">
        <w:rPr>
          <w:rFonts w:ascii="Book Antiqua" w:hAnsi="Book Antiqua"/>
          <w:lang w:val="es-PR"/>
        </w:rPr>
        <w:t>Por lo tanto, la ASG no presentó objeción alguna al contenido del P. de la C. 606 y acogió la propuesta como una medida coherente con la política pública de garantizar la eficiencia en la prestación de servicios esenciales y la protección de vidas y propiedades.</w:t>
      </w:r>
    </w:p>
    <w:p w14:paraId="05C606AE" w14:textId="0495A2F6" w:rsidR="00A42C32" w:rsidRPr="00F00545" w:rsidRDefault="00A42C32" w:rsidP="00F00545">
      <w:pPr>
        <w:pStyle w:val="NoSpacing"/>
        <w:spacing w:line="276" w:lineRule="auto"/>
        <w:jc w:val="center"/>
        <w:rPr>
          <w:rFonts w:ascii="Book Antiqua" w:hAnsi="Book Antiqua"/>
          <w:b/>
          <w:bCs/>
          <w:lang w:val="es-ES"/>
        </w:rPr>
      </w:pPr>
      <w:r w:rsidRPr="00F00545">
        <w:rPr>
          <w:rFonts w:ascii="Book Antiqua" w:hAnsi="Book Antiqua"/>
          <w:b/>
          <w:bCs/>
          <w:lang w:val="es-ES"/>
        </w:rPr>
        <w:t>DEPARTAMENTO DE SEGURIDAD PÚBLICA</w:t>
      </w:r>
    </w:p>
    <w:p w14:paraId="54901EB1" w14:textId="77777777" w:rsidR="00A42C32" w:rsidRPr="00F00545" w:rsidRDefault="00A42C32" w:rsidP="00F00545">
      <w:pPr>
        <w:spacing w:line="276" w:lineRule="auto"/>
        <w:jc w:val="both"/>
        <w:rPr>
          <w:rFonts w:ascii="Book Antiqua" w:hAnsi="Book Antiqua"/>
          <w:color w:val="000000"/>
          <w:lang w:val="es-ES"/>
        </w:rPr>
      </w:pPr>
    </w:p>
    <w:p w14:paraId="197B88FD" w14:textId="68F74B57" w:rsidR="00A42C32" w:rsidRPr="00245466" w:rsidRDefault="00A42C32" w:rsidP="00F00545">
      <w:pPr>
        <w:spacing w:line="276" w:lineRule="auto"/>
        <w:jc w:val="both"/>
        <w:rPr>
          <w:rFonts w:ascii="Book Antiqua" w:hAnsi="Book Antiqua"/>
          <w:lang w:val="es-PR"/>
        </w:rPr>
      </w:pPr>
      <w:r w:rsidRPr="00F00545">
        <w:rPr>
          <w:rFonts w:ascii="Book Antiqua" w:hAnsi="Book Antiqua"/>
          <w:color w:val="000000"/>
          <w:lang w:val="es-ES"/>
        </w:rPr>
        <w:t xml:space="preserve">El </w:t>
      </w:r>
      <w:r w:rsidRPr="00245466">
        <w:rPr>
          <w:rFonts w:ascii="Book Antiqua" w:hAnsi="Book Antiqua"/>
          <w:color w:val="000000"/>
          <w:lang w:val="es-PR"/>
        </w:rPr>
        <w:t xml:space="preserve">DSP presentó un Memorial Explicativo a la Comisión de Gobierno de la Cámara de Representantes. En su memorial, el DSP expresó su respaldo al </w:t>
      </w:r>
      <w:r w:rsidR="00B078D8" w:rsidRPr="00245466">
        <w:rPr>
          <w:rFonts w:ascii="Book Antiqua" w:hAnsi="Book Antiqua"/>
          <w:color w:val="000000"/>
          <w:lang w:val="es-PR"/>
        </w:rPr>
        <w:t>P. de la C.</w:t>
      </w:r>
      <w:r w:rsidRPr="00245466">
        <w:rPr>
          <w:rFonts w:ascii="Book Antiqua" w:hAnsi="Book Antiqua"/>
          <w:color w:val="000000"/>
          <w:lang w:val="es-PR"/>
        </w:rPr>
        <w:t xml:space="preserve"> 606, señalando que la propuesta es razonable y necesaria para armonizar las disposiciones de la Ley 60-2014 con la realidad operacional del NCBPR. Según el DSP, los comisionados auxiliares, comandantes de zona, jefes de distrito y el director de transportación del NCBPR ejercen funciones críticas para la seguridad pública y deben estar disponibles en todo momento, incluso fuera del horario regular. La agencia enfatizó que estos funcionarios requieren el uso de vehículos oficiales las 24 horas para responder de forma inmediata ante cualquier emergencia. Además, destacó que la enmienda permitiría alinear las normas aplicables a otros componentes del DSP, como </w:t>
      </w:r>
      <w:r w:rsidR="00B078D8" w:rsidRPr="00245466">
        <w:rPr>
          <w:rFonts w:ascii="Book Antiqua" w:hAnsi="Book Antiqua"/>
          <w:color w:val="000000"/>
          <w:lang w:val="es-PR"/>
        </w:rPr>
        <w:t>el NPPR</w:t>
      </w:r>
      <w:r w:rsidRPr="00245466">
        <w:rPr>
          <w:rFonts w:ascii="Book Antiqua" w:hAnsi="Book Antiqua"/>
          <w:color w:val="000000"/>
          <w:lang w:val="es-PR"/>
        </w:rPr>
        <w:t>, donde ya existen exclusiones similares. Aunque el DSP reconoció que la medida podría generar un impacto presupuestario mínimo, entendió que los beneficios para la seguridad pública superan cualquier costo marginal. Por ello, favoreció expresamente la aprobación d</w:t>
      </w:r>
      <w:r w:rsidR="00B078D8" w:rsidRPr="00245466">
        <w:rPr>
          <w:rFonts w:ascii="Book Antiqua" w:hAnsi="Book Antiqua"/>
          <w:color w:val="000000"/>
          <w:lang w:val="es-PR"/>
        </w:rPr>
        <w:t>e la medida</w:t>
      </w:r>
      <w:r w:rsidRPr="00245466">
        <w:rPr>
          <w:rFonts w:ascii="Book Antiqua" w:hAnsi="Book Antiqua"/>
          <w:color w:val="000000"/>
          <w:lang w:val="es-PR"/>
        </w:rPr>
        <w:t>.</w:t>
      </w:r>
    </w:p>
    <w:p w14:paraId="23DF9EE5" w14:textId="77777777" w:rsidR="00A42C32" w:rsidRPr="00F00545" w:rsidRDefault="00A42C32" w:rsidP="00F00545">
      <w:pPr>
        <w:pStyle w:val="NoSpacing"/>
        <w:spacing w:line="276" w:lineRule="auto"/>
        <w:rPr>
          <w:rFonts w:ascii="Book Antiqua" w:hAnsi="Book Antiqua"/>
          <w:b/>
          <w:bCs/>
          <w:lang w:val="es-ES"/>
        </w:rPr>
      </w:pPr>
    </w:p>
    <w:p w14:paraId="6E104DD1" w14:textId="29D3F380" w:rsidR="00A42C32" w:rsidRPr="00F00545" w:rsidRDefault="00A42C32" w:rsidP="00F00545">
      <w:pPr>
        <w:pStyle w:val="NoSpacing"/>
        <w:spacing w:line="276" w:lineRule="auto"/>
        <w:jc w:val="center"/>
        <w:rPr>
          <w:rFonts w:ascii="Book Antiqua" w:hAnsi="Book Antiqua"/>
          <w:b/>
          <w:bCs/>
          <w:caps/>
          <w:lang w:val="es-ES"/>
        </w:rPr>
      </w:pPr>
      <w:r w:rsidRPr="00F00545">
        <w:rPr>
          <w:rFonts w:ascii="Book Antiqua" w:hAnsi="Book Antiqua"/>
          <w:b/>
          <w:bCs/>
          <w:lang w:val="es-ES"/>
        </w:rPr>
        <w:t>OFICINA DE PRESUPUESTO DE LA ASAMBLEA LEGISLATIVA</w:t>
      </w:r>
    </w:p>
    <w:p w14:paraId="1CCFC5DE" w14:textId="77777777" w:rsidR="00A42C32" w:rsidRPr="00245466" w:rsidRDefault="00A42C32" w:rsidP="00F00545">
      <w:pPr>
        <w:spacing w:line="276" w:lineRule="auto"/>
        <w:rPr>
          <w:rFonts w:ascii="Book Antiqua" w:hAnsi="Book Antiqua"/>
          <w:color w:val="000000"/>
          <w:lang w:val="es-PR"/>
        </w:rPr>
      </w:pPr>
    </w:p>
    <w:p w14:paraId="6B18D2E3" w14:textId="298180D8" w:rsidR="00677F79" w:rsidRPr="00245466" w:rsidRDefault="00A42C32" w:rsidP="00F00545">
      <w:pPr>
        <w:spacing w:line="276" w:lineRule="auto"/>
        <w:jc w:val="both"/>
        <w:rPr>
          <w:rFonts w:ascii="Book Antiqua" w:hAnsi="Book Antiqua"/>
          <w:color w:val="000000"/>
          <w:lang w:val="es-PR"/>
        </w:rPr>
      </w:pPr>
      <w:r w:rsidRPr="00245466">
        <w:rPr>
          <w:rFonts w:ascii="Book Antiqua" w:hAnsi="Book Antiqua"/>
          <w:color w:val="000000"/>
          <w:lang w:val="es-PR"/>
        </w:rPr>
        <w:lastRenderedPageBreak/>
        <w:t xml:space="preserve">La OPAL presentó un Memorial Explicativo a la Comisión de Gobierno de la Cámara de Representantes. En su análisis, </w:t>
      </w:r>
      <w:r w:rsidR="00B078D8" w:rsidRPr="00245466">
        <w:rPr>
          <w:rFonts w:ascii="Book Antiqua" w:hAnsi="Book Antiqua"/>
          <w:color w:val="000000"/>
          <w:lang w:val="es-PR"/>
        </w:rPr>
        <w:t xml:space="preserve">la </w:t>
      </w:r>
      <w:r w:rsidRPr="00245466">
        <w:rPr>
          <w:rFonts w:ascii="Book Antiqua" w:hAnsi="Book Antiqua"/>
          <w:color w:val="000000"/>
          <w:lang w:val="es-PR"/>
        </w:rPr>
        <w:t xml:space="preserve">OPAL evaluó el impacto fiscal del </w:t>
      </w:r>
      <w:r w:rsidR="00B078D8" w:rsidRPr="00245466">
        <w:rPr>
          <w:rFonts w:ascii="Book Antiqua" w:hAnsi="Book Antiqua"/>
          <w:color w:val="000000"/>
          <w:lang w:val="es-PR"/>
        </w:rPr>
        <w:t>P. de la C.</w:t>
      </w:r>
      <w:r w:rsidRPr="00245466">
        <w:rPr>
          <w:rFonts w:ascii="Book Antiqua" w:hAnsi="Book Antiqua"/>
          <w:color w:val="000000"/>
          <w:lang w:val="es-PR"/>
        </w:rPr>
        <w:t xml:space="preserve"> 606 y concluyó que su aprobación no tendría efectos directos sobre el Fondo General. La medida, que propone exceptuar a ciertos funcionarios del </w:t>
      </w:r>
      <w:r w:rsidR="00B078D8" w:rsidRPr="00245466">
        <w:rPr>
          <w:rFonts w:ascii="Book Antiqua" w:hAnsi="Book Antiqua"/>
          <w:lang w:val="es-PR"/>
        </w:rPr>
        <w:t>NCBPR</w:t>
      </w:r>
      <w:r w:rsidRPr="00245466">
        <w:rPr>
          <w:rFonts w:ascii="Book Antiqua" w:hAnsi="Book Antiqua"/>
          <w:color w:val="000000"/>
          <w:lang w:val="es-PR"/>
        </w:rPr>
        <w:t xml:space="preserve"> del cumplimiento con las restricciones de uso de vehículos oficiales establecidas en la Ley 60-2014, se limita a extender el uso permitido de dichos vehículos más allá de la jornada laboral. OPAL destacó que, si bien no se prevé un gasto adicional inmediato, podrían surgir aumentos marginales en el uso de combustible y en el mantenimiento de los vehículos debido a su utilización continua. No obstante, reafirmó que dichos efectos no constituyen un impacto fiscal significativo. Además, aclaró que su función es estrictamente consultiva y que su informe no implica un endoso o rechazo al proyecto evaluado.</w:t>
      </w:r>
    </w:p>
    <w:p w14:paraId="6429F15C" w14:textId="77777777" w:rsidR="008243D4" w:rsidRPr="00245466" w:rsidRDefault="008243D4" w:rsidP="00F00545">
      <w:pPr>
        <w:spacing w:line="276" w:lineRule="auto"/>
        <w:jc w:val="both"/>
        <w:rPr>
          <w:rFonts w:ascii="Book Antiqua" w:hAnsi="Book Antiqua"/>
          <w:color w:val="000000"/>
          <w:lang w:val="es-PR"/>
        </w:rPr>
      </w:pPr>
    </w:p>
    <w:p w14:paraId="1EADD7FB" w14:textId="49F01234" w:rsidR="008243D4" w:rsidRPr="00F00545" w:rsidRDefault="008243D4" w:rsidP="00F00545">
      <w:pPr>
        <w:pStyle w:val="NoSpacing"/>
        <w:spacing w:line="276" w:lineRule="auto"/>
        <w:jc w:val="center"/>
        <w:rPr>
          <w:rFonts w:ascii="Book Antiqua" w:hAnsi="Book Antiqua"/>
          <w:b/>
          <w:bCs/>
          <w:lang w:val="es-ES"/>
        </w:rPr>
      </w:pPr>
      <w:r w:rsidRPr="00F00545">
        <w:rPr>
          <w:rFonts w:ascii="Book Antiqua" w:hAnsi="Book Antiqua"/>
          <w:b/>
          <w:bCs/>
          <w:lang w:val="es-ES"/>
        </w:rPr>
        <w:t>CAPT. JAVISH A. COLLAZO FERNÁNDEZ</w:t>
      </w:r>
    </w:p>
    <w:p w14:paraId="3C5272E4" w14:textId="77777777" w:rsidR="00F00545" w:rsidRPr="00F00545" w:rsidRDefault="00F00545" w:rsidP="00F00545">
      <w:pPr>
        <w:pStyle w:val="NoSpacing"/>
        <w:spacing w:line="276" w:lineRule="auto"/>
        <w:jc w:val="center"/>
        <w:rPr>
          <w:rFonts w:ascii="Book Antiqua" w:hAnsi="Book Antiqua"/>
          <w:b/>
          <w:bCs/>
          <w:lang w:val="es-ES"/>
        </w:rPr>
      </w:pPr>
    </w:p>
    <w:p w14:paraId="0D0DBB10" w14:textId="77777777" w:rsidR="003922EE" w:rsidRPr="00245466" w:rsidRDefault="008243D4" w:rsidP="00F00545">
      <w:pPr>
        <w:spacing w:line="276" w:lineRule="auto"/>
        <w:jc w:val="both"/>
        <w:rPr>
          <w:rFonts w:ascii="Book Antiqua" w:hAnsi="Book Antiqua"/>
          <w:color w:val="000000"/>
          <w:lang w:val="es-PR"/>
        </w:rPr>
      </w:pPr>
      <w:r w:rsidRPr="00245466">
        <w:rPr>
          <w:rFonts w:ascii="Book Antiqua" w:hAnsi="Book Antiqua"/>
          <w:color w:val="000000"/>
          <w:lang w:val="es-PR"/>
        </w:rPr>
        <w:t>La Comisión de Gobierno del Senado recibió una comunicación del Capitán Javish Collazo Fernández</w:t>
      </w:r>
      <w:r w:rsidR="00544C7B" w:rsidRPr="00245466">
        <w:rPr>
          <w:rFonts w:ascii="Book Antiqua" w:hAnsi="Book Antiqua"/>
          <w:color w:val="000000"/>
          <w:lang w:val="es-PR"/>
        </w:rPr>
        <w:t xml:space="preserve"> </w:t>
      </w:r>
      <w:r w:rsidR="0072365B" w:rsidRPr="00245466">
        <w:rPr>
          <w:rFonts w:ascii="Book Antiqua" w:hAnsi="Book Antiqua"/>
          <w:color w:val="000000"/>
          <w:lang w:val="es-PR"/>
        </w:rPr>
        <w:t xml:space="preserve">Jefe </w:t>
      </w:r>
      <w:r w:rsidRPr="00245466">
        <w:rPr>
          <w:rFonts w:ascii="Book Antiqua" w:hAnsi="Book Antiqua"/>
          <w:color w:val="000000"/>
          <w:lang w:val="es-PR"/>
        </w:rPr>
        <w:t>del Distrito de Bayamón del NCBPR, en la que comparte observaciones sobre el P. de la C. 606, actualmente bajo evaluación de esta Comisión.</w:t>
      </w:r>
      <w:r w:rsidRPr="00245466">
        <w:rPr>
          <w:rFonts w:ascii="Book Antiqua" w:hAnsi="Book Antiqua"/>
          <w:lang w:val="es-PR"/>
        </w:rPr>
        <w:t xml:space="preserve"> </w:t>
      </w:r>
      <w:r w:rsidRPr="00245466">
        <w:rPr>
          <w:rFonts w:ascii="Book Antiqua" w:hAnsi="Book Antiqua"/>
          <w:color w:val="000000"/>
          <w:lang w:val="es-PR"/>
        </w:rPr>
        <w:t xml:space="preserve">En su comunicación, el Capitán Collazo reconoce la intención del proyecto de eximir de ciertas disposiciones de la Ley 60-2014 a personal clave del </w:t>
      </w:r>
      <w:r w:rsidRPr="00245466">
        <w:rPr>
          <w:rFonts w:ascii="Book Antiqua" w:hAnsi="Book Antiqua"/>
          <w:lang w:val="es-PR"/>
        </w:rPr>
        <w:t>NCBPR</w:t>
      </w:r>
      <w:r w:rsidRPr="00245466">
        <w:rPr>
          <w:rFonts w:ascii="Book Antiqua" w:hAnsi="Book Antiqua"/>
          <w:color w:val="000000"/>
          <w:lang w:val="es-PR"/>
        </w:rPr>
        <w:t xml:space="preserve">. Aun así, señala que la medida no incluye a otros funcionarios con funciones esenciales en la operación diaria del </w:t>
      </w:r>
      <w:r w:rsidRPr="00245466">
        <w:rPr>
          <w:rFonts w:ascii="Book Antiqua" w:hAnsi="Book Antiqua"/>
          <w:lang w:val="es-PR"/>
        </w:rPr>
        <w:t>NCBPR</w:t>
      </w:r>
      <w:r w:rsidRPr="00245466">
        <w:rPr>
          <w:rFonts w:ascii="Book Antiqua" w:hAnsi="Book Antiqua"/>
          <w:color w:val="000000"/>
          <w:lang w:val="es-PR"/>
        </w:rPr>
        <w:t>, como los directores de división y sus auxiliares, los directores de programas y sus auxiliares, así como los investigadores de incendios.</w:t>
      </w:r>
      <w:r w:rsidRPr="00245466">
        <w:rPr>
          <w:rFonts w:ascii="Book Antiqua" w:hAnsi="Book Antiqua"/>
          <w:lang w:val="es-PR"/>
        </w:rPr>
        <w:t xml:space="preserve"> </w:t>
      </w:r>
      <w:r w:rsidRPr="00245466">
        <w:rPr>
          <w:rFonts w:ascii="Book Antiqua" w:hAnsi="Book Antiqua"/>
          <w:color w:val="000000"/>
          <w:lang w:val="es-PR"/>
        </w:rPr>
        <w:t xml:space="preserve">Expone que la falta de vehículos oficiales asignados a este personal puede afectar la capacidad de respuesta ante situaciones de emergencia, al requerir que se trasladen desde sus hogares a diferentes instalaciones del </w:t>
      </w:r>
      <w:r w:rsidRPr="00245466">
        <w:rPr>
          <w:rFonts w:ascii="Book Antiqua" w:hAnsi="Book Antiqua"/>
          <w:lang w:val="es-PR"/>
        </w:rPr>
        <w:t>NCBPR</w:t>
      </w:r>
      <w:r w:rsidRPr="00245466">
        <w:rPr>
          <w:rFonts w:ascii="Book Antiqua" w:hAnsi="Book Antiqua"/>
          <w:color w:val="000000"/>
          <w:lang w:val="es-PR"/>
        </w:rPr>
        <w:t xml:space="preserve"> antes de poder intervenir, lo que podría retrasar el tiempo de respuesta en eventos críticos. </w:t>
      </w:r>
    </w:p>
    <w:p w14:paraId="13A281C2" w14:textId="77777777" w:rsidR="003922EE" w:rsidRPr="00245466" w:rsidRDefault="003922EE" w:rsidP="00F00545">
      <w:pPr>
        <w:spacing w:line="276" w:lineRule="auto"/>
        <w:jc w:val="both"/>
        <w:rPr>
          <w:rFonts w:ascii="Book Antiqua" w:hAnsi="Book Antiqua"/>
          <w:color w:val="000000"/>
          <w:lang w:val="es-PR"/>
        </w:rPr>
      </w:pPr>
    </w:p>
    <w:p w14:paraId="2FF7B73A" w14:textId="62CDFE52" w:rsidR="00677F79" w:rsidRPr="00245466" w:rsidRDefault="008243D4" w:rsidP="00F00545">
      <w:pPr>
        <w:spacing w:line="276" w:lineRule="auto"/>
        <w:jc w:val="both"/>
        <w:rPr>
          <w:rFonts w:ascii="Book Antiqua" w:hAnsi="Book Antiqua"/>
          <w:color w:val="000000"/>
          <w:lang w:val="es-PR"/>
        </w:rPr>
      </w:pPr>
      <w:r w:rsidRPr="00245466">
        <w:rPr>
          <w:rFonts w:ascii="Book Antiqua" w:hAnsi="Book Antiqua"/>
          <w:color w:val="000000"/>
          <w:lang w:val="es-PR"/>
        </w:rPr>
        <w:t>Por tal razón, sugiere que se considere incluir estos cargos en la enmienda propuesta al Artículo 5 de la Ley 60-2014.</w:t>
      </w:r>
      <w:r w:rsidRPr="00245466">
        <w:rPr>
          <w:rFonts w:ascii="Book Antiqua" w:hAnsi="Book Antiqua"/>
          <w:lang w:val="es-PR"/>
        </w:rPr>
        <w:t xml:space="preserve"> </w:t>
      </w:r>
      <w:r w:rsidRPr="00245466">
        <w:rPr>
          <w:rFonts w:ascii="Book Antiqua" w:hAnsi="Book Antiqua"/>
          <w:color w:val="000000"/>
          <w:lang w:val="es-PR"/>
        </w:rPr>
        <w:t>La Comisión evaluó los planteamientos recibidos y agradece la disponibilidad del Capitán Collazo para colaborar en el proceso de análisis legislativo.</w:t>
      </w:r>
    </w:p>
    <w:p w14:paraId="13DF5F64" w14:textId="77777777" w:rsidR="008243D4" w:rsidRPr="00245466" w:rsidRDefault="008243D4" w:rsidP="00F00545">
      <w:pPr>
        <w:spacing w:line="276" w:lineRule="auto"/>
        <w:jc w:val="both"/>
        <w:rPr>
          <w:rFonts w:ascii="Book Antiqua" w:hAnsi="Book Antiqua"/>
          <w:lang w:val="es-PR"/>
        </w:rPr>
      </w:pPr>
    </w:p>
    <w:p w14:paraId="44EAFD9C" w14:textId="44DD5F0E" w:rsidR="00F711B8" w:rsidRPr="00F00545" w:rsidRDefault="00F711B8" w:rsidP="00F00545">
      <w:pPr>
        <w:spacing w:line="276" w:lineRule="auto"/>
        <w:jc w:val="center"/>
        <w:rPr>
          <w:rFonts w:ascii="Book Antiqua" w:hAnsi="Book Antiqua"/>
          <w:b/>
          <w:color w:val="000000" w:themeColor="text1"/>
          <w:lang w:val="es-ES"/>
        </w:rPr>
      </w:pPr>
      <w:r w:rsidRPr="00F00545">
        <w:rPr>
          <w:rFonts w:ascii="Book Antiqua" w:hAnsi="Book Antiqua"/>
          <w:b/>
          <w:color w:val="000000" w:themeColor="text1"/>
          <w:lang w:val="es-ES"/>
        </w:rPr>
        <w:t>IMPACTO FISCAL MUNICIPAL</w:t>
      </w:r>
    </w:p>
    <w:p w14:paraId="1736B5E5" w14:textId="77777777" w:rsidR="00B078D8" w:rsidRPr="00F00545" w:rsidRDefault="00B078D8" w:rsidP="00F00545">
      <w:pPr>
        <w:spacing w:line="276" w:lineRule="auto"/>
        <w:jc w:val="center"/>
        <w:rPr>
          <w:rFonts w:ascii="Book Antiqua" w:hAnsi="Book Antiqua"/>
          <w:b/>
          <w:color w:val="000000"/>
          <w:lang w:val="es-ES"/>
        </w:rPr>
      </w:pPr>
    </w:p>
    <w:p w14:paraId="7C05DBF5" w14:textId="1567301B" w:rsidR="006938F4" w:rsidRPr="00F00545" w:rsidRDefault="00B5056C" w:rsidP="00F00545">
      <w:pPr>
        <w:spacing w:line="276" w:lineRule="auto"/>
        <w:jc w:val="both"/>
        <w:rPr>
          <w:rFonts w:ascii="Book Antiqua" w:hAnsi="Book Antiqua"/>
          <w:color w:val="000000"/>
          <w:lang w:val="es-ES"/>
        </w:rPr>
      </w:pPr>
      <w:r w:rsidRPr="00F00545">
        <w:rPr>
          <w:rFonts w:ascii="Book Antiqua" w:hAnsi="Book Antiqua"/>
          <w:color w:val="000000"/>
          <w:shd w:val="clear" w:color="auto" w:fill="FFFFFF"/>
          <w:lang w:val="es-ES"/>
        </w:rPr>
        <w:t xml:space="preserve">En cumplimiento con el Artículo 1.007 de la Ley 107-2020, según enmendada, conocida como “Código Municipal de Puerto Rico”, la Comisión de Gobierno certifica que </w:t>
      </w:r>
      <w:r w:rsidR="00A42C32" w:rsidRPr="00F00545">
        <w:rPr>
          <w:rFonts w:ascii="Book Antiqua" w:hAnsi="Book Antiqua"/>
          <w:color w:val="000000"/>
          <w:shd w:val="clear" w:color="auto" w:fill="FFFFFF"/>
          <w:lang w:val="es-ES"/>
        </w:rPr>
        <w:t xml:space="preserve">el </w:t>
      </w:r>
      <w:r w:rsidR="00A42C32" w:rsidRPr="00F00545">
        <w:rPr>
          <w:rFonts w:ascii="Book Antiqua" w:hAnsi="Book Antiqua"/>
          <w:b/>
          <w:bCs/>
          <w:color w:val="000000"/>
          <w:shd w:val="clear" w:color="auto" w:fill="FFFFFF"/>
          <w:lang w:val="es-ES"/>
        </w:rPr>
        <w:t xml:space="preserve">P. </w:t>
      </w:r>
      <w:r w:rsidR="00BD219E" w:rsidRPr="00F00545">
        <w:rPr>
          <w:rFonts w:ascii="Book Antiqua" w:hAnsi="Book Antiqua"/>
          <w:b/>
          <w:bCs/>
          <w:color w:val="000000"/>
          <w:shd w:val="clear" w:color="auto" w:fill="FFFFFF"/>
          <w:lang w:val="es-ES"/>
        </w:rPr>
        <w:t xml:space="preserve">de la C. </w:t>
      </w:r>
      <w:r w:rsidR="00A42C32" w:rsidRPr="00F00545">
        <w:rPr>
          <w:rFonts w:ascii="Book Antiqua" w:hAnsi="Book Antiqua"/>
          <w:b/>
          <w:bCs/>
          <w:color w:val="000000"/>
          <w:shd w:val="clear" w:color="auto" w:fill="FFFFFF"/>
          <w:lang w:val="es-ES"/>
        </w:rPr>
        <w:t xml:space="preserve">606 </w:t>
      </w:r>
      <w:r w:rsidRPr="00F00545">
        <w:rPr>
          <w:rFonts w:ascii="Book Antiqua" w:hAnsi="Book Antiqua"/>
          <w:color w:val="000000"/>
          <w:shd w:val="clear" w:color="auto" w:fill="FFFFFF"/>
          <w:lang w:val="es-ES"/>
        </w:rPr>
        <w:t>no impone una obligación económica en los presupuestos de los gobiernos municipales.</w:t>
      </w:r>
    </w:p>
    <w:p w14:paraId="4B94D5A5" w14:textId="77777777" w:rsidR="00B5056C" w:rsidRPr="00F00545" w:rsidRDefault="00B5056C" w:rsidP="00F00545">
      <w:pPr>
        <w:pStyle w:val="ColorfulList-Accent11"/>
        <w:spacing w:line="276" w:lineRule="auto"/>
        <w:ind w:left="0"/>
        <w:jc w:val="center"/>
        <w:rPr>
          <w:rFonts w:ascii="Book Antiqua" w:hAnsi="Book Antiqua"/>
          <w:b/>
          <w:color w:val="000000"/>
          <w:sz w:val="10"/>
          <w:szCs w:val="10"/>
          <w:lang w:val="es-ES"/>
        </w:rPr>
      </w:pPr>
    </w:p>
    <w:p w14:paraId="311A2A42" w14:textId="68C87DE0" w:rsidR="00E16E3C" w:rsidRPr="00F00545" w:rsidRDefault="00D454DC" w:rsidP="00F00545">
      <w:pPr>
        <w:pStyle w:val="ColorfulList-Accent11"/>
        <w:spacing w:line="276" w:lineRule="auto"/>
        <w:ind w:left="0"/>
        <w:jc w:val="center"/>
        <w:rPr>
          <w:rFonts w:ascii="Book Antiqua" w:hAnsi="Book Antiqua"/>
          <w:b/>
          <w:color w:val="000000" w:themeColor="text1"/>
          <w:lang w:val="es-ES"/>
        </w:rPr>
      </w:pPr>
      <w:r w:rsidRPr="00F00545">
        <w:rPr>
          <w:rFonts w:ascii="Book Antiqua" w:hAnsi="Book Antiqua"/>
          <w:b/>
          <w:color w:val="000000" w:themeColor="text1"/>
          <w:lang w:val="es-ES"/>
        </w:rPr>
        <w:lastRenderedPageBreak/>
        <w:t>CONCLUSIÓN</w:t>
      </w:r>
    </w:p>
    <w:p w14:paraId="123CB20C" w14:textId="77777777" w:rsidR="00B078D8" w:rsidRPr="00F00545" w:rsidRDefault="00B078D8" w:rsidP="00F00545">
      <w:pPr>
        <w:pStyle w:val="ColorfulList-Accent11"/>
        <w:spacing w:line="276" w:lineRule="auto"/>
        <w:ind w:left="0"/>
        <w:jc w:val="center"/>
        <w:rPr>
          <w:rFonts w:ascii="Book Antiqua" w:hAnsi="Book Antiqua"/>
          <w:b/>
          <w:color w:val="000000"/>
          <w:lang w:val="es-ES"/>
        </w:rPr>
      </w:pPr>
    </w:p>
    <w:p w14:paraId="1A313FE0" w14:textId="77777777" w:rsidR="00A42C32" w:rsidRPr="00245466" w:rsidRDefault="68C4EACF" w:rsidP="00F00545">
      <w:pPr>
        <w:pStyle w:val="NormalWeb"/>
        <w:spacing w:line="276" w:lineRule="auto"/>
        <w:jc w:val="both"/>
        <w:rPr>
          <w:rFonts w:ascii="Book Antiqua" w:hAnsi="Book Antiqua"/>
          <w:lang w:val="es-PR"/>
        </w:rPr>
      </w:pPr>
      <w:r w:rsidRPr="00F00545">
        <w:rPr>
          <w:rFonts w:ascii="Book Antiqua" w:eastAsia="Book Antiqua" w:hAnsi="Book Antiqua" w:cs="Book Antiqua"/>
          <w:lang w:val="es-ES"/>
        </w:rPr>
        <w:t>La Comisión de Gobierno, reconociendo la importancia de</w:t>
      </w:r>
      <w:r w:rsidR="00A42C32" w:rsidRPr="00F00545">
        <w:rPr>
          <w:rFonts w:ascii="Book Antiqua" w:eastAsia="Book Antiqua" w:hAnsi="Book Antiqua" w:cs="Book Antiqua"/>
          <w:lang w:val="es-ES"/>
        </w:rPr>
        <w:t xml:space="preserve">l </w:t>
      </w:r>
      <w:r w:rsidR="00A42C32" w:rsidRPr="00F00545">
        <w:rPr>
          <w:rFonts w:ascii="Book Antiqua" w:eastAsia="Book Antiqua" w:hAnsi="Book Antiqua" w:cs="Book Antiqua"/>
          <w:b/>
          <w:bCs/>
          <w:lang w:val="es-ES"/>
        </w:rPr>
        <w:t>P.</w:t>
      </w:r>
      <w:r w:rsidRPr="00F00545">
        <w:rPr>
          <w:rFonts w:ascii="Book Antiqua" w:eastAsia="Book Antiqua" w:hAnsi="Book Antiqua" w:cs="Book Antiqua"/>
          <w:b/>
          <w:bCs/>
          <w:lang w:val="es-ES"/>
        </w:rPr>
        <w:t xml:space="preserve"> de la C. </w:t>
      </w:r>
      <w:r w:rsidR="00A42C32" w:rsidRPr="00F00545">
        <w:rPr>
          <w:rFonts w:ascii="Book Antiqua" w:eastAsia="Book Antiqua" w:hAnsi="Book Antiqua" w:cs="Book Antiqua"/>
          <w:b/>
          <w:bCs/>
          <w:lang w:val="es-ES"/>
        </w:rPr>
        <w:t>606</w:t>
      </w:r>
      <w:r w:rsidRPr="00F00545">
        <w:rPr>
          <w:rFonts w:ascii="Book Antiqua" w:eastAsia="Book Antiqua" w:hAnsi="Book Antiqua" w:cs="Book Antiqua"/>
          <w:lang w:val="es-ES"/>
        </w:rPr>
        <w:t xml:space="preserve"> y tomando en cuenta las recomendaciones presentadas </w:t>
      </w:r>
      <w:r w:rsidR="00A42C32" w:rsidRPr="00F00545">
        <w:rPr>
          <w:rFonts w:ascii="Book Antiqua" w:eastAsia="Book Antiqua" w:hAnsi="Book Antiqua" w:cs="Book Antiqua"/>
          <w:lang w:val="es-ES"/>
        </w:rPr>
        <w:t xml:space="preserve">ante la Comisión de Gobierno de la Cámara de Representantes </w:t>
      </w:r>
      <w:r w:rsidRPr="00F00545">
        <w:rPr>
          <w:rFonts w:ascii="Book Antiqua" w:eastAsia="Book Antiqua" w:hAnsi="Book Antiqua" w:cs="Book Antiqua"/>
          <w:lang w:val="es-ES"/>
        </w:rPr>
        <w:t xml:space="preserve">en </w:t>
      </w:r>
      <w:r w:rsidR="00A42C32" w:rsidRPr="00245466">
        <w:rPr>
          <w:rFonts w:ascii="Book Antiqua" w:hAnsi="Book Antiqua"/>
          <w:lang w:val="es-PR"/>
        </w:rPr>
        <w:t xml:space="preserve">los memoriales sometidos por la Administración de Servicios Generales (ASG), el Departamento de Seguridad Pública (DSP) y la Oficina de Presupuesto de la Asamblea Legislativa (OPAL), </w:t>
      </w:r>
      <w:r w:rsidR="00A42C32" w:rsidRPr="00245466">
        <w:rPr>
          <w:rFonts w:ascii="Book Antiqua" w:hAnsi="Book Antiqua"/>
          <w:color w:val="000000"/>
          <w:lang w:val="es-PR"/>
        </w:rPr>
        <w:t>llevó a cabo un análisis detallado de la pieza legislativa. Como resultado, se presenta este Informe Positivo.</w:t>
      </w:r>
    </w:p>
    <w:p w14:paraId="156C3272" w14:textId="77777777" w:rsidR="00B078D8" w:rsidRPr="00245466" w:rsidRDefault="00A42C32" w:rsidP="00F00545">
      <w:pPr>
        <w:spacing w:before="100" w:beforeAutospacing="1" w:after="100" w:afterAutospacing="1" w:line="276" w:lineRule="auto"/>
        <w:jc w:val="both"/>
        <w:rPr>
          <w:rFonts w:ascii="Book Antiqua" w:hAnsi="Book Antiqua"/>
          <w:lang w:val="es-PR"/>
        </w:rPr>
      </w:pPr>
      <w:r w:rsidRPr="00245466">
        <w:rPr>
          <w:rFonts w:ascii="Book Antiqua" w:hAnsi="Book Antiqua"/>
          <w:lang w:val="es-PR"/>
        </w:rPr>
        <w:t xml:space="preserve">El proyecto reconoce que ciertos funcionarios del </w:t>
      </w:r>
      <w:r w:rsidR="00B078D8" w:rsidRPr="00245466">
        <w:rPr>
          <w:rFonts w:ascii="Book Antiqua" w:hAnsi="Book Antiqua"/>
          <w:lang w:val="es-PR"/>
        </w:rPr>
        <w:t>NCBPR</w:t>
      </w:r>
      <w:r w:rsidRPr="00245466">
        <w:rPr>
          <w:rFonts w:ascii="Book Antiqua" w:hAnsi="Book Antiqua"/>
          <w:lang w:val="es-PR"/>
        </w:rPr>
        <w:t>, como los comisionados auxiliares, comandantes de zona, jefes de distrito y el director de transportación, deben contar con acceso continuo a sus vehículos oficiales, incluso fuera de horas laborables, debido a la naturaleza crítica de sus funciones y su rol en la respuesta a emergencias.</w:t>
      </w:r>
      <w:r w:rsidR="00677F79" w:rsidRPr="00245466">
        <w:rPr>
          <w:rFonts w:ascii="Book Antiqua" w:hAnsi="Book Antiqua"/>
          <w:lang w:val="es-PR"/>
        </w:rPr>
        <w:t xml:space="preserve"> </w:t>
      </w:r>
      <w:r w:rsidRPr="00245466">
        <w:rPr>
          <w:rFonts w:ascii="Book Antiqua" w:hAnsi="Book Antiqua"/>
          <w:lang w:val="es-PR"/>
        </w:rPr>
        <w:t xml:space="preserve">La extensión de esta excepción, ya reconocida en ley para funcionarios del NPPR garantiza uniformidad en el trato dentro del sistema de seguridad pública y fortalece la capacidad de respuesta del Estado. </w:t>
      </w:r>
    </w:p>
    <w:p w14:paraId="2D211595" w14:textId="77777777" w:rsidR="003922EE" w:rsidRPr="00245466" w:rsidRDefault="008243D4" w:rsidP="00F00545">
      <w:pPr>
        <w:spacing w:before="100" w:beforeAutospacing="1" w:after="100" w:afterAutospacing="1" w:line="276" w:lineRule="auto"/>
        <w:jc w:val="both"/>
        <w:rPr>
          <w:rFonts w:ascii="Book Antiqua" w:hAnsi="Book Antiqua"/>
          <w:lang w:val="es-PR"/>
        </w:rPr>
      </w:pPr>
      <w:r w:rsidRPr="00245466">
        <w:rPr>
          <w:rFonts w:ascii="Book Antiqua" w:hAnsi="Book Antiqua"/>
          <w:lang w:val="es-PR"/>
        </w:rPr>
        <w:t xml:space="preserve">En cuanto a la sugerencia recibida para ampliar la medida a otros funcionarios del NCBPR, como los directores de división y de programas (y sus auxiliares), así como a los investigadores de incendios, la Comisión tomó conocimiento de los planteamientos, pero entiende que el alcance del proyecto debe limitarse al personal que ocupa posiciones de mando inmediato dentro de la estructura operacional. Ampliar la lista de excepciones en este momento podría llevar a que se presenten más solicitudes similares, alejándose del objetivo principal de esta medida y dificultando su supervisión. </w:t>
      </w:r>
    </w:p>
    <w:p w14:paraId="3BE97CC3" w14:textId="181307DB" w:rsidR="008243D4" w:rsidRPr="00245466" w:rsidRDefault="008243D4" w:rsidP="00F00545">
      <w:pPr>
        <w:spacing w:before="100" w:beforeAutospacing="1" w:after="100" w:afterAutospacing="1" w:line="276" w:lineRule="auto"/>
        <w:jc w:val="both"/>
        <w:rPr>
          <w:rFonts w:ascii="Book Antiqua" w:hAnsi="Book Antiqua"/>
          <w:color w:val="000000"/>
          <w:lang w:val="es-PR"/>
        </w:rPr>
      </w:pPr>
      <w:r w:rsidRPr="00245466">
        <w:rPr>
          <w:rFonts w:ascii="Book Antiqua" w:hAnsi="Book Antiqua"/>
          <w:color w:val="000000"/>
          <w:lang w:val="es-PR"/>
        </w:rPr>
        <w:t>Reconocemos que estos planteamientos podrían ameritar consideración en otro momento, pero su inclusión en esta medida no procede, ya que extender las excepciones requeriría un análisis legislativo más amplio que va más allá del alcance del proyecto que tenemos ante nuestra consideración.</w:t>
      </w:r>
    </w:p>
    <w:p w14:paraId="5392B684" w14:textId="6E9A98EC" w:rsidR="00A42C32" w:rsidRPr="00245466" w:rsidRDefault="00B078D8" w:rsidP="00F00545">
      <w:pPr>
        <w:spacing w:before="100" w:beforeAutospacing="1" w:after="100" w:afterAutospacing="1" w:line="276" w:lineRule="auto"/>
        <w:jc w:val="both"/>
        <w:rPr>
          <w:rFonts w:ascii="Book Antiqua" w:hAnsi="Book Antiqua"/>
          <w:color w:val="000000"/>
          <w:lang w:val="es-PR"/>
        </w:rPr>
      </w:pPr>
      <w:r w:rsidRPr="00F00545">
        <w:rPr>
          <w:rFonts w:ascii="Book Antiqua" w:hAnsi="Book Antiqua"/>
          <w:lang w:val="es-PR"/>
        </w:rPr>
        <w:t xml:space="preserve">Esta Comisión considera que la legislación vigente, si bien establece restricciones razonables sobre el uso de vehículos oficiales, debe también ser sensible a las funciones críticas de ciertos funcionarios cuya labor no se ajusta a esquemas administrativos convencionales. Por tanto, extender esta excepción al personal clave del NCBPR representa un acto de uniformidad entre componentes de seguridad pública. </w:t>
      </w:r>
      <w:r w:rsidR="00A42C32" w:rsidRPr="00245466">
        <w:rPr>
          <w:rFonts w:ascii="Book Antiqua" w:hAnsi="Book Antiqua"/>
          <w:lang w:val="es-PR"/>
        </w:rPr>
        <w:t>Además, se determinó que la medida no impone un impacto fiscal significativo ni sobre el Fondo General ni sobre los municipios.</w:t>
      </w:r>
    </w:p>
    <w:p w14:paraId="70B5EA6B" w14:textId="1EC88619" w:rsidR="00F06F22" w:rsidRPr="00F00545" w:rsidRDefault="00F06F22" w:rsidP="00F00545">
      <w:pPr>
        <w:spacing w:line="276" w:lineRule="auto"/>
        <w:jc w:val="both"/>
        <w:rPr>
          <w:rFonts w:ascii="Book Antiqua" w:eastAsia="Batang" w:hAnsi="Book Antiqua"/>
          <w:color w:val="000000"/>
          <w:lang w:val="es-ES"/>
        </w:rPr>
      </w:pPr>
      <w:r w:rsidRPr="00F00545">
        <w:rPr>
          <w:rFonts w:ascii="Book Antiqua" w:eastAsia="Batang" w:hAnsi="Book Antiqua"/>
          <w:b/>
          <w:color w:val="000000"/>
          <w:lang w:val="es-ES"/>
        </w:rPr>
        <w:lastRenderedPageBreak/>
        <w:t xml:space="preserve">POR TODO LO ANTES EXPUESTO, </w:t>
      </w:r>
      <w:r w:rsidRPr="00F00545">
        <w:rPr>
          <w:rFonts w:ascii="Book Antiqua" w:eastAsia="Batang" w:hAnsi="Book Antiqua"/>
          <w:color w:val="000000"/>
          <w:lang w:val="es-ES"/>
        </w:rPr>
        <w:t xml:space="preserve">la Comisión de Gobierno del Senado de Puerto Rico, previo estudio y consideración, tiene a bien presentar ante este Alto Cuerpo el Informe </w:t>
      </w:r>
      <w:r w:rsidRPr="00F00545">
        <w:rPr>
          <w:rFonts w:ascii="Book Antiqua" w:eastAsia="Batang" w:hAnsi="Book Antiqua"/>
          <w:b/>
          <w:color w:val="000000"/>
          <w:lang w:val="es-ES"/>
        </w:rPr>
        <w:t>Positivo</w:t>
      </w:r>
      <w:r w:rsidRPr="00F00545">
        <w:rPr>
          <w:rFonts w:ascii="Book Antiqua" w:eastAsia="Batang" w:hAnsi="Book Antiqua"/>
          <w:color w:val="000000"/>
          <w:lang w:val="es-ES"/>
        </w:rPr>
        <w:t xml:space="preserve"> sobre </w:t>
      </w:r>
      <w:r w:rsidR="00A42C32" w:rsidRPr="00F00545">
        <w:rPr>
          <w:rFonts w:ascii="Book Antiqua" w:eastAsia="Batang" w:hAnsi="Book Antiqua"/>
          <w:color w:val="000000"/>
          <w:lang w:val="es-ES"/>
        </w:rPr>
        <w:t xml:space="preserve">el </w:t>
      </w:r>
      <w:r w:rsidR="00A42C32" w:rsidRPr="00F00545">
        <w:rPr>
          <w:rFonts w:ascii="Book Antiqua" w:eastAsia="Batang" w:hAnsi="Book Antiqua"/>
          <w:b/>
          <w:bCs/>
          <w:color w:val="000000"/>
          <w:lang w:val="es-ES"/>
        </w:rPr>
        <w:t>Proyecto</w:t>
      </w:r>
      <w:r w:rsidR="00BD219E" w:rsidRPr="00F00545">
        <w:rPr>
          <w:rFonts w:ascii="Book Antiqua" w:eastAsia="Batang" w:hAnsi="Book Antiqua"/>
          <w:b/>
          <w:color w:val="000000"/>
          <w:lang w:val="es-ES"/>
        </w:rPr>
        <w:t xml:space="preserve"> de la Cámara </w:t>
      </w:r>
      <w:r w:rsidR="00A42C32" w:rsidRPr="00F00545">
        <w:rPr>
          <w:rFonts w:ascii="Book Antiqua" w:eastAsia="Batang" w:hAnsi="Book Antiqua"/>
          <w:b/>
          <w:color w:val="000000"/>
          <w:lang w:val="es-ES"/>
        </w:rPr>
        <w:t>606</w:t>
      </w:r>
      <w:r w:rsidRPr="00F00545">
        <w:rPr>
          <w:rFonts w:ascii="Book Antiqua" w:eastAsia="Batang" w:hAnsi="Book Antiqua"/>
          <w:color w:val="000000"/>
          <w:lang w:val="es-ES"/>
        </w:rPr>
        <w:t xml:space="preserve">, recomendando su aprobación </w:t>
      </w:r>
      <w:r w:rsidR="00BA5C17" w:rsidRPr="00F00545">
        <w:rPr>
          <w:rFonts w:ascii="Book Antiqua" w:eastAsia="Batang" w:hAnsi="Book Antiqua"/>
          <w:color w:val="000000"/>
          <w:lang w:val="es-ES"/>
        </w:rPr>
        <w:t>si</w:t>
      </w:r>
      <w:r w:rsidRPr="00F00545">
        <w:rPr>
          <w:rFonts w:ascii="Book Antiqua" w:eastAsia="Batang" w:hAnsi="Book Antiqua"/>
          <w:color w:val="000000"/>
          <w:lang w:val="es-ES"/>
        </w:rPr>
        <w:t>n enmiendas</w:t>
      </w:r>
      <w:r w:rsidR="00BA5C17" w:rsidRPr="00F00545">
        <w:rPr>
          <w:rFonts w:ascii="Book Antiqua" w:eastAsia="Batang" w:hAnsi="Book Antiqua"/>
          <w:color w:val="000000"/>
          <w:lang w:val="es-ES"/>
        </w:rPr>
        <w:t xml:space="preserve">. </w:t>
      </w:r>
    </w:p>
    <w:p w14:paraId="45FB0818" w14:textId="77777777" w:rsidR="00F06F22" w:rsidRPr="00F00545" w:rsidRDefault="00F06F22" w:rsidP="00F00545">
      <w:pPr>
        <w:spacing w:line="276" w:lineRule="auto"/>
        <w:ind w:firstLine="720"/>
        <w:jc w:val="both"/>
        <w:rPr>
          <w:rFonts w:ascii="Book Antiqua" w:eastAsia="Batang" w:hAnsi="Book Antiqua"/>
          <w:bCs/>
          <w:color w:val="000000"/>
          <w:lang w:val="es-ES"/>
        </w:rPr>
      </w:pPr>
    </w:p>
    <w:p w14:paraId="049F31CB" w14:textId="77777777" w:rsidR="00D454DC" w:rsidRPr="00F00545" w:rsidRDefault="00D454DC" w:rsidP="00F00545">
      <w:pPr>
        <w:spacing w:line="276" w:lineRule="auto"/>
        <w:jc w:val="both"/>
        <w:rPr>
          <w:rFonts w:ascii="Book Antiqua" w:hAnsi="Book Antiqua"/>
          <w:color w:val="000000"/>
          <w:lang w:val="es-ES"/>
        </w:rPr>
      </w:pPr>
    </w:p>
    <w:p w14:paraId="23A1BE3B" w14:textId="77777777" w:rsidR="00D454DC" w:rsidRPr="00F00545" w:rsidRDefault="00D454DC" w:rsidP="00F00545">
      <w:pPr>
        <w:spacing w:line="276" w:lineRule="auto"/>
        <w:jc w:val="both"/>
        <w:rPr>
          <w:rFonts w:ascii="Book Antiqua" w:hAnsi="Book Antiqua"/>
          <w:color w:val="000000"/>
          <w:lang w:val="es-ES"/>
        </w:rPr>
      </w:pPr>
      <w:r w:rsidRPr="00F00545">
        <w:rPr>
          <w:rFonts w:ascii="Book Antiqua" w:hAnsi="Book Antiqua"/>
          <w:color w:val="000000"/>
          <w:lang w:val="es-ES"/>
        </w:rPr>
        <w:t>Respetuosamente sometido,</w:t>
      </w:r>
    </w:p>
    <w:p w14:paraId="53128261" w14:textId="77777777" w:rsidR="007954BD" w:rsidRPr="00F00545" w:rsidRDefault="007954BD" w:rsidP="00F00545">
      <w:pPr>
        <w:spacing w:line="276" w:lineRule="auto"/>
        <w:jc w:val="both"/>
        <w:rPr>
          <w:rFonts w:ascii="Book Antiqua" w:hAnsi="Book Antiqua"/>
          <w:color w:val="000000"/>
          <w:lang w:val="es-ES"/>
        </w:rPr>
      </w:pPr>
    </w:p>
    <w:p w14:paraId="62486C05" w14:textId="77777777" w:rsidR="00946C49" w:rsidRPr="00F00545" w:rsidRDefault="00946C49" w:rsidP="00F00545">
      <w:pPr>
        <w:spacing w:line="276" w:lineRule="auto"/>
        <w:jc w:val="both"/>
        <w:rPr>
          <w:rFonts w:ascii="Book Antiqua" w:hAnsi="Book Antiqua"/>
          <w:color w:val="000000"/>
          <w:lang w:val="es-ES"/>
        </w:rPr>
      </w:pPr>
    </w:p>
    <w:p w14:paraId="4101652C" w14:textId="77777777" w:rsidR="007954BD" w:rsidRPr="00F00545" w:rsidRDefault="007954BD" w:rsidP="00F00545">
      <w:pPr>
        <w:spacing w:line="276" w:lineRule="auto"/>
        <w:jc w:val="both"/>
        <w:rPr>
          <w:rFonts w:ascii="Book Antiqua" w:hAnsi="Book Antiqua"/>
          <w:color w:val="000000"/>
          <w:lang w:val="es-ES"/>
        </w:rPr>
      </w:pPr>
    </w:p>
    <w:p w14:paraId="39BBAFA8" w14:textId="77777777" w:rsidR="007954BD" w:rsidRPr="00F00545" w:rsidRDefault="00CC72F5" w:rsidP="00F00545">
      <w:pPr>
        <w:spacing w:line="276" w:lineRule="auto"/>
        <w:jc w:val="both"/>
        <w:outlineLvl w:val="0"/>
        <w:rPr>
          <w:rFonts w:ascii="Book Antiqua" w:hAnsi="Book Antiqua"/>
          <w:b/>
          <w:color w:val="000000"/>
          <w:lang w:val="es-ES"/>
        </w:rPr>
      </w:pPr>
      <w:r w:rsidRPr="00F00545">
        <w:rPr>
          <w:rFonts w:ascii="Book Antiqua" w:hAnsi="Book Antiqua"/>
          <w:b/>
          <w:color w:val="000000"/>
          <w:lang w:val="es-ES"/>
        </w:rPr>
        <w:t xml:space="preserve">Sen. </w:t>
      </w:r>
      <w:r w:rsidR="00B5056C" w:rsidRPr="00F00545">
        <w:rPr>
          <w:rFonts w:ascii="Book Antiqua" w:hAnsi="Book Antiqua"/>
          <w:b/>
          <w:color w:val="000000"/>
          <w:lang w:val="es-ES"/>
        </w:rPr>
        <w:t xml:space="preserve">Ángel </w:t>
      </w:r>
      <w:r w:rsidR="00CA78A5" w:rsidRPr="00F00545">
        <w:rPr>
          <w:rFonts w:ascii="Book Antiqua" w:hAnsi="Book Antiqua"/>
          <w:b/>
          <w:color w:val="000000"/>
          <w:lang w:val="es-ES"/>
        </w:rPr>
        <w:t xml:space="preserve">A. </w:t>
      </w:r>
      <w:r w:rsidR="00B5056C" w:rsidRPr="00F00545">
        <w:rPr>
          <w:rFonts w:ascii="Book Antiqua" w:hAnsi="Book Antiqua"/>
          <w:b/>
          <w:color w:val="000000"/>
          <w:lang w:val="es-ES"/>
        </w:rPr>
        <w:t>Toledo López</w:t>
      </w:r>
    </w:p>
    <w:p w14:paraId="19E75594" w14:textId="77777777" w:rsidR="007954BD" w:rsidRPr="00F00545" w:rsidRDefault="007954BD" w:rsidP="00F00545">
      <w:pPr>
        <w:spacing w:line="276" w:lineRule="auto"/>
        <w:jc w:val="both"/>
        <w:rPr>
          <w:rFonts w:ascii="Book Antiqua" w:hAnsi="Book Antiqua"/>
          <w:color w:val="000000"/>
          <w:lang w:val="es-ES"/>
        </w:rPr>
      </w:pPr>
      <w:r w:rsidRPr="00F00545">
        <w:rPr>
          <w:rFonts w:ascii="Book Antiqua" w:hAnsi="Book Antiqua"/>
          <w:color w:val="000000"/>
          <w:lang w:val="es-ES"/>
        </w:rPr>
        <w:t>Presidente</w:t>
      </w:r>
    </w:p>
    <w:p w14:paraId="6FA938B2" w14:textId="77777777" w:rsidR="00B5056C" w:rsidRPr="00F00545" w:rsidRDefault="007954BD" w:rsidP="00F00545">
      <w:pPr>
        <w:spacing w:line="276" w:lineRule="auto"/>
        <w:jc w:val="both"/>
        <w:rPr>
          <w:rFonts w:ascii="Book Antiqua" w:hAnsi="Book Antiqua"/>
          <w:color w:val="000000"/>
          <w:lang w:val="es-ES"/>
        </w:rPr>
      </w:pPr>
      <w:r w:rsidRPr="00F00545">
        <w:rPr>
          <w:rFonts w:ascii="Book Antiqua" w:hAnsi="Book Antiqua"/>
          <w:color w:val="000000"/>
          <w:lang w:val="es-ES"/>
        </w:rPr>
        <w:t xml:space="preserve">Comisión de </w:t>
      </w:r>
      <w:r w:rsidR="00B5056C" w:rsidRPr="00F00545">
        <w:rPr>
          <w:rFonts w:ascii="Book Antiqua" w:hAnsi="Book Antiqua"/>
          <w:color w:val="000000"/>
          <w:lang w:val="es-ES"/>
        </w:rPr>
        <w:t>Gobierno</w:t>
      </w:r>
    </w:p>
    <w:p w14:paraId="1299C43A" w14:textId="77777777" w:rsidR="003F73D6" w:rsidRPr="00F00545" w:rsidRDefault="003F73D6" w:rsidP="00F00545">
      <w:pPr>
        <w:spacing w:line="276" w:lineRule="auto"/>
        <w:jc w:val="both"/>
        <w:rPr>
          <w:rFonts w:ascii="Book Antiqua" w:hAnsi="Book Antiqua"/>
          <w:lang w:val="es-ES"/>
        </w:rPr>
      </w:pPr>
    </w:p>
    <w:sectPr w:rsidR="003F73D6" w:rsidRPr="00F00545" w:rsidSect="003F73D6">
      <w:headerReference w:type="default"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D1FD1" w14:textId="77777777" w:rsidR="00E22456" w:rsidRDefault="00E22456" w:rsidP="00F46986">
      <w:r>
        <w:separator/>
      </w:r>
    </w:p>
  </w:endnote>
  <w:endnote w:type="continuationSeparator" w:id="0">
    <w:p w14:paraId="2CB08C53" w14:textId="77777777" w:rsidR="00E22456" w:rsidRDefault="00E22456" w:rsidP="00F46986">
      <w:r>
        <w:continuationSeparator/>
      </w:r>
    </w:p>
  </w:endnote>
  <w:endnote w:type="continuationNotice" w:id="1">
    <w:p w14:paraId="1452488C" w14:textId="77777777" w:rsidR="00E22456" w:rsidRDefault="00E224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C3CCD52" w14:paraId="05DC28C4" w14:textId="77777777" w:rsidTr="5C3CCD52">
      <w:trPr>
        <w:trHeight w:val="300"/>
      </w:trPr>
      <w:tc>
        <w:tcPr>
          <w:tcW w:w="3120" w:type="dxa"/>
        </w:tcPr>
        <w:p w14:paraId="65601AC5" w14:textId="70D97D20" w:rsidR="5C3CCD52" w:rsidRDefault="5C3CCD52" w:rsidP="5C3CCD52">
          <w:pPr>
            <w:pStyle w:val="Header"/>
            <w:ind w:left="-115"/>
          </w:pPr>
        </w:p>
      </w:tc>
      <w:tc>
        <w:tcPr>
          <w:tcW w:w="3120" w:type="dxa"/>
        </w:tcPr>
        <w:p w14:paraId="6FD0FED6" w14:textId="3674215C" w:rsidR="5C3CCD52" w:rsidRDefault="5C3CCD52" w:rsidP="5C3CCD52">
          <w:pPr>
            <w:pStyle w:val="Header"/>
            <w:jc w:val="center"/>
          </w:pPr>
        </w:p>
      </w:tc>
      <w:tc>
        <w:tcPr>
          <w:tcW w:w="3120" w:type="dxa"/>
        </w:tcPr>
        <w:p w14:paraId="4A48E764" w14:textId="1BBEFC40" w:rsidR="5C3CCD52" w:rsidRDefault="5C3CCD52" w:rsidP="5C3CCD52">
          <w:pPr>
            <w:pStyle w:val="Header"/>
            <w:ind w:right="-115"/>
            <w:jc w:val="right"/>
          </w:pPr>
        </w:p>
      </w:tc>
    </w:tr>
  </w:tbl>
  <w:p w14:paraId="4017F3D7" w14:textId="05A766EB" w:rsidR="5C3CCD52" w:rsidRDefault="5C3CCD52" w:rsidP="5C3CCD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C3CCD52" w14:paraId="3D0C3DD9" w14:textId="77777777" w:rsidTr="5C3CCD52">
      <w:trPr>
        <w:trHeight w:val="300"/>
      </w:trPr>
      <w:tc>
        <w:tcPr>
          <w:tcW w:w="3120" w:type="dxa"/>
        </w:tcPr>
        <w:p w14:paraId="6FDAB807" w14:textId="1606598A" w:rsidR="5C3CCD52" w:rsidRDefault="5C3CCD52" w:rsidP="5C3CCD52">
          <w:pPr>
            <w:pStyle w:val="Header"/>
            <w:ind w:left="-115"/>
          </w:pPr>
        </w:p>
      </w:tc>
      <w:tc>
        <w:tcPr>
          <w:tcW w:w="3120" w:type="dxa"/>
        </w:tcPr>
        <w:p w14:paraId="320EB245" w14:textId="0E47AF75" w:rsidR="5C3CCD52" w:rsidRDefault="5C3CCD52" w:rsidP="5C3CCD52">
          <w:pPr>
            <w:pStyle w:val="Header"/>
            <w:jc w:val="center"/>
          </w:pPr>
        </w:p>
      </w:tc>
      <w:tc>
        <w:tcPr>
          <w:tcW w:w="3120" w:type="dxa"/>
        </w:tcPr>
        <w:p w14:paraId="799EB97E" w14:textId="64361AAA" w:rsidR="5C3CCD52" w:rsidRDefault="5C3CCD52" w:rsidP="5C3CCD52">
          <w:pPr>
            <w:pStyle w:val="Header"/>
            <w:ind w:right="-115"/>
            <w:jc w:val="right"/>
          </w:pPr>
        </w:p>
      </w:tc>
    </w:tr>
  </w:tbl>
  <w:p w14:paraId="446A2E67" w14:textId="0B98ABB9" w:rsidR="5C3CCD52" w:rsidRDefault="5C3CCD52" w:rsidP="5C3CCD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8F9EE" w14:textId="77777777" w:rsidR="00E22456" w:rsidRDefault="00E22456" w:rsidP="00F46986">
      <w:r>
        <w:separator/>
      </w:r>
    </w:p>
  </w:footnote>
  <w:footnote w:type="continuationSeparator" w:id="0">
    <w:p w14:paraId="6E784BFC" w14:textId="77777777" w:rsidR="00E22456" w:rsidRDefault="00E22456" w:rsidP="00F46986">
      <w:r>
        <w:continuationSeparator/>
      </w:r>
    </w:p>
  </w:footnote>
  <w:footnote w:type="continuationNotice" w:id="1">
    <w:p w14:paraId="0710897B" w14:textId="77777777" w:rsidR="00E22456" w:rsidRDefault="00E2245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57A4D" w14:textId="77777777" w:rsidR="00FC55E1" w:rsidRDefault="00AA356F" w:rsidP="003F73D6">
    <w:pPr>
      <w:pStyle w:val="Header"/>
      <w:pBdr>
        <w:bottom w:val="single" w:sz="12" w:space="1" w:color="auto"/>
      </w:pBdr>
      <w:rPr>
        <w:rFonts w:ascii="Book Antiqua" w:hAnsi="Book Antiqua"/>
        <w:b/>
        <w:sz w:val="20"/>
        <w:lang w:val="es-PR"/>
      </w:rPr>
    </w:pPr>
    <w:r>
      <w:rPr>
        <w:rFonts w:ascii="Book Antiqua" w:hAnsi="Book Antiqua"/>
        <w:b/>
        <w:sz w:val="20"/>
        <w:lang w:val="es-PR"/>
      </w:rPr>
      <w:t xml:space="preserve">Comisión de </w:t>
    </w:r>
    <w:r w:rsidR="007B6F4C">
      <w:rPr>
        <w:rFonts w:ascii="Book Antiqua" w:hAnsi="Book Antiqua"/>
        <w:b/>
        <w:sz w:val="20"/>
        <w:lang w:val="es-PR"/>
      </w:rPr>
      <w:t>Gobierno</w:t>
    </w:r>
  </w:p>
  <w:p w14:paraId="2B703E57" w14:textId="56BF0F07" w:rsidR="003F73D6" w:rsidRPr="00AA356F" w:rsidRDefault="16EAA9FE" w:rsidP="16EAA9FE">
    <w:pPr>
      <w:pStyle w:val="Header"/>
      <w:pBdr>
        <w:bottom w:val="single" w:sz="12" w:space="1" w:color="auto"/>
      </w:pBdr>
      <w:rPr>
        <w:rFonts w:ascii="Book Antiqua" w:hAnsi="Book Antiqua"/>
        <w:b/>
        <w:bCs/>
        <w:sz w:val="20"/>
        <w:szCs w:val="20"/>
        <w:lang w:val="es-PR"/>
      </w:rPr>
    </w:pPr>
    <w:r w:rsidRPr="16EAA9FE">
      <w:rPr>
        <w:rFonts w:ascii="Book Antiqua" w:hAnsi="Book Antiqua"/>
        <w:b/>
        <w:bCs/>
        <w:sz w:val="20"/>
        <w:szCs w:val="20"/>
        <w:lang w:val="es-PR"/>
      </w:rPr>
      <w:t xml:space="preserve">Informe Positivo sobre el P. de la C. </w:t>
    </w:r>
    <w:r w:rsidR="00A42C32">
      <w:rPr>
        <w:rFonts w:ascii="Book Antiqua" w:hAnsi="Book Antiqua"/>
        <w:b/>
        <w:bCs/>
        <w:sz w:val="20"/>
        <w:szCs w:val="20"/>
        <w:lang w:val="es-PR"/>
      </w:rPr>
      <w:t>606</w:t>
    </w:r>
    <w:r w:rsidR="00F46986" w:rsidRPr="0025210A">
      <w:rPr>
        <w:lang w:val="es-PR"/>
      </w:rPr>
      <w:tab/>
    </w:r>
    <w:r w:rsidR="00F46986" w:rsidRPr="0025210A">
      <w:rPr>
        <w:lang w:val="es-PR"/>
      </w:rPr>
      <w:tab/>
    </w:r>
    <w:r w:rsidRPr="16EAA9FE">
      <w:rPr>
        <w:rFonts w:ascii="Book Antiqua" w:hAnsi="Book Antiqua"/>
        <w:b/>
        <w:bCs/>
        <w:sz w:val="20"/>
        <w:szCs w:val="20"/>
        <w:lang w:val="es-PR"/>
      </w:rPr>
      <w:t xml:space="preserve">Página </w:t>
    </w:r>
    <w:r w:rsidR="00F46986" w:rsidRPr="16EAA9FE">
      <w:rPr>
        <w:rFonts w:ascii="Book Antiqua" w:hAnsi="Book Antiqua"/>
        <w:b/>
        <w:bCs/>
        <w:noProof/>
        <w:sz w:val="20"/>
        <w:szCs w:val="20"/>
        <w:lang w:val="es-PR"/>
      </w:rPr>
      <w:fldChar w:fldCharType="begin"/>
    </w:r>
    <w:r w:rsidR="00F46986" w:rsidRPr="16EAA9FE">
      <w:rPr>
        <w:rFonts w:ascii="Book Antiqua" w:hAnsi="Book Antiqua"/>
        <w:b/>
        <w:bCs/>
        <w:sz w:val="20"/>
        <w:szCs w:val="20"/>
        <w:lang w:val="es-PR"/>
      </w:rPr>
      <w:instrText xml:space="preserve"> PAGE   \* MERGEFORMAT </w:instrText>
    </w:r>
    <w:r w:rsidR="00F46986" w:rsidRPr="16EAA9FE">
      <w:rPr>
        <w:rFonts w:ascii="Book Antiqua" w:hAnsi="Book Antiqua"/>
        <w:b/>
        <w:bCs/>
        <w:sz w:val="20"/>
        <w:szCs w:val="20"/>
        <w:lang w:val="es-PR"/>
      </w:rPr>
      <w:fldChar w:fldCharType="separate"/>
    </w:r>
    <w:r w:rsidRPr="16EAA9FE">
      <w:rPr>
        <w:rFonts w:ascii="Book Antiqua" w:hAnsi="Book Antiqua"/>
        <w:b/>
        <w:bCs/>
        <w:noProof/>
        <w:sz w:val="20"/>
        <w:szCs w:val="20"/>
        <w:lang w:val="es-PR"/>
      </w:rPr>
      <w:t>14</w:t>
    </w:r>
    <w:r w:rsidR="00F46986" w:rsidRPr="16EAA9FE">
      <w:rPr>
        <w:rFonts w:ascii="Book Antiqua" w:hAnsi="Book Antiqua"/>
        <w:b/>
        <w:bCs/>
        <w:noProof/>
        <w:sz w:val="20"/>
        <w:szCs w:val="20"/>
        <w:lang w:val="es-PR"/>
      </w:rPr>
      <w:fldChar w:fldCharType="end"/>
    </w:r>
  </w:p>
  <w:p w14:paraId="3CF2D8B6" w14:textId="77777777" w:rsidR="00AA356F" w:rsidRPr="00AA356F" w:rsidRDefault="00AA356F">
    <w:pPr>
      <w:pStyle w:val="Header"/>
      <w:rPr>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C3CCD52" w14:paraId="7A001D11" w14:textId="77777777" w:rsidTr="5C3CCD52">
      <w:trPr>
        <w:trHeight w:val="300"/>
      </w:trPr>
      <w:tc>
        <w:tcPr>
          <w:tcW w:w="3120" w:type="dxa"/>
        </w:tcPr>
        <w:p w14:paraId="560AEAB6" w14:textId="6FEA2287" w:rsidR="5C3CCD52" w:rsidRDefault="5C3CCD52" w:rsidP="5C3CCD52">
          <w:pPr>
            <w:pStyle w:val="Header"/>
            <w:ind w:left="-115"/>
          </w:pPr>
        </w:p>
      </w:tc>
      <w:tc>
        <w:tcPr>
          <w:tcW w:w="3120" w:type="dxa"/>
        </w:tcPr>
        <w:p w14:paraId="15FB4AF1" w14:textId="5C8C1496" w:rsidR="5C3CCD52" w:rsidRDefault="5C3CCD52" w:rsidP="5C3CCD52">
          <w:pPr>
            <w:pStyle w:val="Header"/>
            <w:jc w:val="center"/>
          </w:pPr>
        </w:p>
      </w:tc>
      <w:tc>
        <w:tcPr>
          <w:tcW w:w="3120" w:type="dxa"/>
        </w:tcPr>
        <w:p w14:paraId="7BB85E0C" w14:textId="5C7F100D" w:rsidR="5C3CCD52" w:rsidRDefault="5C3CCD52" w:rsidP="5C3CCD52">
          <w:pPr>
            <w:pStyle w:val="Header"/>
            <w:ind w:right="-115"/>
            <w:jc w:val="right"/>
          </w:pPr>
        </w:p>
      </w:tc>
    </w:tr>
  </w:tbl>
  <w:p w14:paraId="4055B7C2" w14:textId="00CD8F79" w:rsidR="5C3CCD52" w:rsidRDefault="5C3CCD52" w:rsidP="5C3CCD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DA33E5"/>
    <w:multiLevelType w:val="multilevel"/>
    <w:tmpl w:val="237ED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851021A"/>
    <w:multiLevelType w:val="multilevel"/>
    <w:tmpl w:val="A3B26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272E0E"/>
    <w:multiLevelType w:val="multilevel"/>
    <w:tmpl w:val="FF2CD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126FB9"/>
    <w:multiLevelType w:val="multilevel"/>
    <w:tmpl w:val="BD5E5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6"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7"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2"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4"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7" w15:restartNumberingAfterBreak="0">
    <w:nsid w:val="6C473412"/>
    <w:multiLevelType w:val="multilevel"/>
    <w:tmpl w:val="B68C8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1"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871216097">
    <w:abstractNumId w:val="15"/>
  </w:num>
  <w:num w:numId="2" w16cid:durableId="60106978">
    <w:abstractNumId w:val="0"/>
  </w:num>
  <w:num w:numId="3" w16cid:durableId="491605703">
    <w:abstractNumId w:val="8"/>
  </w:num>
  <w:num w:numId="4" w16cid:durableId="2089885147">
    <w:abstractNumId w:val="9"/>
  </w:num>
  <w:num w:numId="5" w16cid:durableId="100610371">
    <w:abstractNumId w:val="7"/>
  </w:num>
  <w:num w:numId="6" w16cid:durableId="194316217">
    <w:abstractNumId w:val="4"/>
  </w:num>
  <w:num w:numId="7" w16cid:durableId="1932658886">
    <w:abstractNumId w:val="6"/>
  </w:num>
  <w:num w:numId="8" w16cid:durableId="1469009975">
    <w:abstractNumId w:val="1"/>
  </w:num>
  <w:num w:numId="9" w16cid:durableId="569773516">
    <w:abstractNumId w:val="2"/>
  </w:num>
  <w:num w:numId="10" w16cid:durableId="1784882999">
    <w:abstractNumId w:val="13"/>
  </w:num>
  <w:num w:numId="11" w16cid:durableId="542208323">
    <w:abstractNumId w:val="29"/>
  </w:num>
  <w:num w:numId="12" w16cid:durableId="1865745246">
    <w:abstractNumId w:val="17"/>
  </w:num>
  <w:num w:numId="13" w16cid:durableId="1513452683">
    <w:abstractNumId w:val="5"/>
  </w:num>
  <w:num w:numId="14" w16cid:durableId="1508250332">
    <w:abstractNumId w:val="30"/>
  </w:num>
  <w:num w:numId="15" w16cid:durableId="963196881">
    <w:abstractNumId w:val="31"/>
  </w:num>
  <w:num w:numId="16" w16cid:durableId="98528572">
    <w:abstractNumId w:val="28"/>
  </w:num>
  <w:num w:numId="17" w16cid:durableId="1929072540">
    <w:abstractNumId w:val="20"/>
  </w:num>
  <w:num w:numId="18" w16cid:durableId="1556355888">
    <w:abstractNumId w:val="14"/>
  </w:num>
  <w:num w:numId="19" w16cid:durableId="73435740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36985854">
    <w:abstractNumId w:val="23"/>
  </w:num>
  <w:num w:numId="21" w16cid:durableId="2546353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55190974">
    <w:abstractNumId w:val="25"/>
  </w:num>
  <w:num w:numId="23" w16cid:durableId="1056196525">
    <w:abstractNumId w:val="22"/>
  </w:num>
  <w:num w:numId="24" w16cid:durableId="155390294">
    <w:abstractNumId w:val="24"/>
  </w:num>
  <w:num w:numId="25" w16cid:durableId="1085956102">
    <w:abstractNumId w:val="18"/>
  </w:num>
  <w:num w:numId="26" w16cid:durableId="461119282">
    <w:abstractNumId w:val="16"/>
  </w:num>
  <w:num w:numId="27" w16cid:durableId="1724407904">
    <w:abstractNumId w:val="26"/>
  </w:num>
  <w:num w:numId="28" w16cid:durableId="458645203">
    <w:abstractNumId w:val="12"/>
  </w:num>
  <w:num w:numId="29" w16cid:durableId="2137600163">
    <w:abstractNumId w:val="3"/>
  </w:num>
  <w:num w:numId="30" w16cid:durableId="117653404">
    <w:abstractNumId w:val="10"/>
  </w:num>
  <w:num w:numId="31" w16cid:durableId="85080046">
    <w:abstractNumId w:val="11"/>
  </w:num>
  <w:num w:numId="32" w16cid:durableId="164647442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2186"/>
    <w:rsid w:val="0000239F"/>
    <w:rsid w:val="000024B4"/>
    <w:rsid w:val="00002A6C"/>
    <w:rsid w:val="00004E5C"/>
    <w:rsid w:val="00005181"/>
    <w:rsid w:val="00006267"/>
    <w:rsid w:val="000068A3"/>
    <w:rsid w:val="000071C9"/>
    <w:rsid w:val="000075FE"/>
    <w:rsid w:val="000101FE"/>
    <w:rsid w:val="00010240"/>
    <w:rsid w:val="00010517"/>
    <w:rsid w:val="000122E9"/>
    <w:rsid w:val="000131BE"/>
    <w:rsid w:val="000131DC"/>
    <w:rsid w:val="000135B7"/>
    <w:rsid w:val="00013AB1"/>
    <w:rsid w:val="000150A3"/>
    <w:rsid w:val="000159F3"/>
    <w:rsid w:val="0001675C"/>
    <w:rsid w:val="00020C9A"/>
    <w:rsid w:val="0002292A"/>
    <w:rsid w:val="00023025"/>
    <w:rsid w:val="0002368F"/>
    <w:rsid w:val="00024824"/>
    <w:rsid w:val="0002568E"/>
    <w:rsid w:val="00025967"/>
    <w:rsid w:val="00027704"/>
    <w:rsid w:val="00030C65"/>
    <w:rsid w:val="0003158B"/>
    <w:rsid w:val="00031789"/>
    <w:rsid w:val="00031F35"/>
    <w:rsid w:val="00031F4B"/>
    <w:rsid w:val="000330B9"/>
    <w:rsid w:val="0003587A"/>
    <w:rsid w:val="00035C38"/>
    <w:rsid w:val="00037177"/>
    <w:rsid w:val="0004050D"/>
    <w:rsid w:val="00042268"/>
    <w:rsid w:val="00046557"/>
    <w:rsid w:val="00046AD4"/>
    <w:rsid w:val="000470A4"/>
    <w:rsid w:val="00051893"/>
    <w:rsid w:val="00056AC6"/>
    <w:rsid w:val="00057512"/>
    <w:rsid w:val="00057D09"/>
    <w:rsid w:val="00057F05"/>
    <w:rsid w:val="000624DB"/>
    <w:rsid w:val="00062644"/>
    <w:rsid w:val="000641CB"/>
    <w:rsid w:val="00065A89"/>
    <w:rsid w:val="00065B86"/>
    <w:rsid w:val="000667E8"/>
    <w:rsid w:val="00066D03"/>
    <w:rsid w:val="00067558"/>
    <w:rsid w:val="00070354"/>
    <w:rsid w:val="00070475"/>
    <w:rsid w:val="000706A4"/>
    <w:rsid w:val="000712FD"/>
    <w:rsid w:val="00074314"/>
    <w:rsid w:val="000749CD"/>
    <w:rsid w:val="0007576D"/>
    <w:rsid w:val="0007619F"/>
    <w:rsid w:val="00077B78"/>
    <w:rsid w:val="000812DD"/>
    <w:rsid w:val="00081D93"/>
    <w:rsid w:val="00082F9D"/>
    <w:rsid w:val="00083842"/>
    <w:rsid w:val="00084BC8"/>
    <w:rsid w:val="000867FB"/>
    <w:rsid w:val="00090307"/>
    <w:rsid w:val="00090918"/>
    <w:rsid w:val="000968D3"/>
    <w:rsid w:val="00096BCB"/>
    <w:rsid w:val="00096E73"/>
    <w:rsid w:val="000970F4"/>
    <w:rsid w:val="000A1058"/>
    <w:rsid w:val="000A1EAF"/>
    <w:rsid w:val="000A4992"/>
    <w:rsid w:val="000A6C5B"/>
    <w:rsid w:val="000A77DF"/>
    <w:rsid w:val="000A7A1D"/>
    <w:rsid w:val="000A7CAB"/>
    <w:rsid w:val="000B1FA2"/>
    <w:rsid w:val="000B2225"/>
    <w:rsid w:val="000B4F8E"/>
    <w:rsid w:val="000B6639"/>
    <w:rsid w:val="000B6E66"/>
    <w:rsid w:val="000B6FE4"/>
    <w:rsid w:val="000B7C3F"/>
    <w:rsid w:val="000B7ED5"/>
    <w:rsid w:val="000C0DB9"/>
    <w:rsid w:val="000C1E9B"/>
    <w:rsid w:val="000C26B0"/>
    <w:rsid w:val="000C3043"/>
    <w:rsid w:val="000C419E"/>
    <w:rsid w:val="000C42AC"/>
    <w:rsid w:val="000C60F5"/>
    <w:rsid w:val="000C797B"/>
    <w:rsid w:val="000D0EC9"/>
    <w:rsid w:val="000D20E6"/>
    <w:rsid w:val="000D23D9"/>
    <w:rsid w:val="000D48A5"/>
    <w:rsid w:val="000D4B54"/>
    <w:rsid w:val="000D4D47"/>
    <w:rsid w:val="000D5A3A"/>
    <w:rsid w:val="000D73F3"/>
    <w:rsid w:val="000D752A"/>
    <w:rsid w:val="000D7C42"/>
    <w:rsid w:val="000D7D1B"/>
    <w:rsid w:val="000E1809"/>
    <w:rsid w:val="000E1A74"/>
    <w:rsid w:val="000E2312"/>
    <w:rsid w:val="000E24F2"/>
    <w:rsid w:val="000E3505"/>
    <w:rsid w:val="000E413F"/>
    <w:rsid w:val="000E4777"/>
    <w:rsid w:val="000E4AC5"/>
    <w:rsid w:val="000E628C"/>
    <w:rsid w:val="000F0112"/>
    <w:rsid w:val="000F0E91"/>
    <w:rsid w:val="000F17C8"/>
    <w:rsid w:val="000F255A"/>
    <w:rsid w:val="000F3405"/>
    <w:rsid w:val="000F3C2D"/>
    <w:rsid w:val="000F4D65"/>
    <w:rsid w:val="000F5C1D"/>
    <w:rsid w:val="000F6F89"/>
    <w:rsid w:val="000F7034"/>
    <w:rsid w:val="00100685"/>
    <w:rsid w:val="00100D5B"/>
    <w:rsid w:val="00101072"/>
    <w:rsid w:val="00102098"/>
    <w:rsid w:val="00104A0A"/>
    <w:rsid w:val="001055CC"/>
    <w:rsid w:val="001067B2"/>
    <w:rsid w:val="00110C45"/>
    <w:rsid w:val="0011240B"/>
    <w:rsid w:val="001133F4"/>
    <w:rsid w:val="0011440D"/>
    <w:rsid w:val="0011446A"/>
    <w:rsid w:val="001150E4"/>
    <w:rsid w:val="00116410"/>
    <w:rsid w:val="00116541"/>
    <w:rsid w:val="00122501"/>
    <w:rsid w:val="001238BE"/>
    <w:rsid w:val="00126ABF"/>
    <w:rsid w:val="00126FD0"/>
    <w:rsid w:val="001270CA"/>
    <w:rsid w:val="00127119"/>
    <w:rsid w:val="00127391"/>
    <w:rsid w:val="001302FF"/>
    <w:rsid w:val="00130A4D"/>
    <w:rsid w:val="00130D76"/>
    <w:rsid w:val="00132AE4"/>
    <w:rsid w:val="001337C9"/>
    <w:rsid w:val="00133808"/>
    <w:rsid w:val="00134C43"/>
    <w:rsid w:val="00134FE3"/>
    <w:rsid w:val="00141CEF"/>
    <w:rsid w:val="0014232D"/>
    <w:rsid w:val="00143011"/>
    <w:rsid w:val="00144AFF"/>
    <w:rsid w:val="00146DCE"/>
    <w:rsid w:val="00146F7C"/>
    <w:rsid w:val="00150873"/>
    <w:rsid w:val="001512B9"/>
    <w:rsid w:val="00152C87"/>
    <w:rsid w:val="001532AA"/>
    <w:rsid w:val="001532FA"/>
    <w:rsid w:val="001539E7"/>
    <w:rsid w:val="00153B7E"/>
    <w:rsid w:val="00153E6A"/>
    <w:rsid w:val="0015414D"/>
    <w:rsid w:val="001552A2"/>
    <w:rsid w:val="001554FB"/>
    <w:rsid w:val="00155B5B"/>
    <w:rsid w:val="00156BB0"/>
    <w:rsid w:val="0016493C"/>
    <w:rsid w:val="00165CFA"/>
    <w:rsid w:val="001663B1"/>
    <w:rsid w:val="00170A76"/>
    <w:rsid w:val="00173E6D"/>
    <w:rsid w:val="001744A8"/>
    <w:rsid w:val="0017455E"/>
    <w:rsid w:val="00175317"/>
    <w:rsid w:val="00175FF3"/>
    <w:rsid w:val="0017625F"/>
    <w:rsid w:val="00177B13"/>
    <w:rsid w:val="00177C68"/>
    <w:rsid w:val="00180A23"/>
    <w:rsid w:val="00180F29"/>
    <w:rsid w:val="00182124"/>
    <w:rsid w:val="00182406"/>
    <w:rsid w:val="00182557"/>
    <w:rsid w:val="00183E4F"/>
    <w:rsid w:val="0018597E"/>
    <w:rsid w:val="00186483"/>
    <w:rsid w:val="00186C00"/>
    <w:rsid w:val="00186E17"/>
    <w:rsid w:val="001870CF"/>
    <w:rsid w:val="001916E5"/>
    <w:rsid w:val="001926CF"/>
    <w:rsid w:val="00192810"/>
    <w:rsid w:val="001941D7"/>
    <w:rsid w:val="001946AD"/>
    <w:rsid w:val="0019479C"/>
    <w:rsid w:val="001A006E"/>
    <w:rsid w:val="001A0AB4"/>
    <w:rsid w:val="001A0AFA"/>
    <w:rsid w:val="001A135D"/>
    <w:rsid w:val="001A229D"/>
    <w:rsid w:val="001A291E"/>
    <w:rsid w:val="001A2CE4"/>
    <w:rsid w:val="001A38AE"/>
    <w:rsid w:val="001A56CA"/>
    <w:rsid w:val="001A7A81"/>
    <w:rsid w:val="001B0930"/>
    <w:rsid w:val="001B0E2F"/>
    <w:rsid w:val="001B1815"/>
    <w:rsid w:val="001B1C4F"/>
    <w:rsid w:val="001B2FF2"/>
    <w:rsid w:val="001B3041"/>
    <w:rsid w:val="001B7116"/>
    <w:rsid w:val="001B74E6"/>
    <w:rsid w:val="001C0A4E"/>
    <w:rsid w:val="001C10FD"/>
    <w:rsid w:val="001C1C0D"/>
    <w:rsid w:val="001C33F0"/>
    <w:rsid w:val="001C3980"/>
    <w:rsid w:val="001C3EF7"/>
    <w:rsid w:val="001C47E3"/>
    <w:rsid w:val="001C57C4"/>
    <w:rsid w:val="001C5931"/>
    <w:rsid w:val="001C64EE"/>
    <w:rsid w:val="001C6680"/>
    <w:rsid w:val="001C7331"/>
    <w:rsid w:val="001D0D46"/>
    <w:rsid w:val="001D11E0"/>
    <w:rsid w:val="001D21AD"/>
    <w:rsid w:val="001D2238"/>
    <w:rsid w:val="001D2AA8"/>
    <w:rsid w:val="001D353A"/>
    <w:rsid w:val="001D3CA5"/>
    <w:rsid w:val="001D4C21"/>
    <w:rsid w:val="001D6ED3"/>
    <w:rsid w:val="001D7972"/>
    <w:rsid w:val="001D7D4F"/>
    <w:rsid w:val="001E04D8"/>
    <w:rsid w:val="001E0FA9"/>
    <w:rsid w:val="001E2755"/>
    <w:rsid w:val="001E4811"/>
    <w:rsid w:val="001E50B7"/>
    <w:rsid w:val="001E50B8"/>
    <w:rsid w:val="001E52DC"/>
    <w:rsid w:val="001E557F"/>
    <w:rsid w:val="001E6339"/>
    <w:rsid w:val="001E789D"/>
    <w:rsid w:val="001E7E3A"/>
    <w:rsid w:val="001F0F4F"/>
    <w:rsid w:val="001F1A8F"/>
    <w:rsid w:val="001F2F14"/>
    <w:rsid w:val="001F369E"/>
    <w:rsid w:val="001F7006"/>
    <w:rsid w:val="001F7071"/>
    <w:rsid w:val="00200207"/>
    <w:rsid w:val="0020071A"/>
    <w:rsid w:val="00201371"/>
    <w:rsid w:val="00202DBE"/>
    <w:rsid w:val="00202DCA"/>
    <w:rsid w:val="002051A7"/>
    <w:rsid w:val="002106F8"/>
    <w:rsid w:val="00210DDC"/>
    <w:rsid w:val="00210E91"/>
    <w:rsid w:val="00212838"/>
    <w:rsid w:val="0021350C"/>
    <w:rsid w:val="00213D86"/>
    <w:rsid w:val="00213FE2"/>
    <w:rsid w:val="0021508C"/>
    <w:rsid w:val="002150D1"/>
    <w:rsid w:val="002157E2"/>
    <w:rsid w:val="00215940"/>
    <w:rsid w:val="00220EB1"/>
    <w:rsid w:val="00222C61"/>
    <w:rsid w:val="00224FC1"/>
    <w:rsid w:val="0022583D"/>
    <w:rsid w:val="00225BA2"/>
    <w:rsid w:val="00226623"/>
    <w:rsid w:val="00230D8E"/>
    <w:rsid w:val="00230F6C"/>
    <w:rsid w:val="00233211"/>
    <w:rsid w:val="00233267"/>
    <w:rsid w:val="0023328D"/>
    <w:rsid w:val="0023663E"/>
    <w:rsid w:val="0023667A"/>
    <w:rsid w:val="00237832"/>
    <w:rsid w:val="00241B96"/>
    <w:rsid w:val="0024386F"/>
    <w:rsid w:val="00244CB9"/>
    <w:rsid w:val="0024523E"/>
    <w:rsid w:val="002452EA"/>
    <w:rsid w:val="00245466"/>
    <w:rsid w:val="00246154"/>
    <w:rsid w:val="0024799E"/>
    <w:rsid w:val="0025210A"/>
    <w:rsid w:val="00253A80"/>
    <w:rsid w:val="00256F5B"/>
    <w:rsid w:val="00257A00"/>
    <w:rsid w:val="00257EBA"/>
    <w:rsid w:val="0026068F"/>
    <w:rsid w:val="002615DE"/>
    <w:rsid w:val="00262141"/>
    <w:rsid w:val="002630AC"/>
    <w:rsid w:val="00263563"/>
    <w:rsid w:val="00264FDA"/>
    <w:rsid w:val="0026613D"/>
    <w:rsid w:val="00267131"/>
    <w:rsid w:val="0026781E"/>
    <w:rsid w:val="00267D65"/>
    <w:rsid w:val="002701DF"/>
    <w:rsid w:val="0027028B"/>
    <w:rsid w:val="00270EB6"/>
    <w:rsid w:val="002713A2"/>
    <w:rsid w:val="00272C32"/>
    <w:rsid w:val="00273103"/>
    <w:rsid w:val="00273273"/>
    <w:rsid w:val="00273362"/>
    <w:rsid w:val="00273F2C"/>
    <w:rsid w:val="00274475"/>
    <w:rsid w:val="00274C73"/>
    <w:rsid w:val="00275299"/>
    <w:rsid w:val="002753B6"/>
    <w:rsid w:val="002758D2"/>
    <w:rsid w:val="00275DB8"/>
    <w:rsid w:val="00275F44"/>
    <w:rsid w:val="00277B8E"/>
    <w:rsid w:val="00277FF7"/>
    <w:rsid w:val="00280326"/>
    <w:rsid w:val="0028096A"/>
    <w:rsid w:val="0028237D"/>
    <w:rsid w:val="002837B0"/>
    <w:rsid w:val="002846AF"/>
    <w:rsid w:val="00285577"/>
    <w:rsid w:val="00285815"/>
    <w:rsid w:val="00285986"/>
    <w:rsid w:val="00286302"/>
    <w:rsid w:val="00286EC5"/>
    <w:rsid w:val="00287C4D"/>
    <w:rsid w:val="00287DD0"/>
    <w:rsid w:val="00287EF7"/>
    <w:rsid w:val="002916DA"/>
    <w:rsid w:val="00292B28"/>
    <w:rsid w:val="00292B42"/>
    <w:rsid w:val="0029501E"/>
    <w:rsid w:val="00295BF8"/>
    <w:rsid w:val="00296032"/>
    <w:rsid w:val="00297BAD"/>
    <w:rsid w:val="002A0525"/>
    <w:rsid w:val="002A0778"/>
    <w:rsid w:val="002A1590"/>
    <w:rsid w:val="002A2432"/>
    <w:rsid w:val="002A2707"/>
    <w:rsid w:val="002A2E5D"/>
    <w:rsid w:val="002A479E"/>
    <w:rsid w:val="002A4ADB"/>
    <w:rsid w:val="002A4C0E"/>
    <w:rsid w:val="002A4F3D"/>
    <w:rsid w:val="002A7395"/>
    <w:rsid w:val="002B1289"/>
    <w:rsid w:val="002B17D8"/>
    <w:rsid w:val="002B1C1E"/>
    <w:rsid w:val="002B3283"/>
    <w:rsid w:val="002B3AB6"/>
    <w:rsid w:val="002B3EBD"/>
    <w:rsid w:val="002B42B7"/>
    <w:rsid w:val="002B6AB0"/>
    <w:rsid w:val="002B7006"/>
    <w:rsid w:val="002C053B"/>
    <w:rsid w:val="002C1444"/>
    <w:rsid w:val="002C1B45"/>
    <w:rsid w:val="002C369E"/>
    <w:rsid w:val="002C3E2B"/>
    <w:rsid w:val="002C4D0A"/>
    <w:rsid w:val="002C52CA"/>
    <w:rsid w:val="002C62B5"/>
    <w:rsid w:val="002C6DD2"/>
    <w:rsid w:val="002C6E35"/>
    <w:rsid w:val="002C7E30"/>
    <w:rsid w:val="002D210F"/>
    <w:rsid w:val="002D2857"/>
    <w:rsid w:val="002D3A7E"/>
    <w:rsid w:val="002D4465"/>
    <w:rsid w:val="002D468F"/>
    <w:rsid w:val="002D484C"/>
    <w:rsid w:val="002D5641"/>
    <w:rsid w:val="002D67B7"/>
    <w:rsid w:val="002D7354"/>
    <w:rsid w:val="002D7CA2"/>
    <w:rsid w:val="002E1CF0"/>
    <w:rsid w:val="002E2587"/>
    <w:rsid w:val="002E271E"/>
    <w:rsid w:val="002E2EBE"/>
    <w:rsid w:val="002E30AC"/>
    <w:rsid w:val="002E4346"/>
    <w:rsid w:val="002E5054"/>
    <w:rsid w:val="002E5B82"/>
    <w:rsid w:val="002E60F2"/>
    <w:rsid w:val="002E7840"/>
    <w:rsid w:val="002F0755"/>
    <w:rsid w:val="002F07A7"/>
    <w:rsid w:val="002F1710"/>
    <w:rsid w:val="002F299F"/>
    <w:rsid w:val="002F2ED5"/>
    <w:rsid w:val="002F3061"/>
    <w:rsid w:val="002F5CCC"/>
    <w:rsid w:val="002F6758"/>
    <w:rsid w:val="002F6B94"/>
    <w:rsid w:val="0030054C"/>
    <w:rsid w:val="00301556"/>
    <w:rsid w:val="00303C25"/>
    <w:rsid w:val="0030448B"/>
    <w:rsid w:val="0030484A"/>
    <w:rsid w:val="00305A38"/>
    <w:rsid w:val="003068B0"/>
    <w:rsid w:val="00306FA9"/>
    <w:rsid w:val="003101E2"/>
    <w:rsid w:val="0031060D"/>
    <w:rsid w:val="003110E1"/>
    <w:rsid w:val="003113FE"/>
    <w:rsid w:val="0031449C"/>
    <w:rsid w:val="0031744A"/>
    <w:rsid w:val="00320C63"/>
    <w:rsid w:val="003211BE"/>
    <w:rsid w:val="003211C8"/>
    <w:rsid w:val="003221B6"/>
    <w:rsid w:val="003237CC"/>
    <w:rsid w:val="0032469D"/>
    <w:rsid w:val="00324708"/>
    <w:rsid w:val="003251AE"/>
    <w:rsid w:val="00333164"/>
    <w:rsid w:val="00333838"/>
    <w:rsid w:val="00334D87"/>
    <w:rsid w:val="00335D1E"/>
    <w:rsid w:val="00335E31"/>
    <w:rsid w:val="00336792"/>
    <w:rsid w:val="00336BC3"/>
    <w:rsid w:val="0033731F"/>
    <w:rsid w:val="003378CE"/>
    <w:rsid w:val="00340437"/>
    <w:rsid w:val="003408D0"/>
    <w:rsid w:val="00341362"/>
    <w:rsid w:val="00341374"/>
    <w:rsid w:val="0034498E"/>
    <w:rsid w:val="00345B88"/>
    <w:rsid w:val="0034722B"/>
    <w:rsid w:val="003473C7"/>
    <w:rsid w:val="00350C3D"/>
    <w:rsid w:val="00352822"/>
    <w:rsid w:val="0035543E"/>
    <w:rsid w:val="003558B0"/>
    <w:rsid w:val="003567FC"/>
    <w:rsid w:val="00357051"/>
    <w:rsid w:val="003573A2"/>
    <w:rsid w:val="00357D71"/>
    <w:rsid w:val="00361A67"/>
    <w:rsid w:val="00362A4E"/>
    <w:rsid w:val="00363897"/>
    <w:rsid w:val="00363CF1"/>
    <w:rsid w:val="00364D0A"/>
    <w:rsid w:val="003666B3"/>
    <w:rsid w:val="00366759"/>
    <w:rsid w:val="00366A39"/>
    <w:rsid w:val="00367786"/>
    <w:rsid w:val="00367B94"/>
    <w:rsid w:val="003725F7"/>
    <w:rsid w:val="00372734"/>
    <w:rsid w:val="00372BD0"/>
    <w:rsid w:val="00372C3D"/>
    <w:rsid w:val="00374938"/>
    <w:rsid w:val="00374A11"/>
    <w:rsid w:val="003757D8"/>
    <w:rsid w:val="0037735C"/>
    <w:rsid w:val="00380448"/>
    <w:rsid w:val="00380A99"/>
    <w:rsid w:val="00380B86"/>
    <w:rsid w:val="003813EE"/>
    <w:rsid w:val="00381BAF"/>
    <w:rsid w:val="00384116"/>
    <w:rsid w:val="003842DE"/>
    <w:rsid w:val="0038501D"/>
    <w:rsid w:val="003851D1"/>
    <w:rsid w:val="0038590B"/>
    <w:rsid w:val="003862C3"/>
    <w:rsid w:val="00391580"/>
    <w:rsid w:val="00391E04"/>
    <w:rsid w:val="003922EE"/>
    <w:rsid w:val="0039301B"/>
    <w:rsid w:val="00393E5E"/>
    <w:rsid w:val="00394671"/>
    <w:rsid w:val="003953A1"/>
    <w:rsid w:val="00396B1D"/>
    <w:rsid w:val="00396C39"/>
    <w:rsid w:val="003978FC"/>
    <w:rsid w:val="003A0740"/>
    <w:rsid w:val="003A2762"/>
    <w:rsid w:val="003A281D"/>
    <w:rsid w:val="003A35FC"/>
    <w:rsid w:val="003A4B2F"/>
    <w:rsid w:val="003A4DA2"/>
    <w:rsid w:val="003A5291"/>
    <w:rsid w:val="003A6817"/>
    <w:rsid w:val="003A68EB"/>
    <w:rsid w:val="003A75FF"/>
    <w:rsid w:val="003A7D43"/>
    <w:rsid w:val="003B0D3B"/>
    <w:rsid w:val="003B0F44"/>
    <w:rsid w:val="003B10AC"/>
    <w:rsid w:val="003B1FE3"/>
    <w:rsid w:val="003B2429"/>
    <w:rsid w:val="003B4213"/>
    <w:rsid w:val="003B4E88"/>
    <w:rsid w:val="003B6376"/>
    <w:rsid w:val="003B677E"/>
    <w:rsid w:val="003C1478"/>
    <w:rsid w:val="003C18E9"/>
    <w:rsid w:val="003C198F"/>
    <w:rsid w:val="003C1AD1"/>
    <w:rsid w:val="003C2DB7"/>
    <w:rsid w:val="003C487E"/>
    <w:rsid w:val="003C4E3B"/>
    <w:rsid w:val="003C5676"/>
    <w:rsid w:val="003C742D"/>
    <w:rsid w:val="003D265C"/>
    <w:rsid w:val="003D445B"/>
    <w:rsid w:val="003D519C"/>
    <w:rsid w:val="003D5CCD"/>
    <w:rsid w:val="003E01DE"/>
    <w:rsid w:val="003E02F3"/>
    <w:rsid w:val="003E28C4"/>
    <w:rsid w:val="003E2F40"/>
    <w:rsid w:val="003E3789"/>
    <w:rsid w:val="003E3D12"/>
    <w:rsid w:val="003E4C54"/>
    <w:rsid w:val="003E4EF1"/>
    <w:rsid w:val="003E4F93"/>
    <w:rsid w:val="003E598B"/>
    <w:rsid w:val="003E6D5C"/>
    <w:rsid w:val="003E6F68"/>
    <w:rsid w:val="003F0283"/>
    <w:rsid w:val="003F0D94"/>
    <w:rsid w:val="003F17DE"/>
    <w:rsid w:val="003F1A4E"/>
    <w:rsid w:val="003F28C3"/>
    <w:rsid w:val="003F2DC1"/>
    <w:rsid w:val="003F58F8"/>
    <w:rsid w:val="003F5D0A"/>
    <w:rsid w:val="003F6088"/>
    <w:rsid w:val="003F73D6"/>
    <w:rsid w:val="003F767B"/>
    <w:rsid w:val="003F76DC"/>
    <w:rsid w:val="003F7DF2"/>
    <w:rsid w:val="00400A63"/>
    <w:rsid w:val="00400AB2"/>
    <w:rsid w:val="00403002"/>
    <w:rsid w:val="004033DF"/>
    <w:rsid w:val="0040354D"/>
    <w:rsid w:val="0040495F"/>
    <w:rsid w:val="00404E40"/>
    <w:rsid w:val="00407352"/>
    <w:rsid w:val="0040756D"/>
    <w:rsid w:val="00411192"/>
    <w:rsid w:val="00411242"/>
    <w:rsid w:val="004112E5"/>
    <w:rsid w:val="004116BE"/>
    <w:rsid w:val="00411AF3"/>
    <w:rsid w:val="00412B26"/>
    <w:rsid w:val="00412EDE"/>
    <w:rsid w:val="004144F5"/>
    <w:rsid w:val="004149A4"/>
    <w:rsid w:val="00416529"/>
    <w:rsid w:val="004166D4"/>
    <w:rsid w:val="00416C8D"/>
    <w:rsid w:val="004223C9"/>
    <w:rsid w:val="004234A4"/>
    <w:rsid w:val="00425CDC"/>
    <w:rsid w:val="00430ABA"/>
    <w:rsid w:val="00430D5E"/>
    <w:rsid w:val="00430E94"/>
    <w:rsid w:val="00433099"/>
    <w:rsid w:val="00433FC1"/>
    <w:rsid w:val="004340B0"/>
    <w:rsid w:val="00435758"/>
    <w:rsid w:val="004365C8"/>
    <w:rsid w:val="00436840"/>
    <w:rsid w:val="00436958"/>
    <w:rsid w:val="004418A5"/>
    <w:rsid w:val="00441A41"/>
    <w:rsid w:val="004438B3"/>
    <w:rsid w:val="004439BA"/>
    <w:rsid w:val="00443ACC"/>
    <w:rsid w:val="00444352"/>
    <w:rsid w:val="0044457C"/>
    <w:rsid w:val="004448B3"/>
    <w:rsid w:val="00444D15"/>
    <w:rsid w:val="00444D7E"/>
    <w:rsid w:val="00445369"/>
    <w:rsid w:val="004476C4"/>
    <w:rsid w:val="004500A4"/>
    <w:rsid w:val="00451930"/>
    <w:rsid w:val="00451A38"/>
    <w:rsid w:val="004531D5"/>
    <w:rsid w:val="00456835"/>
    <w:rsid w:val="00460589"/>
    <w:rsid w:val="004606EE"/>
    <w:rsid w:val="00461F8B"/>
    <w:rsid w:val="00463FE5"/>
    <w:rsid w:val="0047035D"/>
    <w:rsid w:val="004704A8"/>
    <w:rsid w:val="00473209"/>
    <w:rsid w:val="00473CAE"/>
    <w:rsid w:val="00474FA0"/>
    <w:rsid w:val="00475923"/>
    <w:rsid w:val="00476CBF"/>
    <w:rsid w:val="00477CB4"/>
    <w:rsid w:val="00477EDA"/>
    <w:rsid w:val="00480EFC"/>
    <w:rsid w:val="004832EC"/>
    <w:rsid w:val="004833B0"/>
    <w:rsid w:val="0048513C"/>
    <w:rsid w:val="00485431"/>
    <w:rsid w:val="0048581A"/>
    <w:rsid w:val="00485A85"/>
    <w:rsid w:val="00485C74"/>
    <w:rsid w:val="00486BB8"/>
    <w:rsid w:val="004876C2"/>
    <w:rsid w:val="00487FE7"/>
    <w:rsid w:val="00490418"/>
    <w:rsid w:val="00492BFA"/>
    <w:rsid w:val="004933DC"/>
    <w:rsid w:val="004940D7"/>
    <w:rsid w:val="00495498"/>
    <w:rsid w:val="004954FA"/>
    <w:rsid w:val="00495961"/>
    <w:rsid w:val="00495D5B"/>
    <w:rsid w:val="00495F18"/>
    <w:rsid w:val="00496302"/>
    <w:rsid w:val="004A0AB6"/>
    <w:rsid w:val="004A0CFA"/>
    <w:rsid w:val="004A3E7A"/>
    <w:rsid w:val="004A421D"/>
    <w:rsid w:val="004A4684"/>
    <w:rsid w:val="004A5116"/>
    <w:rsid w:val="004A5B22"/>
    <w:rsid w:val="004A685D"/>
    <w:rsid w:val="004A6D5A"/>
    <w:rsid w:val="004B1C14"/>
    <w:rsid w:val="004B26F0"/>
    <w:rsid w:val="004B43D7"/>
    <w:rsid w:val="004B4597"/>
    <w:rsid w:val="004B535D"/>
    <w:rsid w:val="004B67D1"/>
    <w:rsid w:val="004B6879"/>
    <w:rsid w:val="004B6F8A"/>
    <w:rsid w:val="004C0CEC"/>
    <w:rsid w:val="004C2487"/>
    <w:rsid w:val="004C27E9"/>
    <w:rsid w:val="004C47EC"/>
    <w:rsid w:val="004C4D77"/>
    <w:rsid w:val="004C5061"/>
    <w:rsid w:val="004C6A3F"/>
    <w:rsid w:val="004C7B9D"/>
    <w:rsid w:val="004D0578"/>
    <w:rsid w:val="004D0A8E"/>
    <w:rsid w:val="004D215E"/>
    <w:rsid w:val="004D2E0B"/>
    <w:rsid w:val="004D3AC1"/>
    <w:rsid w:val="004D4259"/>
    <w:rsid w:val="004D4EE7"/>
    <w:rsid w:val="004D6345"/>
    <w:rsid w:val="004D6EFC"/>
    <w:rsid w:val="004D701D"/>
    <w:rsid w:val="004D71EA"/>
    <w:rsid w:val="004D75FB"/>
    <w:rsid w:val="004E05BD"/>
    <w:rsid w:val="004E0A0D"/>
    <w:rsid w:val="004E0CC5"/>
    <w:rsid w:val="004E0FD0"/>
    <w:rsid w:val="004E2EA6"/>
    <w:rsid w:val="004E327B"/>
    <w:rsid w:val="004E3781"/>
    <w:rsid w:val="004E4D9A"/>
    <w:rsid w:val="004E5AC1"/>
    <w:rsid w:val="004E62EA"/>
    <w:rsid w:val="004E66F6"/>
    <w:rsid w:val="004F000D"/>
    <w:rsid w:val="004F0B9A"/>
    <w:rsid w:val="004F0D99"/>
    <w:rsid w:val="004F1992"/>
    <w:rsid w:val="004F26B3"/>
    <w:rsid w:val="004F2E6C"/>
    <w:rsid w:val="004F36C2"/>
    <w:rsid w:val="004F5690"/>
    <w:rsid w:val="004F5F49"/>
    <w:rsid w:val="004F6D59"/>
    <w:rsid w:val="004F7BF4"/>
    <w:rsid w:val="004F7C11"/>
    <w:rsid w:val="00500E1F"/>
    <w:rsid w:val="0050276B"/>
    <w:rsid w:val="005029A0"/>
    <w:rsid w:val="0050315A"/>
    <w:rsid w:val="00504DE0"/>
    <w:rsid w:val="0050576B"/>
    <w:rsid w:val="00510834"/>
    <w:rsid w:val="0051235B"/>
    <w:rsid w:val="00512AA7"/>
    <w:rsid w:val="0051324E"/>
    <w:rsid w:val="005148BA"/>
    <w:rsid w:val="00514C25"/>
    <w:rsid w:val="0051554C"/>
    <w:rsid w:val="005158FC"/>
    <w:rsid w:val="0051637B"/>
    <w:rsid w:val="0051736C"/>
    <w:rsid w:val="00522683"/>
    <w:rsid w:val="0052280D"/>
    <w:rsid w:val="00522D36"/>
    <w:rsid w:val="00523C74"/>
    <w:rsid w:val="00524C1C"/>
    <w:rsid w:val="005256B5"/>
    <w:rsid w:val="00525801"/>
    <w:rsid w:val="00525BC6"/>
    <w:rsid w:val="00526044"/>
    <w:rsid w:val="00526631"/>
    <w:rsid w:val="0052742A"/>
    <w:rsid w:val="00530E4E"/>
    <w:rsid w:val="005313B1"/>
    <w:rsid w:val="00531B17"/>
    <w:rsid w:val="00532D44"/>
    <w:rsid w:val="005334C1"/>
    <w:rsid w:val="005335A1"/>
    <w:rsid w:val="00534D5B"/>
    <w:rsid w:val="00535941"/>
    <w:rsid w:val="00536DB6"/>
    <w:rsid w:val="00537945"/>
    <w:rsid w:val="00540413"/>
    <w:rsid w:val="005416B6"/>
    <w:rsid w:val="0054428D"/>
    <w:rsid w:val="005443B8"/>
    <w:rsid w:val="00544C7B"/>
    <w:rsid w:val="005450A8"/>
    <w:rsid w:val="0054529C"/>
    <w:rsid w:val="005457D2"/>
    <w:rsid w:val="00554A77"/>
    <w:rsid w:val="00555665"/>
    <w:rsid w:val="00555C54"/>
    <w:rsid w:val="00555E16"/>
    <w:rsid w:val="00560215"/>
    <w:rsid w:val="00560A2C"/>
    <w:rsid w:val="005612E0"/>
    <w:rsid w:val="005622B0"/>
    <w:rsid w:val="00562DD6"/>
    <w:rsid w:val="00562EE0"/>
    <w:rsid w:val="0056375D"/>
    <w:rsid w:val="005643FB"/>
    <w:rsid w:val="0056587F"/>
    <w:rsid w:val="005668F7"/>
    <w:rsid w:val="00566BF1"/>
    <w:rsid w:val="00567652"/>
    <w:rsid w:val="00571F66"/>
    <w:rsid w:val="005721C5"/>
    <w:rsid w:val="00572D21"/>
    <w:rsid w:val="00572D30"/>
    <w:rsid w:val="00573EA3"/>
    <w:rsid w:val="005748C8"/>
    <w:rsid w:val="00574C79"/>
    <w:rsid w:val="00574CDB"/>
    <w:rsid w:val="00575F0E"/>
    <w:rsid w:val="005767D1"/>
    <w:rsid w:val="005769B9"/>
    <w:rsid w:val="00576B78"/>
    <w:rsid w:val="00576CF9"/>
    <w:rsid w:val="005772FC"/>
    <w:rsid w:val="0057736E"/>
    <w:rsid w:val="0058057D"/>
    <w:rsid w:val="00583486"/>
    <w:rsid w:val="005861B0"/>
    <w:rsid w:val="0059030F"/>
    <w:rsid w:val="00592D97"/>
    <w:rsid w:val="00594D63"/>
    <w:rsid w:val="005965C8"/>
    <w:rsid w:val="005A089F"/>
    <w:rsid w:val="005A2D4E"/>
    <w:rsid w:val="005A3A16"/>
    <w:rsid w:val="005A4CF8"/>
    <w:rsid w:val="005A50DB"/>
    <w:rsid w:val="005A5350"/>
    <w:rsid w:val="005A55B1"/>
    <w:rsid w:val="005A5E70"/>
    <w:rsid w:val="005A659E"/>
    <w:rsid w:val="005A6BD3"/>
    <w:rsid w:val="005A6E34"/>
    <w:rsid w:val="005A6EE9"/>
    <w:rsid w:val="005A74CC"/>
    <w:rsid w:val="005B02F0"/>
    <w:rsid w:val="005B0687"/>
    <w:rsid w:val="005B11EA"/>
    <w:rsid w:val="005B1FC3"/>
    <w:rsid w:val="005B2259"/>
    <w:rsid w:val="005B2A54"/>
    <w:rsid w:val="005B30C4"/>
    <w:rsid w:val="005B3A7B"/>
    <w:rsid w:val="005B4FC5"/>
    <w:rsid w:val="005C009E"/>
    <w:rsid w:val="005C49A0"/>
    <w:rsid w:val="005C5F44"/>
    <w:rsid w:val="005C6B25"/>
    <w:rsid w:val="005C7A9B"/>
    <w:rsid w:val="005D0584"/>
    <w:rsid w:val="005D1F7B"/>
    <w:rsid w:val="005D252C"/>
    <w:rsid w:val="005D2934"/>
    <w:rsid w:val="005D4D2D"/>
    <w:rsid w:val="005D5B41"/>
    <w:rsid w:val="005D6134"/>
    <w:rsid w:val="005D6672"/>
    <w:rsid w:val="005E0202"/>
    <w:rsid w:val="005E0412"/>
    <w:rsid w:val="005E0658"/>
    <w:rsid w:val="005E116D"/>
    <w:rsid w:val="005E21F5"/>
    <w:rsid w:val="005E3923"/>
    <w:rsid w:val="005E647A"/>
    <w:rsid w:val="005E6493"/>
    <w:rsid w:val="005E7888"/>
    <w:rsid w:val="005E7CB0"/>
    <w:rsid w:val="005F0C11"/>
    <w:rsid w:val="005F2330"/>
    <w:rsid w:val="005F2459"/>
    <w:rsid w:val="005F3B01"/>
    <w:rsid w:val="005F4615"/>
    <w:rsid w:val="005F47DC"/>
    <w:rsid w:val="005F4BF5"/>
    <w:rsid w:val="005F5B92"/>
    <w:rsid w:val="005F6166"/>
    <w:rsid w:val="00600503"/>
    <w:rsid w:val="006006FF"/>
    <w:rsid w:val="00600AF2"/>
    <w:rsid w:val="006029F3"/>
    <w:rsid w:val="00602D6E"/>
    <w:rsid w:val="00603059"/>
    <w:rsid w:val="006047FD"/>
    <w:rsid w:val="00606E89"/>
    <w:rsid w:val="00610C87"/>
    <w:rsid w:val="00612AE0"/>
    <w:rsid w:val="006142DE"/>
    <w:rsid w:val="00614B6F"/>
    <w:rsid w:val="00615599"/>
    <w:rsid w:val="00615B0B"/>
    <w:rsid w:val="00616201"/>
    <w:rsid w:val="00617244"/>
    <w:rsid w:val="00621570"/>
    <w:rsid w:val="006215DB"/>
    <w:rsid w:val="00621B92"/>
    <w:rsid w:val="00622C01"/>
    <w:rsid w:val="00622C5A"/>
    <w:rsid w:val="00622C62"/>
    <w:rsid w:val="00623531"/>
    <w:rsid w:val="00626203"/>
    <w:rsid w:val="00627CE2"/>
    <w:rsid w:val="006308A1"/>
    <w:rsid w:val="00631BFD"/>
    <w:rsid w:val="00632B2F"/>
    <w:rsid w:val="00634014"/>
    <w:rsid w:val="00634E47"/>
    <w:rsid w:val="0063579A"/>
    <w:rsid w:val="0063756D"/>
    <w:rsid w:val="00637F63"/>
    <w:rsid w:val="00640FB9"/>
    <w:rsid w:val="00641BDD"/>
    <w:rsid w:val="0064227F"/>
    <w:rsid w:val="006429CE"/>
    <w:rsid w:val="00645032"/>
    <w:rsid w:val="00646626"/>
    <w:rsid w:val="00647488"/>
    <w:rsid w:val="00647CD3"/>
    <w:rsid w:val="00650165"/>
    <w:rsid w:val="00651899"/>
    <w:rsid w:val="00652FF8"/>
    <w:rsid w:val="00655795"/>
    <w:rsid w:val="00655DF3"/>
    <w:rsid w:val="00655FF9"/>
    <w:rsid w:val="006565FC"/>
    <w:rsid w:val="006569FF"/>
    <w:rsid w:val="00656AA3"/>
    <w:rsid w:val="0065707C"/>
    <w:rsid w:val="0065750E"/>
    <w:rsid w:val="00662F22"/>
    <w:rsid w:val="0066341A"/>
    <w:rsid w:val="00663ED2"/>
    <w:rsid w:val="006647B3"/>
    <w:rsid w:val="00664E81"/>
    <w:rsid w:val="006659D4"/>
    <w:rsid w:val="00665C64"/>
    <w:rsid w:val="00666531"/>
    <w:rsid w:val="0066688B"/>
    <w:rsid w:val="00667DA3"/>
    <w:rsid w:val="0067148D"/>
    <w:rsid w:val="0067381A"/>
    <w:rsid w:val="006777B4"/>
    <w:rsid w:val="00677C66"/>
    <w:rsid w:val="00677F79"/>
    <w:rsid w:val="00680965"/>
    <w:rsid w:val="00681120"/>
    <w:rsid w:val="00682378"/>
    <w:rsid w:val="0068291E"/>
    <w:rsid w:val="00683A2D"/>
    <w:rsid w:val="0068598E"/>
    <w:rsid w:val="00686C92"/>
    <w:rsid w:val="00687CE2"/>
    <w:rsid w:val="00691151"/>
    <w:rsid w:val="006919A6"/>
    <w:rsid w:val="00691FC3"/>
    <w:rsid w:val="00692DA8"/>
    <w:rsid w:val="006934DF"/>
    <w:rsid w:val="0069359D"/>
    <w:rsid w:val="006938F4"/>
    <w:rsid w:val="00694166"/>
    <w:rsid w:val="0069669D"/>
    <w:rsid w:val="006970ED"/>
    <w:rsid w:val="00697ABB"/>
    <w:rsid w:val="006A0A04"/>
    <w:rsid w:val="006A154B"/>
    <w:rsid w:val="006A214D"/>
    <w:rsid w:val="006A2BAD"/>
    <w:rsid w:val="006A3015"/>
    <w:rsid w:val="006A53F2"/>
    <w:rsid w:val="006A5544"/>
    <w:rsid w:val="006A569A"/>
    <w:rsid w:val="006A641C"/>
    <w:rsid w:val="006A7C89"/>
    <w:rsid w:val="006B0800"/>
    <w:rsid w:val="006B199E"/>
    <w:rsid w:val="006B1FC2"/>
    <w:rsid w:val="006B3245"/>
    <w:rsid w:val="006B51C1"/>
    <w:rsid w:val="006B5292"/>
    <w:rsid w:val="006B5DE6"/>
    <w:rsid w:val="006B5FA8"/>
    <w:rsid w:val="006C0A4A"/>
    <w:rsid w:val="006C1C28"/>
    <w:rsid w:val="006C1E50"/>
    <w:rsid w:val="006C6574"/>
    <w:rsid w:val="006C663C"/>
    <w:rsid w:val="006C6BC3"/>
    <w:rsid w:val="006C6DF3"/>
    <w:rsid w:val="006D0170"/>
    <w:rsid w:val="006D0732"/>
    <w:rsid w:val="006D47F1"/>
    <w:rsid w:val="006D4A38"/>
    <w:rsid w:val="006D5646"/>
    <w:rsid w:val="006D7C8C"/>
    <w:rsid w:val="006E0548"/>
    <w:rsid w:val="006E3F1F"/>
    <w:rsid w:val="006E43FE"/>
    <w:rsid w:val="006E5737"/>
    <w:rsid w:val="006E632F"/>
    <w:rsid w:val="006E685B"/>
    <w:rsid w:val="006E7110"/>
    <w:rsid w:val="006F1939"/>
    <w:rsid w:val="006F1B6A"/>
    <w:rsid w:val="006F23F0"/>
    <w:rsid w:val="006F2628"/>
    <w:rsid w:val="006F2BA7"/>
    <w:rsid w:val="006F2F98"/>
    <w:rsid w:val="006F430A"/>
    <w:rsid w:val="00701191"/>
    <w:rsid w:val="00701793"/>
    <w:rsid w:val="00701FB9"/>
    <w:rsid w:val="0070453C"/>
    <w:rsid w:val="007076F4"/>
    <w:rsid w:val="00710A0B"/>
    <w:rsid w:val="007125B0"/>
    <w:rsid w:val="007126D1"/>
    <w:rsid w:val="00715EFD"/>
    <w:rsid w:val="00716354"/>
    <w:rsid w:val="0071737C"/>
    <w:rsid w:val="0072037E"/>
    <w:rsid w:val="00720FA1"/>
    <w:rsid w:val="0072271D"/>
    <w:rsid w:val="00722E8A"/>
    <w:rsid w:val="0072365B"/>
    <w:rsid w:val="00723F12"/>
    <w:rsid w:val="007249EF"/>
    <w:rsid w:val="007252B2"/>
    <w:rsid w:val="00726FC8"/>
    <w:rsid w:val="00727BCE"/>
    <w:rsid w:val="00727F61"/>
    <w:rsid w:val="00730984"/>
    <w:rsid w:val="007320D1"/>
    <w:rsid w:val="007329F9"/>
    <w:rsid w:val="00732DEE"/>
    <w:rsid w:val="00733898"/>
    <w:rsid w:val="00733D83"/>
    <w:rsid w:val="00734804"/>
    <w:rsid w:val="007352F8"/>
    <w:rsid w:val="00737107"/>
    <w:rsid w:val="007371E9"/>
    <w:rsid w:val="007400CE"/>
    <w:rsid w:val="007400EF"/>
    <w:rsid w:val="0074043F"/>
    <w:rsid w:val="00740D15"/>
    <w:rsid w:val="00741747"/>
    <w:rsid w:val="0074178C"/>
    <w:rsid w:val="00743857"/>
    <w:rsid w:val="00744CFF"/>
    <w:rsid w:val="00744F19"/>
    <w:rsid w:val="0074515C"/>
    <w:rsid w:val="00745644"/>
    <w:rsid w:val="00745D29"/>
    <w:rsid w:val="00745E33"/>
    <w:rsid w:val="00746133"/>
    <w:rsid w:val="00746445"/>
    <w:rsid w:val="007468C8"/>
    <w:rsid w:val="00746922"/>
    <w:rsid w:val="00746949"/>
    <w:rsid w:val="00746B0D"/>
    <w:rsid w:val="00747359"/>
    <w:rsid w:val="0074754E"/>
    <w:rsid w:val="007476B0"/>
    <w:rsid w:val="00747B28"/>
    <w:rsid w:val="00750683"/>
    <w:rsid w:val="00751881"/>
    <w:rsid w:val="00752B0F"/>
    <w:rsid w:val="00752DCE"/>
    <w:rsid w:val="00753C66"/>
    <w:rsid w:val="0075452E"/>
    <w:rsid w:val="00754CFC"/>
    <w:rsid w:val="00755234"/>
    <w:rsid w:val="00756763"/>
    <w:rsid w:val="00760E64"/>
    <w:rsid w:val="0076147A"/>
    <w:rsid w:val="00765A8F"/>
    <w:rsid w:val="00767B98"/>
    <w:rsid w:val="0077107A"/>
    <w:rsid w:val="007717DA"/>
    <w:rsid w:val="00772C45"/>
    <w:rsid w:val="00772DCE"/>
    <w:rsid w:val="007736E5"/>
    <w:rsid w:val="0077414D"/>
    <w:rsid w:val="00774A04"/>
    <w:rsid w:val="007772C0"/>
    <w:rsid w:val="0078013A"/>
    <w:rsid w:val="0078111F"/>
    <w:rsid w:val="00782A5C"/>
    <w:rsid w:val="00783B26"/>
    <w:rsid w:val="007845E9"/>
    <w:rsid w:val="007859C0"/>
    <w:rsid w:val="00785B40"/>
    <w:rsid w:val="00786606"/>
    <w:rsid w:val="0079068D"/>
    <w:rsid w:val="0079154E"/>
    <w:rsid w:val="00792A49"/>
    <w:rsid w:val="00793D92"/>
    <w:rsid w:val="00794C0D"/>
    <w:rsid w:val="007954BD"/>
    <w:rsid w:val="0079590F"/>
    <w:rsid w:val="00795CD4"/>
    <w:rsid w:val="007971AD"/>
    <w:rsid w:val="00797AB4"/>
    <w:rsid w:val="007A1ABF"/>
    <w:rsid w:val="007A1F8A"/>
    <w:rsid w:val="007A210E"/>
    <w:rsid w:val="007A234A"/>
    <w:rsid w:val="007A4112"/>
    <w:rsid w:val="007A4E74"/>
    <w:rsid w:val="007A4FD8"/>
    <w:rsid w:val="007A5022"/>
    <w:rsid w:val="007A5F13"/>
    <w:rsid w:val="007A66CA"/>
    <w:rsid w:val="007A6D20"/>
    <w:rsid w:val="007A74FC"/>
    <w:rsid w:val="007B2C99"/>
    <w:rsid w:val="007B346B"/>
    <w:rsid w:val="007B43F2"/>
    <w:rsid w:val="007B461F"/>
    <w:rsid w:val="007B54F9"/>
    <w:rsid w:val="007B59D2"/>
    <w:rsid w:val="007B6F4C"/>
    <w:rsid w:val="007B7C20"/>
    <w:rsid w:val="007B7CCB"/>
    <w:rsid w:val="007C02D1"/>
    <w:rsid w:val="007C0B9A"/>
    <w:rsid w:val="007C1C3E"/>
    <w:rsid w:val="007C1FBB"/>
    <w:rsid w:val="007C22B5"/>
    <w:rsid w:val="007C2655"/>
    <w:rsid w:val="007C3549"/>
    <w:rsid w:val="007C3813"/>
    <w:rsid w:val="007C4280"/>
    <w:rsid w:val="007C5988"/>
    <w:rsid w:val="007C7CBB"/>
    <w:rsid w:val="007D0802"/>
    <w:rsid w:val="007D0821"/>
    <w:rsid w:val="007D0ABF"/>
    <w:rsid w:val="007D139B"/>
    <w:rsid w:val="007D1416"/>
    <w:rsid w:val="007D30F9"/>
    <w:rsid w:val="007D4700"/>
    <w:rsid w:val="007D5986"/>
    <w:rsid w:val="007D6BED"/>
    <w:rsid w:val="007D76C2"/>
    <w:rsid w:val="007E0679"/>
    <w:rsid w:val="007E0ADC"/>
    <w:rsid w:val="007E0FFE"/>
    <w:rsid w:val="007E142F"/>
    <w:rsid w:val="007E28AC"/>
    <w:rsid w:val="007E4DF6"/>
    <w:rsid w:val="007E63EA"/>
    <w:rsid w:val="007E65A7"/>
    <w:rsid w:val="007E6CA9"/>
    <w:rsid w:val="007E6EF9"/>
    <w:rsid w:val="007F01F7"/>
    <w:rsid w:val="007F0A22"/>
    <w:rsid w:val="007F3556"/>
    <w:rsid w:val="007F3600"/>
    <w:rsid w:val="007F52F5"/>
    <w:rsid w:val="00800C67"/>
    <w:rsid w:val="00801B3A"/>
    <w:rsid w:val="00801CC3"/>
    <w:rsid w:val="00803450"/>
    <w:rsid w:val="008037B4"/>
    <w:rsid w:val="00804D7A"/>
    <w:rsid w:val="00805E8D"/>
    <w:rsid w:val="00807E0B"/>
    <w:rsid w:val="00810E2E"/>
    <w:rsid w:val="00811446"/>
    <w:rsid w:val="00811BA4"/>
    <w:rsid w:val="00811D5C"/>
    <w:rsid w:val="008125EF"/>
    <w:rsid w:val="0081293B"/>
    <w:rsid w:val="008141FE"/>
    <w:rsid w:val="0081445B"/>
    <w:rsid w:val="00814A37"/>
    <w:rsid w:val="00815B4D"/>
    <w:rsid w:val="0081660B"/>
    <w:rsid w:val="00816886"/>
    <w:rsid w:val="00816924"/>
    <w:rsid w:val="00816C13"/>
    <w:rsid w:val="00821527"/>
    <w:rsid w:val="00821F40"/>
    <w:rsid w:val="00822142"/>
    <w:rsid w:val="00822207"/>
    <w:rsid w:val="00822D6D"/>
    <w:rsid w:val="008232F5"/>
    <w:rsid w:val="008243D4"/>
    <w:rsid w:val="00824A50"/>
    <w:rsid w:val="00824BBD"/>
    <w:rsid w:val="008276E8"/>
    <w:rsid w:val="00830090"/>
    <w:rsid w:val="0083027F"/>
    <w:rsid w:val="00831347"/>
    <w:rsid w:val="00831A39"/>
    <w:rsid w:val="00832C13"/>
    <w:rsid w:val="00834021"/>
    <w:rsid w:val="00834715"/>
    <w:rsid w:val="00834746"/>
    <w:rsid w:val="0083537E"/>
    <w:rsid w:val="008364DD"/>
    <w:rsid w:val="00837AAE"/>
    <w:rsid w:val="00837FA7"/>
    <w:rsid w:val="0084021A"/>
    <w:rsid w:val="0084091D"/>
    <w:rsid w:val="00840F06"/>
    <w:rsid w:val="00840FB8"/>
    <w:rsid w:val="0084291E"/>
    <w:rsid w:val="008434D9"/>
    <w:rsid w:val="00845E44"/>
    <w:rsid w:val="00847577"/>
    <w:rsid w:val="00850729"/>
    <w:rsid w:val="00852327"/>
    <w:rsid w:val="008527A3"/>
    <w:rsid w:val="00853D10"/>
    <w:rsid w:val="00853F1D"/>
    <w:rsid w:val="008544A4"/>
    <w:rsid w:val="008552C3"/>
    <w:rsid w:val="0085552D"/>
    <w:rsid w:val="00855DFB"/>
    <w:rsid w:val="00856252"/>
    <w:rsid w:val="0085691E"/>
    <w:rsid w:val="008578FD"/>
    <w:rsid w:val="0086123A"/>
    <w:rsid w:val="00861B8F"/>
    <w:rsid w:val="00861FD0"/>
    <w:rsid w:val="0086236B"/>
    <w:rsid w:val="0086238C"/>
    <w:rsid w:val="0086266A"/>
    <w:rsid w:val="008633B9"/>
    <w:rsid w:val="0086359E"/>
    <w:rsid w:val="008635E7"/>
    <w:rsid w:val="00863954"/>
    <w:rsid w:val="00863D57"/>
    <w:rsid w:val="008667B7"/>
    <w:rsid w:val="0087008E"/>
    <w:rsid w:val="008706C2"/>
    <w:rsid w:val="008708A9"/>
    <w:rsid w:val="00870DF1"/>
    <w:rsid w:val="00872653"/>
    <w:rsid w:val="00873F41"/>
    <w:rsid w:val="0087574E"/>
    <w:rsid w:val="00875BDB"/>
    <w:rsid w:val="0087639A"/>
    <w:rsid w:val="00876687"/>
    <w:rsid w:val="0087697E"/>
    <w:rsid w:val="00881B32"/>
    <w:rsid w:val="0088277C"/>
    <w:rsid w:val="00882AB2"/>
    <w:rsid w:val="00884E01"/>
    <w:rsid w:val="008860FB"/>
    <w:rsid w:val="008866FC"/>
    <w:rsid w:val="00886D01"/>
    <w:rsid w:val="0088778C"/>
    <w:rsid w:val="00887FE3"/>
    <w:rsid w:val="00890408"/>
    <w:rsid w:val="008913A3"/>
    <w:rsid w:val="00891A8F"/>
    <w:rsid w:val="00891CDE"/>
    <w:rsid w:val="008922B6"/>
    <w:rsid w:val="008961D7"/>
    <w:rsid w:val="008968F1"/>
    <w:rsid w:val="00896925"/>
    <w:rsid w:val="008978F0"/>
    <w:rsid w:val="008A0149"/>
    <w:rsid w:val="008A015B"/>
    <w:rsid w:val="008A0AB1"/>
    <w:rsid w:val="008A11F9"/>
    <w:rsid w:val="008A2004"/>
    <w:rsid w:val="008A3F77"/>
    <w:rsid w:val="008A4D00"/>
    <w:rsid w:val="008A526C"/>
    <w:rsid w:val="008A5537"/>
    <w:rsid w:val="008A62D5"/>
    <w:rsid w:val="008A6C1E"/>
    <w:rsid w:val="008A7908"/>
    <w:rsid w:val="008B024C"/>
    <w:rsid w:val="008B6387"/>
    <w:rsid w:val="008B6504"/>
    <w:rsid w:val="008B7B0A"/>
    <w:rsid w:val="008C1265"/>
    <w:rsid w:val="008C1F83"/>
    <w:rsid w:val="008C25A2"/>
    <w:rsid w:val="008C2A97"/>
    <w:rsid w:val="008C377C"/>
    <w:rsid w:val="008C5072"/>
    <w:rsid w:val="008C51B3"/>
    <w:rsid w:val="008C77A3"/>
    <w:rsid w:val="008D3522"/>
    <w:rsid w:val="008D37EE"/>
    <w:rsid w:val="008D409B"/>
    <w:rsid w:val="008D425D"/>
    <w:rsid w:val="008D4741"/>
    <w:rsid w:val="008D541D"/>
    <w:rsid w:val="008D5632"/>
    <w:rsid w:val="008D5FBB"/>
    <w:rsid w:val="008D65C5"/>
    <w:rsid w:val="008D662D"/>
    <w:rsid w:val="008D6EE5"/>
    <w:rsid w:val="008D767A"/>
    <w:rsid w:val="008D7C0C"/>
    <w:rsid w:val="008D7C9B"/>
    <w:rsid w:val="008E00E6"/>
    <w:rsid w:val="008E1463"/>
    <w:rsid w:val="008E2D98"/>
    <w:rsid w:val="008E3C4A"/>
    <w:rsid w:val="008E4329"/>
    <w:rsid w:val="008E4DDC"/>
    <w:rsid w:val="008E4E32"/>
    <w:rsid w:val="008E532B"/>
    <w:rsid w:val="008E540C"/>
    <w:rsid w:val="008E57FB"/>
    <w:rsid w:val="008E6A4C"/>
    <w:rsid w:val="008E7B5E"/>
    <w:rsid w:val="008F19CD"/>
    <w:rsid w:val="008F200B"/>
    <w:rsid w:val="008F3598"/>
    <w:rsid w:val="008F384A"/>
    <w:rsid w:val="008F3ED3"/>
    <w:rsid w:val="008F4190"/>
    <w:rsid w:val="008F522B"/>
    <w:rsid w:val="008F59A1"/>
    <w:rsid w:val="008F59CB"/>
    <w:rsid w:val="008F59CF"/>
    <w:rsid w:val="008F5BC6"/>
    <w:rsid w:val="008F65E6"/>
    <w:rsid w:val="008F7A75"/>
    <w:rsid w:val="00900E49"/>
    <w:rsid w:val="00900EF4"/>
    <w:rsid w:val="009011B6"/>
    <w:rsid w:val="00902F31"/>
    <w:rsid w:val="0090306B"/>
    <w:rsid w:val="009033E2"/>
    <w:rsid w:val="0090354F"/>
    <w:rsid w:val="00904084"/>
    <w:rsid w:val="0090419C"/>
    <w:rsid w:val="0090428B"/>
    <w:rsid w:val="00904B70"/>
    <w:rsid w:val="00906A39"/>
    <w:rsid w:val="00907E31"/>
    <w:rsid w:val="009142D6"/>
    <w:rsid w:val="009156DB"/>
    <w:rsid w:val="009214F2"/>
    <w:rsid w:val="00923636"/>
    <w:rsid w:val="0092425A"/>
    <w:rsid w:val="00924B70"/>
    <w:rsid w:val="00924EA5"/>
    <w:rsid w:val="009253B5"/>
    <w:rsid w:val="009264C0"/>
    <w:rsid w:val="00926A68"/>
    <w:rsid w:val="00927A6E"/>
    <w:rsid w:val="00927DF3"/>
    <w:rsid w:val="0092DB57"/>
    <w:rsid w:val="0093077B"/>
    <w:rsid w:val="009307AE"/>
    <w:rsid w:val="00930885"/>
    <w:rsid w:val="00931DBF"/>
    <w:rsid w:val="009339AF"/>
    <w:rsid w:val="00934BC9"/>
    <w:rsid w:val="00935762"/>
    <w:rsid w:val="00937E45"/>
    <w:rsid w:val="00940073"/>
    <w:rsid w:val="00940B49"/>
    <w:rsid w:val="00940D74"/>
    <w:rsid w:val="00941AB9"/>
    <w:rsid w:val="00942CA5"/>
    <w:rsid w:val="0094419D"/>
    <w:rsid w:val="00945089"/>
    <w:rsid w:val="009450CB"/>
    <w:rsid w:val="00946C49"/>
    <w:rsid w:val="00950750"/>
    <w:rsid w:val="00950A01"/>
    <w:rsid w:val="00951F02"/>
    <w:rsid w:val="009535E3"/>
    <w:rsid w:val="009537DC"/>
    <w:rsid w:val="00953C5C"/>
    <w:rsid w:val="0095489C"/>
    <w:rsid w:val="009554F3"/>
    <w:rsid w:val="00955BFA"/>
    <w:rsid w:val="00955EBF"/>
    <w:rsid w:val="00956054"/>
    <w:rsid w:val="00956775"/>
    <w:rsid w:val="00956A9E"/>
    <w:rsid w:val="00957DC4"/>
    <w:rsid w:val="009618C1"/>
    <w:rsid w:val="00961DEE"/>
    <w:rsid w:val="009626EE"/>
    <w:rsid w:val="009641ED"/>
    <w:rsid w:val="00966CAD"/>
    <w:rsid w:val="00967712"/>
    <w:rsid w:val="00970489"/>
    <w:rsid w:val="00970F25"/>
    <w:rsid w:val="0097121A"/>
    <w:rsid w:val="00971EB4"/>
    <w:rsid w:val="00975D4E"/>
    <w:rsid w:val="00975F8C"/>
    <w:rsid w:val="00977197"/>
    <w:rsid w:val="009773B8"/>
    <w:rsid w:val="00981039"/>
    <w:rsid w:val="00981B2F"/>
    <w:rsid w:val="00981B6A"/>
    <w:rsid w:val="00982D44"/>
    <w:rsid w:val="00982DD1"/>
    <w:rsid w:val="0098370E"/>
    <w:rsid w:val="00983C9B"/>
    <w:rsid w:val="00983D5B"/>
    <w:rsid w:val="0098420A"/>
    <w:rsid w:val="00985895"/>
    <w:rsid w:val="00985B19"/>
    <w:rsid w:val="00985D9D"/>
    <w:rsid w:val="0098681A"/>
    <w:rsid w:val="0098728A"/>
    <w:rsid w:val="0098778E"/>
    <w:rsid w:val="009917A1"/>
    <w:rsid w:val="00992B82"/>
    <w:rsid w:val="009932FC"/>
    <w:rsid w:val="0099383A"/>
    <w:rsid w:val="0099460E"/>
    <w:rsid w:val="00996DDA"/>
    <w:rsid w:val="009A27A2"/>
    <w:rsid w:val="009A2891"/>
    <w:rsid w:val="009A310E"/>
    <w:rsid w:val="009A368A"/>
    <w:rsid w:val="009A4D83"/>
    <w:rsid w:val="009A6CF5"/>
    <w:rsid w:val="009A7751"/>
    <w:rsid w:val="009B009B"/>
    <w:rsid w:val="009B0E4F"/>
    <w:rsid w:val="009B0E68"/>
    <w:rsid w:val="009B31FB"/>
    <w:rsid w:val="009B37BC"/>
    <w:rsid w:val="009B4099"/>
    <w:rsid w:val="009B4858"/>
    <w:rsid w:val="009B49F7"/>
    <w:rsid w:val="009B4FF8"/>
    <w:rsid w:val="009B5681"/>
    <w:rsid w:val="009B63BC"/>
    <w:rsid w:val="009B69D9"/>
    <w:rsid w:val="009B69ED"/>
    <w:rsid w:val="009C0571"/>
    <w:rsid w:val="009C0682"/>
    <w:rsid w:val="009C0721"/>
    <w:rsid w:val="009C0A03"/>
    <w:rsid w:val="009C0D9D"/>
    <w:rsid w:val="009C1245"/>
    <w:rsid w:val="009C2FC6"/>
    <w:rsid w:val="009C39A2"/>
    <w:rsid w:val="009C3BAA"/>
    <w:rsid w:val="009C3EFB"/>
    <w:rsid w:val="009C4980"/>
    <w:rsid w:val="009C6BE0"/>
    <w:rsid w:val="009C73D1"/>
    <w:rsid w:val="009D0BA7"/>
    <w:rsid w:val="009D20E4"/>
    <w:rsid w:val="009D2A1D"/>
    <w:rsid w:val="009D385F"/>
    <w:rsid w:val="009D4393"/>
    <w:rsid w:val="009D46A4"/>
    <w:rsid w:val="009D4B0B"/>
    <w:rsid w:val="009D58F7"/>
    <w:rsid w:val="009D6126"/>
    <w:rsid w:val="009D6621"/>
    <w:rsid w:val="009E0E43"/>
    <w:rsid w:val="009E3788"/>
    <w:rsid w:val="009E530D"/>
    <w:rsid w:val="009E5DA0"/>
    <w:rsid w:val="009E64B5"/>
    <w:rsid w:val="009E7B22"/>
    <w:rsid w:val="009F0098"/>
    <w:rsid w:val="009F0C3D"/>
    <w:rsid w:val="009F0D8B"/>
    <w:rsid w:val="009F12AE"/>
    <w:rsid w:val="009F1485"/>
    <w:rsid w:val="009F2D2C"/>
    <w:rsid w:val="009F3979"/>
    <w:rsid w:val="009F3ED2"/>
    <w:rsid w:val="009F46DB"/>
    <w:rsid w:val="009F5B7D"/>
    <w:rsid w:val="009F6680"/>
    <w:rsid w:val="009F669B"/>
    <w:rsid w:val="009F6EC5"/>
    <w:rsid w:val="00A00956"/>
    <w:rsid w:val="00A070E2"/>
    <w:rsid w:val="00A075D6"/>
    <w:rsid w:val="00A0773D"/>
    <w:rsid w:val="00A078DF"/>
    <w:rsid w:val="00A10610"/>
    <w:rsid w:val="00A11006"/>
    <w:rsid w:val="00A11E61"/>
    <w:rsid w:val="00A13272"/>
    <w:rsid w:val="00A14EF1"/>
    <w:rsid w:val="00A17414"/>
    <w:rsid w:val="00A17BAB"/>
    <w:rsid w:val="00A17D6E"/>
    <w:rsid w:val="00A20ADD"/>
    <w:rsid w:val="00A20FFA"/>
    <w:rsid w:val="00A22DF2"/>
    <w:rsid w:val="00A25065"/>
    <w:rsid w:val="00A2596B"/>
    <w:rsid w:val="00A2697E"/>
    <w:rsid w:val="00A26D1B"/>
    <w:rsid w:val="00A2779F"/>
    <w:rsid w:val="00A30805"/>
    <w:rsid w:val="00A30E13"/>
    <w:rsid w:val="00A3198B"/>
    <w:rsid w:val="00A31D62"/>
    <w:rsid w:val="00A3203B"/>
    <w:rsid w:val="00A3241F"/>
    <w:rsid w:val="00A33F72"/>
    <w:rsid w:val="00A35B87"/>
    <w:rsid w:val="00A35FDD"/>
    <w:rsid w:val="00A363CD"/>
    <w:rsid w:val="00A36611"/>
    <w:rsid w:val="00A36AB1"/>
    <w:rsid w:val="00A37846"/>
    <w:rsid w:val="00A37C29"/>
    <w:rsid w:val="00A37EE8"/>
    <w:rsid w:val="00A407B7"/>
    <w:rsid w:val="00A42BF3"/>
    <w:rsid w:val="00A42C32"/>
    <w:rsid w:val="00A43441"/>
    <w:rsid w:val="00A43442"/>
    <w:rsid w:val="00A446FF"/>
    <w:rsid w:val="00A44BE1"/>
    <w:rsid w:val="00A45DA2"/>
    <w:rsid w:val="00A467D9"/>
    <w:rsid w:val="00A46CAF"/>
    <w:rsid w:val="00A46DED"/>
    <w:rsid w:val="00A47CC1"/>
    <w:rsid w:val="00A502BE"/>
    <w:rsid w:val="00A50D9A"/>
    <w:rsid w:val="00A51D38"/>
    <w:rsid w:val="00A52588"/>
    <w:rsid w:val="00A5310B"/>
    <w:rsid w:val="00A53A84"/>
    <w:rsid w:val="00A542AE"/>
    <w:rsid w:val="00A5593F"/>
    <w:rsid w:val="00A560FB"/>
    <w:rsid w:val="00A570C8"/>
    <w:rsid w:val="00A5788C"/>
    <w:rsid w:val="00A57DD1"/>
    <w:rsid w:val="00A60342"/>
    <w:rsid w:val="00A64270"/>
    <w:rsid w:val="00A650F7"/>
    <w:rsid w:val="00A65982"/>
    <w:rsid w:val="00A65C9F"/>
    <w:rsid w:val="00A66819"/>
    <w:rsid w:val="00A66E5A"/>
    <w:rsid w:val="00A70C8C"/>
    <w:rsid w:val="00A710C3"/>
    <w:rsid w:val="00A7207F"/>
    <w:rsid w:val="00A7369F"/>
    <w:rsid w:val="00A739AC"/>
    <w:rsid w:val="00A74C25"/>
    <w:rsid w:val="00A74F1E"/>
    <w:rsid w:val="00A760C5"/>
    <w:rsid w:val="00A769AE"/>
    <w:rsid w:val="00A7713B"/>
    <w:rsid w:val="00A80C9D"/>
    <w:rsid w:val="00A811AB"/>
    <w:rsid w:val="00A83678"/>
    <w:rsid w:val="00A856CD"/>
    <w:rsid w:val="00A85AC8"/>
    <w:rsid w:val="00A8748D"/>
    <w:rsid w:val="00A87883"/>
    <w:rsid w:val="00A902AD"/>
    <w:rsid w:val="00A9063C"/>
    <w:rsid w:val="00A9115B"/>
    <w:rsid w:val="00A92EA2"/>
    <w:rsid w:val="00A9396C"/>
    <w:rsid w:val="00A93A35"/>
    <w:rsid w:val="00A96DA2"/>
    <w:rsid w:val="00A977D1"/>
    <w:rsid w:val="00AA0187"/>
    <w:rsid w:val="00AA05B4"/>
    <w:rsid w:val="00AA3128"/>
    <w:rsid w:val="00AA334F"/>
    <w:rsid w:val="00AA356F"/>
    <w:rsid w:val="00AA35BA"/>
    <w:rsid w:val="00AA58E9"/>
    <w:rsid w:val="00AA5C4F"/>
    <w:rsid w:val="00AA618A"/>
    <w:rsid w:val="00AA6221"/>
    <w:rsid w:val="00AA72EC"/>
    <w:rsid w:val="00AA7420"/>
    <w:rsid w:val="00AA7988"/>
    <w:rsid w:val="00AB068D"/>
    <w:rsid w:val="00AB1127"/>
    <w:rsid w:val="00AB11D9"/>
    <w:rsid w:val="00AB24D4"/>
    <w:rsid w:val="00AB3FF0"/>
    <w:rsid w:val="00AB5495"/>
    <w:rsid w:val="00AC05D5"/>
    <w:rsid w:val="00AC0A41"/>
    <w:rsid w:val="00AC1976"/>
    <w:rsid w:val="00AC1AA0"/>
    <w:rsid w:val="00AC4D4E"/>
    <w:rsid w:val="00AC5CBD"/>
    <w:rsid w:val="00AC5E03"/>
    <w:rsid w:val="00AC613C"/>
    <w:rsid w:val="00AC63DB"/>
    <w:rsid w:val="00AD00C9"/>
    <w:rsid w:val="00AD08F9"/>
    <w:rsid w:val="00AD0F3F"/>
    <w:rsid w:val="00AD0F4C"/>
    <w:rsid w:val="00AD12FF"/>
    <w:rsid w:val="00AD19E4"/>
    <w:rsid w:val="00AD1CC5"/>
    <w:rsid w:val="00AD231F"/>
    <w:rsid w:val="00AD2431"/>
    <w:rsid w:val="00AD263E"/>
    <w:rsid w:val="00AD28B3"/>
    <w:rsid w:val="00AD3154"/>
    <w:rsid w:val="00AD3F4F"/>
    <w:rsid w:val="00AD46E2"/>
    <w:rsid w:val="00AD4A99"/>
    <w:rsid w:val="00AD5AB1"/>
    <w:rsid w:val="00AD5CC4"/>
    <w:rsid w:val="00AD6437"/>
    <w:rsid w:val="00AD68F8"/>
    <w:rsid w:val="00AD6D3B"/>
    <w:rsid w:val="00AE1478"/>
    <w:rsid w:val="00AE19D6"/>
    <w:rsid w:val="00AE4214"/>
    <w:rsid w:val="00AE5324"/>
    <w:rsid w:val="00AF0837"/>
    <w:rsid w:val="00AF1F69"/>
    <w:rsid w:val="00AF4C33"/>
    <w:rsid w:val="00AF5032"/>
    <w:rsid w:val="00AF5357"/>
    <w:rsid w:val="00AF5DA6"/>
    <w:rsid w:val="00AF5DA9"/>
    <w:rsid w:val="00AF5DC5"/>
    <w:rsid w:val="00AF695C"/>
    <w:rsid w:val="00AF7374"/>
    <w:rsid w:val="00AF78C2"/>
    <w:rsid w:val="00AF7A57"/>
    <w:rsid w:val="00B004AD"/>
    <w:rsid w:val="00B00893"/>
    <w:rsid w:val="00B02283"/>
    <w:rsid w:val="00B022E5"/>
    <w:rsid w:val="00B022F3"/>
    <w:rsid w:val="00B03531"/>
    <w:rsid w:val="00B0488A"/>
    <w:rsid w:val="00B05278"/>
    <w:rsid w:val="00B05315"/>
    <w:rsid w:val="00B061D2"/>
    <w:rsid w:val="00B06B12"/>
    <w:rsid w:val="00B07899"/>
    <w:rsid w:val="00B078D8"/>
    <w:rsid w:val="00B10F02"/>
    <w:rsid w:val="00B11446"/>
    <w:rsid w:val="00B13F20"/>
    <w:rsid w:val="00B14015"/>
    <w:rsid w:val="00B14B31"/>
    <w:rsid w:val="00B14B97"/>
    <w:rsid w:val="00B159E6"/>
    <w:rsid w:val="00B16A8A"/>
    <w:rsid w:val="00B16D4F"/>
    <w:rsid w:val="00B224E6"/>
    <w:rsid w:val="00B22B89"/>
    <w:rsid w:val="00B22DCC"/>
    <w:rsid w:val="00B24154"/>
    <w:rsid w:val="00B25D31"/>
    <w:rsid w:val="00B2658E"/>
    <w:rsid w:val="00B272BF"/>
    <w:rsid w:val="00B32F6B"/>
    <w:rsid w:val="00B341C3"/>
    <w:rsid w:val="00B352FE"/>
    <w:rsid w:val="00B3712F"/>
    <w:rsid w:val="00B409BB"/>
    <w:rsid w:val="00B40CF0"/>
    <w:rsid w:val="00B4296D"/>
    <w:rsid w:val="00B42F01"/>
    <w:rsid w:val="00B44FAC"/>
    <w:rsid w:val="00B461AA"/>
    <w:rsid w:val="00B5056C"/>
    <w:rsid w:val="00B506F9"/>
    <w:rsid w:val="00B513CC"/>
    <w:rsid w:val="00B54B39"/>
    <w:rsid w:val="00B57870"/>
    <w:rsid w:val="00B57B4B"/>
    <w:rsid w:val="00B65282"/>
    <w:rsid w:val="00B67AF8"/>
    <w:rsid w:val="00B67F04"/>
    <w:rsid w:val="00B705A8"/>
    <w:rsid w:val="00B7173A"/>
    <w:rsid w:val="00B7220C"/>
    <w:rsid w:val="00B73059"/>
    <w:rsid w:val="00B73999"/>
    <w:rsid w:val="00B74A40"/>
    <w:rsid w:val="00B75371"/>
    <w:rsid w:val="00B75B8A"/>
    <w:rsid w:val="00B76B38"/>
    <w:rsid w:val="00B76DCB"/>
    <w:rsid w:val="00B76FB4"/>
    <w:rsid w:val="00B77924"/>
    <w:rsid w:val="00B8096F"/>
    <w:rsid w:val="00B83D12"/>
    <w:rsid w:val="00B85804"/>
    <w:rsid w:val="00B8584A"/>
    <w:rsid w:val="00B85F07"/>
    <w:rsid w:val="00B874AF"/>
    <w:rsid w:val="00B90357"/>
    <w:rsid w:val="00B90C3C"/>
    <w:rsid w:val="00B90FEB"/>
    <w:rsid w:val="00B913D1"/>
    <w:rsid w:val="00B92321"/>
    <w:rsid w:val="00B938D1"/>
    <w:rsid w:val="00B93BBC"/>
    <w:rsid w:val="00B93D31"/>
    <w:rsid w:val="00B93E7F"/>
    <w:rsid w:val="00B94D31"/>
    <w:rsid w:val="00B9571A"/>
    <w:rsid w:val="00B974AC"/>
    <w:rsid w:val="00BA13D7"/>
    <w:rsid w:val="00BA18C9"/>
    <w:rsid w:val="00BA29F7"/>
    <w:rsid w:val="00BA2A47"/>
    <w:rsid w:val="00BA4043"/>
    <w:rsid w:val="00BA4522"/>
    <w:rsid w:val="00BA4D0B"/>
    <w:rsid w:val="00BA5678"/>
    <w:rsid w:val="00BA5C17"/>
    <w:rsid w:val="00BA69E2"/>
    <w:rsid w:val="00BB0049"/>
    <w:rsid w:val="00BB1187"/>
    <w:rsid w:val="00BB1C6C"/>
    <w:rsid w:val="00BB2052"/>
    <w:rsid w:val="00BB2D66"/>
    <w:rsid w:val="00BB2E75"/>
    <w:rsid w:val="00BB2F6A"/>
    <w:rsid w:val="00BB2FEC"/>
    <w:rsid w:val="00BB325F"/>
    <w:rsid w:val="00BB39C2"/>
    <w:rsid w:val="00BB5812"/>
    <w:rsid w:val="00BB6437"/>
    <w:rsid w:val="00BB7D1E"/>
    <w:rsid w:val="00BC148A"/>
    <w:rsid w:val="00BC1803"/>
    <w:rsid w:val="00BC2581"/>
    <w:rsid w:val="00BC5914"/>
    <w:rsid w:val="00BC68E6"/>
    <w:rsid w:val="00BC6B2B"/>
    <w:rsid w:val="00BC6F66"/>
    <w:rsid w:val="00BC72AB"/>
    <w:rsid w:val="00BC72FD"/>
    <w:rsid w:val="00BC7338"/>
    <w:rsid w:val="00BD1C9D"/>
    <w:rsid w:val="00BD219E"/>
    <w:rsid w:val="00BD2479"/>
    <w:rsid w:val="00BD72F9"/>
    <w:rsid w:val="00BD753E"/>
    <w:rsid w:val="00BD7E7A"/>
    <w:rsid w:val="00BE0252"/>
    <w:rsid w:val="00BE0CFC"/>
    <w:rsid w:val="00BE1541"/>
    <w:rsid w:val="00BE1D40"/>
    <w:rsid w:val="00BE214C"/>
    <w:rsid w:val="00BE2A8E"/>
    <w:rsid w:val="00BE2AA0"/>
    <w:rsid w:val="00BE370F"/>
    <w:rsid w:val="00BE3FF6"/>
    <w:rsid w:val="00BE50A9"/>
    <w:rsid w:val="00BE5266"/>
    <w:rsid w:val="00BE5787"/>
    <w:rsid w:val="00BE6EFC"/>
    <w:rsid w:val="00BE7E48"/>
    <w:rsid w:val="00BF0315"/>
    <w:rsid w:val="00BF0AB8"/>
    <w:rsid w:val="00BF11E8"/>
    <w:rsid w:val="00BF2459"/>
    <w:rsid w:val="00BF3448"/>
    <w:rsid w:val="00BF4F2F"/>
    <w:rsid w:val="00BF4F45"/>
    <w:rsid w:val="00BF6C0A"/>
    <w:rsid w:val="00BF73BE"/>
    <w:rsid w:val="00BF7B87"/>
    <w:rsid w:val="00C0033E"/>
    <w:rsid w:val="00C00464"/>
    <w:rsid w:val="00C020E7"/>
    <w:rsid w:val="00C02D5D"/>
    <w:rsid w:val="00C02F88"/>
    <w:rsid w:val="00C0302C"/>
    <w:rsid w:val="00C03DAB"/>
    <w:rsid w:val="00C0512D"/>
    <w:rsid w:val="00C063CA"/>
    <w:rsid w:val="00C06EC4"/>
    <w:rsid w:val="00C07E85"/>
    <w:rsid w:val="00C1027D"/>
    <w:rsid w:val="00C111BD"/>
    <w:rsid w:val="00C11861"/>
    <w:rsid w:val="00C120A8"/>
    <w:rsid w:val="00C126EF"/>
    <w:rsid w:val="00C151F0"/>
    <w:rsid w:val="00C17149"/>
    <w:rsid w:val="00C21C6E"/>
    <w:rsid w:val="00C232DC"/>
    <w:rsid w:val="00C2330E"/>
    <w:rsid w:val="00C24EE1"/>
    <w:rsid w:val="00C2519D"/>
    <w:rsid w:val="00C261F7"/>
    <w:rsid w:val="00C26B90"/>
    <w:rsid w:val="00C26F4B"/>
    <w:rsid w:val="00C27541"/>
    <w:rsid w:val="00C3074A"/>
    <w:rsid w:val="00C31904"/>
    <w:rsid w:val="00C31D06"/>
    <w:rsid w:val="00C33821"/>
    <w:rsid w:val="00C35955"/>
    <w:rsid w:val="00C37DC0"/>
    <w:rsid w:val="00C403C7"/>
    <w:rsid w:val="00C411A6"/>
    <w:rsid w:val="00C412BF"/>
    <w:rsid w:val="00C413B4"/>
    <w:rsid w:val="00C421C5"/>
    <w:rsid w:val="00C43BA9"/>
    <w:rsid w:val="00C44780"/>
    <w:rsid w:val="00C450DB"/>
    <w:rsid w:val="00C501BF"/>
    <w:rsid w:val="00C5270E"/>
    <w:rsid w:val="00C52980"/>
    <w:rsid w:val="00C5308B"/>
    <w:rsid w:val="00C550C3"/>
    <w:rsid w:val="00C558CC"/>
    <w:rsid w:val="00C55A21"/>
    <w:rsid w:val="00C566E4"/>
    <w:rsid w:val="00C56A7F"/>
    <w:rsid w:val="00C57C2F"/>
    <w:rsid w:val="00C6021F"/>
    <w:rsid w:val="00C60725"/>
    <w:rsid w:val="00C60CDF"/>
    <w:rsid w:val="00C61257"/>
    <w:rsid w:val="00C61D9A"/>
    <w:rsid w:val="00C62233"/>
    <w:rsid w:val="00C634C4"/>
    <w:rsid w:val="00C6359B"/>
    <w:rsid w:val="00C63681"/>
    <w:rsid w:val="00C63A76"/>
    <w:rsid w:val="00C63D5D"/>
    <w:rsid w:val="00C64658"/>
    <w:rsid w:val="00C668EA"/>
    <w:rsid w:val="00C679F6"/>
    <w:rsid w:val="00C705C0"/>
    <w:rsid w:val="00C7275B"/>
    <w:rsid w:val="00C72F5A"/>
    <w:rsid w:val="00C73F31"/>
    <w:rsid w:val="00C746E0"/>
    <w:rsid w:val="00C75D1A"/>
    <w:rsid w:val="00C75FB9"/>
    <w:rsid w:val="00C76768"/>
    <w:rsid w:val="00C768CA"/>
    <w:rsid w:val="00C77015"/>
    <w:rsid w:val="00C80264"/>
    <w:rsid w:val="00C80E9F"/>
    <w:rsid w:val="00C82354"/>
    <w:rsid w:val="00C83687"/>
    <w:rsid w:val="00C83A45"/>
    <w:rsid w:val="00C85502"/>
    <w:rsid w:val="00C86017"/>
    <w:rsid w:val="00C877D7"/>
    <w:rsid w:val="00C91928"/>
    <w:rsid w:val="00C92053"/>
    <w:rsid w:val="00C92D97"/>
    <w:rsid w:val="00C95DD1"/>
    <w:rsid w:val="00C96748"/>
    <w:rsid w:val="00C96933"/>
    <w:rsid w:val="00C97F3A"/>
    <w:rsid w:val="00CA0832"/>
    <w:rsid w:val="00CA087C"/>
    <w:rsid w:val="00CA1A5C"/>
    <w:rsid w:val="00CA1FC7"/>
    <w:rsid w:val="00CA3613"/>
    <w:rsid w:val="00CA3DAA"/>
    <w:rsid w:val="00CA3F30"/>
    <w:rsid w:val="00CA4CCB"/>
    <w:rsid w:val="00CA65CA"/>
    <w:rsid w:val="00CA6CEC"/>
    <w:rsid w:val="00CA6E3A"/>
    <w:rsid w:val="00CA7466"/>
    <w:rsid w:val="00CA779C"/>
    <w:rsid w:val="00CA78A5"/>
    <w:rsid w:val="00CA7F76"/>
    <w:rsid w:val="00CB04C8"/>
    <w:rsid w:val="00CB232D"/>
    <w:rsid w:val="00CB237F"/>
    <w:rsid w:val="00CB5DF7"/>
    <w:rsid w:val="00CC01A3"/>
    <w:rsid w:val="00CC1F30"/>
    <w:rsid w:val="00CC3964"/>
    <w:rsid w:val="00CC471D"/>
    <w:rsid w:val="00CC65EB"/>
    <w:rsid w:val="00CC72F5"/>
    <w:rsid w:val="00CD1996"/>
    <w:rsid w:val="00CD2027"/>
    <w:rsid w:val="00CD5879"/>
    <w:rsid w:val="00CD6838"/>
    <w:rsid w:val="00CD7B9A"/>
    <w:rsid w:val="00CE0872"/>
    <w:rsid w:val="00CE0891"/>
    <w:rsid w:val="00CE133B"/>
    <w:rsid w:val="00CE25CF"/>
    <w:rsid w:val="00CE2B9C"/>
    <w:rsid w:val="00CE4AFF"/>
    <w:rsid w:val="00CE6537"/>
    <w:rsid w:val="00CE73F2"/>
    <w:rsid w:val="00CE7A76"/>
    <w:rsid w:val="00CF0305"/>
    <w:rsid w:val="00CF05B8"/>
    <w:rsid w:val="00CF1ED7"/>
    <w:rsid w:val="00CF1FD7"/>
    <w:rsid w:val="00CF26AF"/>
    <w:rsid w:val="00CF31E4"/>
    <w:rsid w:val="00CF3380"/>
    <w:rsid w:val="00CF3526"/>
    <w:rsid w:val="00CF3B10"/>
    <w:rsid w:val="00CF4186"/>
    <w:rsid w:val="00CF56B9"/>
    <w:rsid w:val="00CF636C"/>
    <w:rsid w:val="00D0023C"/>
    <w:rsid w:val="00D0052E"/>
    <w:rsid w:val="00D0103F"/>
    <w:rsid w:val="00D010A3"/>
    <w:rsid w:val="00D02CCB"/>
    <w:rsid w:val="00D03187"/>
    <w:rsid w:val="00D05251"/>
    <w:rsid w:val="00D0540E"/>
    <w:rsid w:val="00D05D77"/>
    <w:rsid w:val="00D06241"/>
    <w:rsid w:val="00D06874"/>
    <w:rsid w:val="00D06A32"/>
    <w:rsid w:val="00D06B9F"/>
    <w:rsid w:val="00D06DEE"/>
    <w:rsid w:val="00D10147"/>
    <w:rsid w:val="00D10828"/>
    <w:rsid w:val="00D10F06"/>
    <w:rsid w:val="00D119BF"/>
    <w:rsid w:val="00D121D9"/>
    <w:rsid w:val="00D1528C"/>
    <w:rsid w:val="00D158B3"/>
    <w:rsid w:val="00D15B3E"/>
    <w:rsid w:val="00D16699"/>
    <w:rsid w:val="00D16B72"/>
    <w:rsid w:val="00D16C72"/>
    <w:rsid w:val="00D17788"/>
    <w:rsid w:val="00D20398"/>
    <w:rsid w:val="00D21F94"/>
    <w:rsid w:val="00D22003"/>
    <w:rsid w:val="00D2201C"/>
    <w:rsid w:val="00D2240C"/>
    <w:rsid w:val="00D22421"/>
    <w:rsid w:val="00D22A77"/>
    <w:rsid w:val="00D23790"/>
    <w:rsid w:val="00D23A20"/>
    <w:rsid w:val="00D2492B"/>
    <w:rsid w:val="00D25BA3"/>
    <w:rsid w:val="00D25D64"/>
    <w:rsid w:val="00D25F85"/>
    <w:rsid w:val="00D26E38"/>
    <w:rsid w:val="00D276AD"/>
    <w:rsid w:val="00D30E84"/>
    <w:rsid w:val="00D315A9"/>
    <w:rsid w:val="00D31D5E"/>
    <w:rsid w:val="00D325F9"/>
    <w:rsid w:val="00D33104"/>
    <w:rsid w:val="00D33F7F"/>
    <w:rsid w:val="00D3420E"/>
    <w:rsid w:val="00D34533"/>
    <w:rsid w:val="00D345AF"/>
    <w:rsid w:val="00D346EE"/>
    <w:rsid w:val="00D34846"/>
    <w:rsid w:val="00D35214"/>
    <w:rsid w:val="00D35B63"/>
    <w:rsid w:val="00D36B9E"/>
    <w:rsid w:val="00D4105E"/>
    <w:rsid w:val="00D41605"/>
    <w:rsid w:val="00D41BD4"/>
    <w:rsid w:val="00D424BA"/>
    <w:rsid w:val="00D43385"/>
    <w:rsid w:val="00D454DC"/>
    <w:rsid w:val="00D45778"/>
    <w:rsid w:val="00D45D42"/>
    <w:rsid w:val="00D5093C"/>
    <w:rsid w:val="00D50944"/>
    <w:rsid w:val="00D5187D"/>
    <w:rsid w:val="00D51AC7"/>
    <w:rsid w:val="00D52EAD"/>
    <w:rsid w:val="00D53BDD"/>
    <w:rsid w:val="00D54201"/>
    <w:rsid w:val="00D54329"/>
    <w:rsid w:val="00D54D89"/>
    <w:rsid w:val="00D54DC1"/>
    <w:rsid w:val="00D557E9"/>
    <w:rsid w:val="00D568BF"/>
    <w:rsid w:val="00D57D0E"/>
    <w:rsid w:val="00D62E96"/>
    <w:rsid w:val="00D633AF"/>
    <w:rsid w:val="00D654A1"/>
    <w:rsid w:val="00D66311"/>
    <w:rsid w:val="00D67CAF"/>
    <w:rsid w:val="00D7000A"/>
    <w:rsid w:val="00D700C9"/>
    <w:rsid w:val="00D7032D"/>
    <w:rsid w:val="00D708B2"/>
    <w:rsid w:val="00D70FBB"/>
    <w:rsid w:val="00D715B1"/>
    <w:rsid w:val="00D72637"/>
    <w:rsid w:val="00D73262"/>
    <w:rsid w:val="00D73445"/>
    <w:rsid w:val="00D7499B"/>
    <w:rsid w:val="00D764C6"/>
    <w:rsid w:val="00D76B4C"/>
    <w:rsid w:val="00D80193"/>
    <w:rsid w:val="00D811FE"/>
    <w:rsid w:val="00D813C8"/>
    <w:rsid w:val="00D8337F"/>
    <w:rsid w:val="00D84D3E"/>
    <w:rsid w:val="00D85485"/>
    <w:rsid w:val="00D8623A"/>
    <w:rsid w:val="00D867FB"/>
    <w:rsid w:val="00D8699E"/>
    <w:rsid w:val="00D90FB3"/>
    <w:rsid w:val="00D91CF0"/>
    <w:rsid w:val="00D91D0F"/>
    <w:rsid w:val="00D9204F"/>
    <w:rsid w:val="00D93755"/>
    <w:rsid w:val="00D937BC"/>
    <w:rsid w:val="00D93A4B"/>
    <w:rsid w:val="00D942F2"/>
    <w:rsid w:val="00D97EA9"/>
    <w:rsid w:val="00DA0876"/>
    <w:rsid w:val="00DA1F80"/>
    <w:rsid w:val="00DA2140"/>
    <w:rsid w:val="00DA3652"/>
    <w:rsid w:val="00DA4353"/>
    <w:rsid w:val="00DA4DB6"/>
    <w:rsid w:val="00DA4E2A"/>
    <w:rsid w:val="00DA5191"/>
    <w:rsid w:val="00DA555C"/>
    <w:rsid w:val="00DA5BD2"/>
    <w:rsid w:val="00DA5E4B"/>
    <w:rsid w:val="00DA60F3"/>
    <w:rsid w:val="00DB0066"/>
    <w:rsid w:val="00DB14CB"/>
    <w:rsid w:val="00DB15D0"/>
    <w:rsid w:val="00DB23EC"/>
    <w:rsid w:val="00DB2437"/>
    <w:rsid w:val="00DB2990"/>
    <w:rsid w:val="00DB2A18"/>
    <w:rsid w:val="00DB3536"/>
    <w:rsid w:val="00DB3745"/>
    <w:rsid w:val="00DB4533"/>
    <w:rsid w:val="00DB7948"/>
    <w:rsid w:val="00DC09A0"/>
    <w:rsid w:val="00DC18F1"/>
    <w:rsid w:val="00DC24D3"/>
    <w:rsid w:val="00DC32D0"/>
    <w:rsid w:val="00DC6466"/>
    <w:rsid w:val="00DC7AA6"/>
    <w:rsid w:val="00DD0A55"/>
    <w:rsid w:val="00DD1A9E"/>
    <w:rsid w:val="00DD40FF"/>
    <w:rsid w:val="00DD44C5"/>
    <w:rsid w:val="00DD519E"/>
    <w:rsid w:val="00DD6F59"/>
    <w:rsid w:val="00DE0068"/>
    <w:rsid w:val="00DE05D0"/>
    <w:rsid w:val="00DE0D79"/>
    <w:rsid w:val="00DE17D7"/>
    <w:rsid w:val="00DE1D7A"/>
    <w:rsid w:val="00DE6C86"/>
    <w:rsid w:val="00DF1624"/>
    <w:rsid w:val="00DF1C98"/>
    <w:rsid w:val="00DF1F36"/>
    <w:rsid w:val="00DF300E"/>
    <w:rsid w:val="00DF50E4"/>
    <w:rsid w:val="00DF56BD"/>
    <w:rsid w:val="00E01897"/>
    <w:rsid w:val="00E02F2F"/>
    <w:rsid w:val="00E03372"/>
    <w:rsid w:val="00E04239"/>
    <w:rsid w:val="00E05E72"/>
    <w:rsid w:val="00E06F4C"/>
    <w:rsid w:val="00E06F8A"/>
    <w:rsid w:val="00E10E24"/>
    <w:rsid w:val="00E114A0"/>
    <w:rsid w:val="00E115D5"/>
    <w:rsid w:val="00E11D63"/>
    <w:rsid w:val="00E13286"/>
    <w:rsid w:val="00E132D6"/>
    <w:rsid w:val="00E13402"/>
    <w:rsid w:val="00E13B41"/>
    <w:rsid w:val="00E14621"/>
    <w:rsid w:val="00E14BDD"/>
    <w:rsid w:val="00E16E3C"/>
    <w:rsid w:val="00E208A3"/>
    <w:rsid w:val="00E21A54"/>
    <w:rsid w:val="00E21F5F"/>
    <w:rsid w:val="00E22456"/>
    <w:rsid w:val="00E241FD"/>
    <w:rsid w:val="00E24748"/>
    <w:rsid w:val="00E24C3A"/>
    <w:rsid w:val="00E24E0A"/>
    <w:rsid w:val="00E25B1D"/>
    <w:rsid w:val="00E25D17"/>
    <w:rsid w:val="00E262C0"/>
    <w:rsid w:val="00E26A34"/>
    <w:rsid w:val="00E26AF4"/>
    <w:rsid w:val="00E274DE"/>
    <w:rsid w:val="00E278D9"/>
    <w:rsid w:val="00E27D02"/>
    <w:rsid w:val="00E3064A"/>
    <w:rsid w:val="00E320D7"/>
    <w:rsid w:val="00E32927"/>
    <w:rsid w:val="00E35609"/>
    <w:rsid w:val="00E36564"/>
    <w:rsid w:val="00E372CE"/>
    <w:rsid w:val="00E37409"/>
    <w:rsid w:val="00E405A6"/>
    <w:rsid w:val="00E40602"/>
    <w:rsid w:val="00E40B13"/>
    <w:rsid w:val="00E40F0C"/>
    <w:rsid w:val="00E41042"/>
    <w:rsid w:val="00E410B8"/>
    <w:rsid w:val="00E437AE"/>
    <w:rsid w:val="00E43AE7"/>
    <w:rsid w:val="00E43DD2"/>
    <w:rsid w:val="00E44A3F"/>
    <w:rsid w:val="00E45C73"/>
    <w:rsid w:val="00E47829"/>
    <w:rsid w:val="00E50465"/>
    <w:rsid w:val="00E508AC"/>
    <w:rsid w:val="00E524B0"/>
    <w:rsid w:val="00E544BC"/>
    <w:rsid w:val="00E55B02"/>
    <w:rsid w:val="00E55BAF"/>
    <w:rsid w:val="00E57A45"/>
    <w:rsid w:val="00E60B75"/>
    <w:rsid w:val="00E61678"/>
    <w:rsid w:val="00E6200F"/>
    <w:rsid w:val="00E62101"/>
    <w:rsid w:val="00E6241E"/>
    <w:rsid w:val="00E645E4"/>
    <w:rsid w:val="00E67FE8"/>
    <w:rsid w:val="00E71B18"/>
    <w:rsid w:val="00E72A6C"/>
    <w:rsid w:val="00E753EF"/>
    <w:rsid w:val="00E75F0A"/>
    <w:rsid w:val="00E75F7A"/>
    <w:rsid w:val="00E7749E"/>
    <w:rsid w:val="00E77587"/>
    <w:rsid w:val="00E80213"/>
    <w:rsid w:val="00E80472"/>
    <w:rsid w:val="00E8058E"/>
    <w:rsid w:val="00E809F7"/>
    <w:rsid w:val="00E80CC9"/>
    <w:rsid w:val="00E81D4E"/>
    <w:rsid w:val="00E82291"/>
    <w:rsid w:val="00E83796"/>
    <w:rsid w:val="00E84600"/>
    <w:rsid w:val="00E84A40"/>
    <w:rsid w:val="00E84AFC"/>
    <w:rsid w:val="00E86541"/>
    <w:rsid w:val="00E8756D"/>
    <w:rsid w:val="00E90C8D"/>
    <w:rsid w:val="00E90CCE"/>
    <w:rsid w:val="00E90E97"/>
    <w:rsid w:val="00E922B7"/>
    <w:rsid w:val="00E928BB"/>
    <w:rsid w:val="00E93820"/>
    <w:rsid w:val="00E93FCE"/>
    <w:rsid w:val="00E94160"/>
    <w:rsid w:val="00E94CDE"/>
    <w:rsid w:val="00E960D6"/>
    <w:rsid w:val="00E96DA7"/>
    <w:rsid w:val="00E97064"/>
    <w:rsid w:val="00EA0222"/>
    <w:rsid w:val="00EA071B"/>
    <w:rsid w:val="00EA087D"/>
    <w:rsid w:val="00EA0A39"/>
    <w:rsid w:val="00EA1B2E"/>
    <w:rsid w:val="00EA2E52"/>
    <w:rsid w:val="00EA4EE5"/>
    <w:rsid w:val="00EA61C5"/>
    <w:rsid w:val="00EA62AB"/>
    <w:rsid w:val="00EA6AA4"/>
    <w:rsid w:val="00EA6F55"/>
    <w:rsid w:val="00EA725B"/>
    <w:rsid w:val="00EA7CF6"/>
    <w:rsid w:val="00EA7E06"/>
    <w:rsid w:val="00EB053F"/>
    <w:rsid w:val="00EB0DF4"/>
    <w:rsid w:val="00EB1BB4"/>
    <w:rsid w:val="00EB1F83"/>
    <w:rsid w:val="00EB4372"/>
    <w:rsid w:val="00EB4A25"/>
    <w:rsid w:val="00EB57F5"/>
    <w:rsid w:val="00EB65C5"/>
    <w:rsid w:val="00EB7053"/>
    <w:rsid w:val="00EC1C3D"/>
    <w:rsid w:val="00EC1D35"/>
    <w:rsid w:val="00EC2C7E"/>
    <w:rsid w:val="00EC31CD"/>
    <w:rsid w:val="00EC3CD0"/>
    <w:rsid w:val="00EC479A"/>
    <w:rsid w:val="00EC4882"/>
    <w:rsid w:val="00EC4A5A"/>
    <w:rsid w:val="00EC4C77"/>
    <w:rsid w:val="00EC5979"/>
    <w:rsid w:val="00EC63C2"/>
    <w:rsid w:val="00EC6417"/>
    <w:rsid w:val="00EC6A9F"/>
    <w:rsid w:val="00EC7243"/>
    <w:rsid w:val="00ED12DC"/>
    <w:rsid w:val="00ED1A97"/>
    <w:rsid w:val="00ED1AB2"/>
    <w:rsid w:val="00ED33BE"/>
    <w:rsid w:val="00ED3EB1"/>
    <w:rsid w:val="00ED529E"/>
    <w:rsid w:val="00ED6C3C"/>
    <w:rsid w:val="00ED6E7E"/>
    <w:rsid w:val="00ED778C"/>
    <w:rsid w:val="00EE0945"/>
    <w:rsid w:val="00EE1A78"/>
    <w:rsid w:val="00EE1FC7"/>
    <w:rsid w:val="00EE293B"/>
    <w:rsid w:val="00EE29E3"/>
    <w:rsid w:val="00EE43A5"/>
    <w:rsid w:val="00EE44B3"/>
    <w:rsid w:val="00EE475F"/>
    <w:rsid w:val="00EE7875"/>
    <w:rsid w:val="00EE7BC5"/>
    <w:rsid w:val="00EF11E1"/>
    <w:rsid w:val="00EF17CA"/>
    <w:rsid w:val="00EF1AFB"/>
    <w:rsid w:val="00EF1EAD"/>
    <w:rsid w:val="00EF3CA7"/>
    <w:rsid w:val="00EF4514"/>
    <w:rsid w:val="00EF46B6"/>
    <w:rsid w:val="00EF4B16"/>
    <w:rsid w:val="00EF4D42"/>
    <w:rsid w:val="00EF5257"/>
    <w:rsid w:val="00EF543C"/>
    <w:rsid w:val="00EF5457"/>
    <w:rsid w:val="00F00545"/>
    <w:rsid w:val="00F03C13"/>
    <w:rsid w:val="00F05AEB"/>
    <w:rsid w:val="00F05B2F"/>
    <w:rsid w:val="00F06194"/>
    <w:rsid w:val="00F0667F"/>
    <w:rsid w:val="00F06F22"/>
    <w:rsid w:val="00F07907"/>
    <w:rsid w:val="00F07DDE"/>
    <w:rsid w:val="00F1052F"/>
    <w:rsid w:val="00F1231D"/>
    <w:rsid w:val="00F12A92"/>
    <w:rsid w:val="00F1301A"/>
    <w:rsid w:val="00F13A85"/>
    <w:rsid w:val="00F13F86"/>
    <w:rsid w:val="00F14EAA"/>
    <w:rsid w:val="00F15655"/>
    <w:rsid w:val="00F169DA"/>
    <w:rsid w:val="00F17031"/>
    <w:rsid w:val="00F17F73"/>
    <w:rsid w:val="00F20563"/>
    <w:rsid w:val="00F20F34"/>
    <w:rsid w:val="00F21947"/>
    <w:rsid w:val="00F21BB1"/>
    <w:rsid w:val="00F21FC7"/>
    <w:rsid w:val="00F232E0"/>
    <w:rsid w:val="00F247D6"/>
    <w:rsid w:val="00F30ADF"/>
    <w:rsid w:val="00F3296E"/>
    <w:rsid w:val="00F33616"/>
    <w:rsid w:val="00F33E81"/>
    <w:rsid w:val="00F35DA4"/>
    <w:rsid w:val="00F366C2"/>
    <w:rsid w:val="00F371F0"/>
    <w:rsid w:val="00F37B3B"/>
    <w:rsid w:val="00F40E2A"/>
    <w:rsid w:val="00F41FD8"/>
    <w:rsid w:val="00F42358"/>
    <w:rsid w:val="00F42650"/>
    <w:rsid w:val="00F42BA7"/>
    <w:rsid w:val="00F43E28"/>
    <w:rsid w:val="00F43E4B"/>
    <w:rsid w:val="00F4484E"/>
    <w:rsid w:val="00F44AE1"/>
    <w:rsid w:val="00F456D6"/>
    <w:rsid w:val="00F45A38"/>
    <w:rsid w:val="00F46572"/>
    <w:rsid w:val="00F46986"/>
    <w:rsid w:val="00F4750C"/>
    <w:rsid w:val="00F47AB8"/>
    <w:rsid w:val="00F47CAD"/>
    <w:rsid w:val="00F50155"/>
    <w:rsid w:val="00F518EB"/>
    <w:rsid w:val="00F52B53"/>
    <w:rsid w:val="00F52FC1"/>
    <w:rsid w:val="00F536B8"/>
    <w:rsid w:val="00F53CD1"/>
    <w:rsid w:val="00F5568B"/>
    <w:rsid w:val="00F55D32"/>
    <w:rsid w:val="00F56240"/>
    <w:rsid w:val="00F56DC9"/>
    <w:rsid w:val="00F61F62"/>
    <w:rsid w:val="00F62563"/>
    <w:rsid w:val="00F62BEF"/>
    <w:rsid w:val="00F638A6"/>
    <w:rsid w:val="00F63D00"/>
    <w:rsid w:val="00F6522C"/>
    <w:rsid w:val="00F66BEB"/>
    <w:rsid w:val="00F70831"/>
    <w:rsid w:val="00F70B2B"/>
    <w:rsid w:val="00F70B88"/>
    <w:rsid w:val="00F711B8"/>
    <w:rsid w:val="00F73A87"/>
    <w:rsid w:val="00F73B1F"/>
    <w:rsid w:val="00F77EAB"/>
    <w:rsid w:val="00F81A9D"/>
    <w:rsid w:val="00F833FE"/>
    <w:rsid w:val="00F83EE7"/>
    <w:rsid w:val="00F84F82"/>
    <w:rsid w:val="00F8503D"/>
    <w:rsid w:val="00F856B9"/>
    <w:rsid w:val="00F861DB"/>
    <w:rsid w:val="00F90B12"/>
    <w:rsid w:val="00F90B3A"/>
    <w:rsid w:val="00F921B9"/>
    <w:rsid w:val="00F924FF"/>
    <w:rsid w:val="00F92BB9"/>
    <w:rsid w:val="00F94A5E"/>
    <w:rsid w:val="00F95334"/>
    <w:rsid w:val="00F9565B"/>
    <w:rsid w:val="00F95A6D"/>
    <w:rsid w:val="00F96995"/>
    <w:rsid w:val="00F9790C"/>
    <w:rsid w:val="00F97CCA"/>
    <w:rsid w:val="00FA2148"/>
    <w:rsid w:val="00FA473F"/>
    <w:rsid w:val="00FA4978"/>
    <w:rsid w:val="00FA499C"/>
    <w:rsid w:val="00FA59E9"/>
    <w:rsid w:val="00FA5F03"/>
    <w:rsid w:val="00FA60C4"/>
    <w:rsid w:val="00FB0548"/>
    <w:rsid w:val="00FB1812"/>
    <w:rsid w:val="00FB28E4"/>
    <w:rsid w:val="00FB2AE3"/>
    <w:rsid w:val="00FB2AF4"/>
    <w:rsid w:val="00FB2F34"/>
    <w:rsid w:val="00FB318E"/>
    <w:rsid w:val="00FB3428"/>
    <w:rsid w:val="00FB3997"/>
    <w:rsid w:val="00FB48C4"/>
    <w:rsid w:val="00FB543D"/>
    <w:rsid w:val="00FB5525"/>
    <w:rsid w:val="00FB6330"/>
    <w:rsid w:val="00FC10B0"/>
    <w:rsid w:val="00FC224A"/>
    <w:rsid w:val="00FC3ABD"/>
    <w:rsid w:val="00FC5532"/>
    <w:rsid w:val="00FC55E1"/>
    <w:rsid w:val="00FC5955"/>
    <w:rsid w:val="00FC5F2F"/>
    <w:rsid w:val="00FC6DD2"/>
    <w:rsid w:val="00FC7B87"/>
    <w:rsid w:val="00FD0439"/>
    <w:rsid w:val="00FD1E86"/>
    <w:rsid w:val="00FD1F8F"/>
    <w:rsid w:val="00FD2027"/>
    <w:rsid w:val="00FD322A"/>
    <w:rsid w:val="00FD4DD7"/>
    <w:rsid w:val="00FD4EA4"/>
    <w:rsid w:val="00FD5055"/>
    <w:rsid w:val="00FD60FB"/>
    <w:rsid w:val="00FD70EA"/>
    <w:rsid w:val="00FD7111"/>
    <w:rsid w:val="00FE23D3"/>
    <w:rsid w:val="00FE2BA7"/>
    <w:rsid w:val="00FE4F65"/>
    <w:rsid w:val="00FE6166"/>
    <w:rsid w:val="00FE68FE"/>
    <w:rsid w:val="00FE6AB2"/>
    <w:rsid w:val="00FF0C27"/>
    <w:rsid w:val="00FF0CBF"/>
    <w:rsid w:val="00FF25E1"/>
    <w:rsid w:val="00FF4504"/>
    <w:rsid w:val="00FF5767"/>
    <w:rsid w:val="00FF7746"/>
    <w:rsid w:val="00FF7E7B"/>
    <w:rsid w:val="01AE6E60"/>
    <w:rsid w:val="01FF09BC"/>
    <w:rsid w:val="022E2C76"/>
    <w:rsid w:val="0238EB68"/>
    <w:rsid w:val="02AD970E"/>
    <w:rsid w:val="0315B8E3"/>
    <w:rsid w:val="03A798A5"/>
    <w:rsid w:val="03E95CE5"/>
    <w:rsid w:val="052AFBEC"/>
    <w:rsid w:val="05783D90"/>
    <w:rsid w:val="057FB60A"/>
    <w:rsid w:val="06612227"/>
    <w:rsid w:val="067F8653"/>
    <w:rsid w:val="06ACE3B8"/>
    <w:rsid w:val="07139968"/>
    <w:rsid w:val="07403732"/>
    <w:rsid w:val="07B35144"/>
    <w:rsid w:val="07E88B1A"/>
    <w:rsid w:val="085D5AD7"/>
    <w:rsid w:val="096886AF"/>
    <w:rsid w:val="09986A47"/>
    <w:rsid w:val="0A0537B2"/>
    <w:rsid w:val="0B2735DE"/>
    <w:rsid w:val="0B7BD7B2"/>
    <w:rsid w:val="0BCD7EAF"/>
    <w:rsid w:val="0C1D3CC6"/>
    <w:rsid w:val="0C530753"/>
    <w:rsid w:val="0C5A81AC"/>
    <w:rsid w:val="0C9692B2"/>
    <w:rsid w:val="0C96B56C"/>
    <w:rsid w:val="0CFC827A"/>
    <w:rsid w:val="0D9FD455"/>
    <w:rsid w:val="0DA77FAF"/>
    <w:rsid w:val="0E250A66"/>
    <w:rsid w:val="0E5F0D7C"/>
    <w:rsid w:val="0E8C4F09"/>
    <w:rsid w:val="0ED18B5A"/>
    <w:rsid w:val="0F0695BF"/>
    <w:rsid w:val="0F6A9FB1"/>
    <w:rsid w:val="0FCEBF74"/>
    <w:rsid w:val="0FE16924"/>
    <w:rsid w:val="0FF1D476"/>
    <w:rsid w:val="1080F558"/>
    <w:rsid w:val="10B02F99"/>
    <w:rsid w:val="10CD6028"/>
    <w:rsid w:val="111237E9"/>
    <w:rsid w:val="1187B0B2"/>
    <w:rsid w:val="130EC4AA"/>
    <w:rsid w:val="13327F25"/>
    <w:rsid w:val="13631DDF"/>
    <w:rsid w:val="13D83A93"/>
    <w:rsid w:val="14460431"/>
    <w:rsid w:val="14B0FB06"/>
    <w:rsid w:val="155E704A"/>
    <w:rsid w:val="16760E1A"/>
    <w:rsid w:val="16880810"/>
    <w:rsid w:val="16EAA9FE"/>
    <w:rsid w:val="18A23C8E"/>
    <w:rsid w:val="18B5F14D"/>
    <w:rsid w:val="1973D1D7"/>
    <w:rsid w:val="1A6EFF35"/>
    <w:rsid w:val="1A774AA7"/>
    <w:rsid w:val="1B5BE38C"/>
    <w:rsid w:val="1B680558"/>
    <w:rsid w:val="1B98EB5D"/>
    <w:rsid w:val="1BC0ED55"/>
    <w:rsid w:val="1C44D6BC"/>
    <w:rsid w:val="1D8077EF"/>
    <w:rsid w:val="1E1F0A82"/>
    <w:rsid w:val="1E266116"/>
    <w:rsid w:val="1E9601AA"/>
    <w:rsid w:val="1F1BD32C"/>
    <w:rsid w:val="201820A0"/>
    <w:rsid w:val="2041CFF0"/>
    <w:rsid w:val="208B26CD"/>
    <w:rsid w:val="2117E10A"/>
    <w:rsid w:val="2119E965"/>
    <w:rsid w:val="2132FD54"/>
    <w:rsid w:val="2173A9D1"/>
    <w:rsid w:val="2174F1D4"/>
    <w:rsid w:val="21F915A6"/>
    <w:rsid w:val="21FF6C2E"/>
    <w:rsid w:val="2297464B"/>
    <w:rsid w:val="230D9AF5"/>
    <w:rsid w:val="2366DE2E"/>
    <w:rsid w:val="239816EB"/>
    <w:rsid w:val="2472FE71"/>
    <w:rsid w:val="24767B3D"/>
    <w:rsid w:val="24913640"/>
    <w:rsid w:val="24AFE525"/>
    <w:rsid w:val="264027D6"/>
    <w:rsid w:val="26873AB0"/>
    <w:rsid w:val="273C6B8C"/>
    <w:rsid w:val="27DCC451"/>
    <w:rsid w:val="28E2200B"/>
    <w:rsid w:val="2918793E"/>
    <w:rsid w:val="295D1F60"/>
    <w:rsid w:val="29664E4C"/>
    <w:rsid w:val="296D3739"/>
    <w:rsid w:val="2977FD0A"/>
    <w:rsid w:val="29D39360"/>
    <w:rsid w:val="2A0F542D"/>
    <w:rsid w:val="2ABA1214"/>
    <w:rsid w:val="2AD92A9F"/>
    <w:rsid w:val="2B1AF424"/>
    <w:rsid w:val="2B4EDCEC"/>
    <w:rsid w:val="2C6D41E4"/>
    <w:rsid w:val="2CAD60C1"/>
    <w:rsid w:val="2D881962"/>
    <w:rsid w:val="2D89C9AE"/>
    <w:rsid w:val="2E36C80B"/>
    <w:rsid w:val="2F144315"/>
    <w:rsid w:val="2F3CD819"/>
    <w:rsid w:val="2F8B9C12"/>
    <w:rsid w:val="302A9ED4"/>
    <w:rsid w:val="30A78207"/>
    <w:rsid w:val="30C56A51"/>
    <w:rsid w:val="30EECF09"/>
    <w:rsid w:val="30F2E514"/>
    <w:rsid w:val="3124DA15"/>
    <w:rsid w:val="31CEB7FD"/>
    <w:rsid w:val="31D6BC45"/>
    <w:rsid w:val="32325538"/>
    <w:rsid w:val="32B8D4EF"/>
    <w:rsid w:val="32EBD46B"/>
    <w:rsid w:val="330F5101"/>
    <w:rsid w:val="33A1FA9F"/>
    <w:rsid w:val="3423B9C1"/>
    <w:rsid w:val="343B4B9F"/>
    <w:rsid w:val="344E6E43"/>
    <w:rsid w:val="348E0ED5"/>
    <w:rsid w:val="34BB5256"/>
    <w:rsid w:val="35980698"/>
    <w:rsid w:val="3647E066"/>
    <w:rsid w:val="36798867"/>
    <w:rsid w:val="37468B60"/>
    <w:rsid w:val="376C2F3B"/>
    <w:rsid w:val="38B49601"/>
    <w:rsid w:val="38BE4D56"/>
    <w:rsid w:val="3A0F8858"/>
    <w:rsid w:val="3AB9B8FE"/>
    <w:rsid w:val="3B016BDA"/>
    <w:rsid w:val="3C55AD89"/>
    <w:rsid w:val="3C5E8634"/>
    <w:rsid w:val="3C75CB3C"/>
    <w:rsid w:val="3D12E107"/>
    <w:rsid w:val="3E26C763"/>
    <w:rsid w:val="3E6144AE"/>
    <w:rsid w:val="3EB506FC"/>
    <w:rsid w:val="3F1CEA21"/>
    <w:rsid w:val="3FB88579"/>
    <w:rsid w:val="3FC159C0"/>
    <w:rsid w:val="40068E25"/>
    <w:rsid w:val="40DB7A89"/>
    <w:rsid w:val="41232D7D"/>
    <w:rsid w:val="41276B74"/>
    <w:rsid w:val="41901979"/>
    <w:rsid w:val="41B4B4A8"/>
    <w:rsid w:val="4253775C"/>
    <w:rsid w:val="42B3AA47"/>
    <w:rsid w:val="432492D5"/>
    <w:rsid w:val="43647579"/>
    <w:rsid w:val="44444075"/>
    <w:rsid w:val="449BBB1F"/>
    <w:rsid w:val="46848A98"/>
    <w:rsid w:val="46B9A9AF"/>
    <w:rsid w:val="46D3AA42"/>
    <w:rsid w:val="47023A60"/>
    <w:rsid w:val="47411F63"/>
    <w:rsid w:val="475B1EFE"/>
    <w:rsid w:val="4825405F"/>
    <w:rsid w:val="489ECBCC"/>
    <w:rsid w:val="48EB241C"/>
    <w:rsid w:val="4905C580"/>
    <w:rsid w:val="4A1177C0"/>
    <w:rsid w:val="4A1839A4"/>
    <w:rsid w:val="4AEEBBE4"/>
    <w:rsid w:val="4BE36295"/>
    <w:rsid w:val="4C7CF4E3"/>
    <w:rsid w:val="4D0E7F8D"/>
    <w:rsid w:val="4D589573"/>
    <w:rsid w:val="4D6D24C4"/>
    <w:rsid w:val="4D74F20D"/>
    <w:rsid w:val="4DA4B887"/>
    <w:rsid w:val="4E6FCEB9"/>
    <w:rsid w:val="4EB83BD3"/>
    <w:rsid w:val="4EF6AFCD"/>
    <w:rsid w:val="4F988716"/>
    <w:rsid w:val="51031130"/>
    <w:rsid w:val="512AE18C"/>
    <w:rsid w:val="51399439"/>
    <w:rsid w:val="516AAA21"/>
    <w:rsid w:val="5263563E"/>
    <w:rsid w:val="52E8B369"/>
    <w:rsid w:val="532934B6"/>
    <w:rsid w:val="53D24917"/>
    <w:rsid w:val="53EFD03F"/>
    <w:rsid w:val="53FB3B6D"/>
    <w:rsid w:val="54DD6277"/>
    <w:rsid w:val="560DA8F2"/>
    <w:rsid w:val="563C6A7D"/>
    <w:rsid w:val="5716C914"/>
    <w:rsid w:val="57EC2DAA"/>
    <w:rsid w:val="57EE0BBF"/>
    <w:rsid w:val="57F2A5C9"/>
    <w:rsid w:val="58050B7B"/>
    <w:rsid w:val="582F3707"/>
    <w:rsid w:val="58955760"/>
    <w:rsid w:val="59129B97"/>
    <w:rsid w:val="591577F1"/>
    <w:rsid w:val="59A9EE6C"/>
    <w:rsid w:val="59F7BD25"/>
    <w:rsid w:val="5A5F91F7"/>
    <w:rsid w:val="5AB947AD"/>
    <w:rsid w:val="5C11E6C4"/>
    <w:rsid w:val="5C30375B"/>
    <w:rsid w:val="5C3CCD52"/>
    <w:rsid w:val="5C50EDB2"/>
    <w:rsid w:val="5C94D7DB"/>
    <w:rsid w:val="5C9872F7"/>
    <w:rsid w:val="5CB146E1"/>
    <w:rsid w:val="5CCCAC99"/>
    <w:rsid w:val="5CF5DB58"/>
    <w:rsid w:val="5D3B7C8A"/>
    <w:rsid w:val="5DBC9D39"/>
    <w:rsid w:val="5DD6CC98"/>
    <w:rsid w:val="5EB31DEB"/>
    <w:rsid w:val="5ED0B26B"/>
    <w:rsid w:val="5F23B2E5"/>
    <w:rsid w:val="5FCC3521"/>
    <w:rsid w:val="5FEF8A90"/>
    <w:rsid w:val="604B998D"/>
    <w:rsid w:val="60536B5A"/>
    <w:rsid w:val="60F3D5A6"/>
    <w:rsid w:val="60FDC0F0"/>
    <w:rsid w:val="6116994B"/>
    <w:rsid w:val="611D7143"/>
    <w:rsid w:val="61A06AF8"/>
    <w:rsid w:val="61CC9F49"/>
    <w:rsid w:val="62389382"/>
    <w:rsid w:val="62D9561E"/>
    <w:rsid w:val="62F2A4BF"/>
    <w:rsid w:val="6340D17D"/>
    <w:rsid w:val="636FB2C6"/>
    <w:rsid w:val="63708F29"/>
    <w:rsid w:val="63DDC6CD"/>
    <w:rsid w:val="63EF4E78"/>
    <w:rsid w:val="63F7FB7D"/>
    <w:rsid w:val="64EFEA34"/>
    <w:rsid w:val="651C2BFB"/>
    <w:rsid w:val="65E84BDF"/>
    <w:rsid w:val="6672C59D"/>
    <w:rsid w:val="672E9303"/>
    <w:rsid w:val="67A76080"/>
    <w:rsid w:val="684FF47B"/>
    <w:rsid w:val="686D955F"/>
    <w:rsid w:val="68983007"/>
    <w:rsid w:val="68C4EACF"/>
    <w:rsid w:val="6950A2AB"/>
    <w:rsid w:val="6967A06F"/>
    <w:rsid w:val="6972CFE0"/>
    <w:rsid w:val="69B81547"/>
    <w:rsid w:val="69C83A19"/>
    <w:rsid w:val="6A26D86A"/>
    <w:rsid w:val="6A699171"/>
    <w:rsid w:val="6AA683F2"/>
    <w:rsid w:val="6ADF140B"/>
    <w:rsid w:val="6B75A8E2"/>
    <w:rsid w:val="6C754502"/>
    <w:rsid w:val="6D267CEE"/>
    <w:rsid w:val="6D688B98"/>
    <w:rsid w:val="6D6FD31F"/>
    <w:rsid w:val="6E058399"/>
    <w:rsid w:val="6F253C8E"/>
    <w:rsid w:val="6FC48242"/>
    <w:rsid w:val="705A8FF1"/>
    <w:rsid w:val="7075934A"/>
    <w:rsid w:val="715270D9"/>
    <w:rsid w:val="71587FF7"/>
    <w:rsid w:val="72E62165"/>
    <w:rsid w:val="737DC943"/>
    <w:rsid w:val="73C75477"/>
    <w:rsid w:val="73DF3A63"/>
    <w:rsid w:val="74158320"/>
    <w:rsid w:val="74623CE3"/>
    <w:rsid w:val="74852538"/>
    <w:rsid w:val="76BE0176"/>
    <w:rsid w:val="780CD979"/>
    <w:rsid w:val="795BE2FC"/>
    <w:rsid w:val="7979B033"/>
    <w:rsid w:val="7A3EAA98"/>
    <w:rsid w:val="7AB6EA62"/>
    <w:rsid w:val="7ACB59A8"/>
    <w:rsid w:val="7B0FEE33"/>
    <w:rsid w:val="7B38074D"/>
    <w:rsid w:val="7B87EAB4"/>
    <w:rsid w:val="7B8C9FAB"/>
    <w:rsid w:val="7BB685D7"/>
    <w:rsid w:val="7C128541"/>
    <w:rsid w:val="7C7103B3"/>
    <w:rsid w:val="7D343751"/>
    <w:rsid w:val="7D7B87DE"/>
    <w:rsid w:val="7DD97E94"/>
    <w:rsid w:val="7DE4D11A"/>
    <w:rsid w:val="7E2E2673"/>
    <w:rsid w:val="7E391EA6"/>
    <w:rsid w:val="7EC3EAF2"/>
    <w:rsid w:val="7EE9632B"/>
    <w:rsid w:val="7FCB97E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E0710D"/>
  <w15:chartTrackingRefBased/>
  <w15:docId w15:val="{06CDCD56-C8DD-47D1-82D9-85EEC7F4A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43D4"/>
    <w:rPr>
      <w:rFonts w:ascii="Times New Roman" w:eastAsia="Times New Roman"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iPriority w:val="99"/>
    <w:semiHidden/>
    <w:unhideWhenUsed/>
    <w:rsid w:val="005B2A54"/>
  </w:style>
  <w:style w:type="paragraph" w:styleId="NoSpacing">
    <w:name w:val="No Spacing"/>
    <w:uiPriority w:val="1"/>
    <w:qFormat/>
    <w:rsid w:val="008913A3"/>
    <w:rPr>
      <w:rFonts w:ascii="Times New Roman" w:eastAsia="Batang" w:hAnsi="Times New Roman"/>
      <w:sz w:val="24"/>
      <w:lang w:eastAsia="en-US"/>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sz w:val="22"/>
      <w:szCs w:val="22"/>
      <w:lang w:val="es-US" w:eastAsia="es-US"/>
    </w:rPr>
  </w:style>
  <w:style w:type="paragraph" w:customStyle="1" w:styleId="normal-p">
    <w:name w:val="normal-p"/>
    <w:basedOn w:val="Normal"/>
    <w:rsid w:val="0031744A"/>
    <w:pPr>
      <w:spacing w:before="100" w:beforeAutospacing="1" w:after="100" w:afterAutospacing="1"/>
    </w:p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lang w:eastAsia="en-US"/>
    </w:rPr>
  </w:style>
  <w:style w:type="character" w:styleId="Hyperlink">
    <w:name w:val="Hyperlink"/>
    <w:uiPriority w:val="99"/>
    <w:unhideWhenUsed/>
    <w:rsid w:val="00A650F7"/>
    <w:rPr>
      <w:color w:val="0563C1"/>
      <w:u w:val="single"/>
    </w:rPr>
  </w:style>
  <w:style w:type="character" w:styleId="Strong">
    <w:name w:val="Strong"/>
    <w:uiPriority w:val="22"/>
    <w:qFormat/>
    <w:rsid w:val="00C92053"/>
    <w:rPr>
      <w:b/>
      <w:bCs/>
    </w:rPr>
  </w:style>
  <w:style w:type="paragraph" w:styleId="CommentText">
    <w:name w:val="annotation text"/>
    <w:basedOn w:val="Normal"/>
    <w:link w:val="CommentTextChar"/>
    <w:uiPriority w:val="99"/>
    <w:semiHidden/>
    <w:unhideWhenUsed/>
    <w:rsid w:val="00BF2459"/>
    <w:rPr>
      <w:sz w:val="20"/>
      <w:szCs w:val="20"/>
    </w:rPr>
  </w:style>
  <w:style w:type="character" w:customStyle="1" w:styleId="CommentTextChar">
    <w:name w:val="Comment Text Char"/>
    <w:link w:val="CommentText"/>
    <w:uiPriority w:val="99"/>
    <w:semiHidden/>
    <w:rsid w:val="00BF2459"/>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BF2459"/>
    <w:rPr>
      <w:b/>
      <w:bCs/>
    </w:rPr>
  </w:style>
  <w:style w:type="character" w:customStyle="1" w:styleId="CommentSubjectChar">
    <w:name w:val="Comment Subject Char"/>
    <w:link w:val="CommentSubject"/>
    <w:uiPriority w:val="99"/>
    <w:semiHidden/>
    <w:rsid w:val="00BF2459"/>
    <w:rPr>
      <w:rFonts w:ascii="Times New Roman" w:eastAsia="Times New Roman" w:hAnsi="Times New Roman"/>
      <w:b/>
      <w:bCs/>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563772">
      <w:bodyDiv w:val="1"/>
      <w:marLeft w:val="0"/>
      <w:marRight w:val="0"/>
      <w:marTop w:val="0"/>
      <w:marBottom w:val="0"/>
      <w:divBdr>
        <w:top w:val="none" w:sz="0" w:space="0" w:color="auto"/>
        <w:left w:val="none" w:sz="0" w:space="0" w:color="auto"/>
        <w:bottom w:val="none" w:sz="0" w:space="0" w:color="auto"/>
        <w:right w:val="none" w:sz="0" w:space="0" w:color="auto"/>
      </w:divBdr>
    </w:div>
    <w:div w:id="47926542">
      <w:bodyDiv w:val="1"/>
      <w:marLeft w:val="0"/>
      <w:marRight w:val="0"/>
      <w:marTop w:val="0"/>
      <w:marBottom w:val="0"/>
      <w:divBdr>
        <w:top w:val="none" w:sz="0" w:space="0" w:color="auto"/>
        <w:left w:val="none" w:sz="0" w:space="0" w:color="auto"/>
        <w:bottom w:val="none" w:sz="0" w:space="0" w:color="auto"/>
        <w:right w:val="none" w:sz="0" w:space="0" w:color="auto"/>
      </w:divBdr>
    </w:div>
    <w:div w:id="66542648">
      <w:bodyDiv w:val="1"/>
      <w:marLeft w:val="0"/>
      <w:marRight w:val="0"/>
      <w:marTop w:val="0"/>
      <w:marBottom w:val="0"/>
      <w:divBdr>
        <w:top w:val="none" w:sz="0" w:space="0" w:color="auto"/>
        <w:left w:val="none" w:sz="0" w:space="0" w:color="auto"/>
        <w:bottom w:val="none" w:sz="0" w:space="0" w:color="auto"/>
        <w:right w:val="none" w:sz="0" w:space="0" w:color="auto"/>
      </w:divBdr>
    </w:div>
    <w:div w:id="119347015">
      <w:bodyDiv w:val="1"/>
      <w:marLeft w:val="0"/>
      <w:marRight w:val="0"/>
      <w:marTop w:val="0"/>
      <w:marBottom w:val="0"/>
      <w:divBdr>
        <w:top w:val="none" w:sz="0" w:space="0" w:color="auto"/>
        <w:left w:val="none" w:sz="0" w:space="0" w:color="auto"/>
        <w:bottom w:val="none" w:sz="0" w:space="0" w:color="auto"/>
        <w:right w:val="none" w:sz="0" w:space="0" w:color="auto"/>
      </w:divBdr>
    </w:div>
    <w:div w:id="181406603">
      <w:bodyDiv w:val="1"/>
      <w:marLeft w:val="0"/>
      <w:marRight w:val="0"/>
      <w:marTop w:val="0"/>
      <w:marBottom w:val="0"/>
      <w:divBdr>
        <w:top w:val="none" w:sz="0" w:space="0" w:color="auto"/>
        <w:left w:val="none" w:sz="0" w:space="0" w:color="auto"/>
        <w:bottom w:val="none" w:sz="0" w:space="0" w:color="auto"/>
        <w:right w:val="none" w:sz="0" w:space="0" w:color="auto"/>
      </w:divBdr>
      <w:divsChild>
        <w:div w:id="1560090165">
          <w:marLeft w:val="0"/>
          <w:marRight w:val="0"/>
          <w:marTop w:val="0"/>
          <w:marBottom w:val="300"/>
          <w:divBdr>
            <w:top w:val="none" w:sz="0" w:space="0" w:color="auto"/>
            <w:left w:val="none" w:sz="0" w:space="0" w:color="auto"/>
            <w:bottom w:val="none" w:sz="0" w:space="0" w:color="auto"/>
            <w:right w:val="none" w:sz="0" w:space="0" w:color="auto"/>
          </w:divBdr>
          <w:divsChild>
            <w:div w:id="1229801780">
              <w:marLeft w:val="0"/>
              <w:marRight w:val="0"/>
              <w:marTop w:val="0"/>
              <w:marBottom w:val="0"/>
              <w:divBdr>
                <w:top w:val="none" w:sz="0" w:space="0" w:color="auto"/>
                <w:left w:val="none" w:sz="0" w:space="0" w:color="auto"/>
                <w:bottom w:val="none" w:sz="0" w:space="0" w:color="auto"/>
                <w:right w:val="none" w:sz="0" w:space="0" w:color="auto"/>
              </w:divBdr>
            </w:div>
          </w:divsChild>
        </w:div>
        <w:div w:id="1698509793">
          <w:marLeft w:val="0"/>
          <w:marRight w:val="0"/>
          <w:marTop w:val="100"/>
          <w:marBottom w:val="100"/>
          <w:divBdr>
            <w:top w:val="none" w:sz="0" w:space="0" w:color="auto"/>
            <w:left w:val="none" w:sz="0" w:space="0" w:color="auto"/>
            <w:bottom w:val="none" w:sz="0" w:space="0" w:color="auto"/>
            <w:right w:val="none" w:sz="0" w:space="0" w:color="auto"/>
          </w:divBdr>
          <w:divsChild>
            <w:div w:id="19286383">
              <w:marLeft w:val="0"/>
              <w:marRight w:val="0"/>
              <w:marTop w:val="0"/>
              <w:marBottom w:val="240"/>
              <w:divBdr>
                <w:top w:val="none" w:sz="0" w:space="0" w:color="auto"/>
                <w:left w:val="none" w:sz="0" w:space="0" w:color="auto"/>
                <w:bottom w:val="none" w:sz="0" w:space="0" w:color="auto"/>
                <w:right w:val="none" w:sz="0" w:space="0" w:color="auto"/>
              </w:divBdr>
              <w:divsChild>
                <w:div w:id="959530699">
                  <w:marLeft w:val="0"/>
                  <w:marRight w:val="0"/>
                  <w:marTop w:val="0"/>
                  <w:marBottom w:val="0"/>
                  <w:divBdr>
                    <w:top w:val="none" w:sz="0" w:space="0" w:color="auto"/>
                    <w:left w:val="none" w:sz="0" w:space="0" w:color="auto"/>
                    <w:bottom w:val="none" w:sz="0" w:space="0" w:color="auto"/>
                    <w:right w:val="none" w:sz="0" w:space="0" w:color="auto"/>
                  </w:divBdr>
                </w:div>
              </w:divsChild>
            </w:div>
            <w:div w:id="69667748">
              <w:marLeft w:val="0"/>
              <w:marRight w:val="0"/>
              <w:marTop w:val="0"/>
              <w:marBottom w:val="180"/>
              <w:divBdr>
                <w:top w:val="none" w:sz="0" w:space="0" w:color="auto"/>
                <w:left w:val="none" w:sz="0" w:space="0" w:color="auto"/>
                <w:bottom w:val="none" w:sz="0" w:space="0" w:color="auto"/>
                <w:right w:val="none" w:sz="0" w:space="0" w:color="auto"/>
              </w:divBdr>
              <w:divsChild>
                <w:div w:id="780994467">
                  <w:marLeft w:val="0"/>
                  <w:marRight w:val="0"/>
                  <w:marTop w:val="0"/>
                  <w:marBottom w:val="0"/>
                  <w:divBdr>
                    <w:top w:val="none" w:sz="0" w:space="0" w:color="auto"/>
                    <w:left w:val="none" w:sz="0" w:space="0" w:color="auto"/>
                    <w:bottom w:val="none" w:sz="0" w:space="0" w:color="auto"/>
                    <w:right w:val="none" w:sz="0" w:space="0" w:color="auto"/>
                  </w:divBdr>
                </w:div>
              </w:divsChild>
            </w:div>
            <w:div w:id="200674117">
              <w:marLeft w:val="0"/>
              <w:marRight w:val="0"/>
              <w:marTop w:val="0"/>
              <w:marBottom w:val="0"/>
              <w:divBdr>
                <w:top w:val="none" w:sz="0" w:space="0" w:color="auto"/>
                <w:left w:val="none" w:sz="0" w:space="0" w:color="auto"/>
                <w:bottom w:val="none" w:sz="0" w:space="0" w:color="auto"/>
                <w:right w:val="none" w:sz="0" w:space="0" w:color="auto"/>
              </w:divBdr>
              <w:divsChild>
                <w:div w:id="538131043">
                  <w:marLeft w:val="0"/>
                  <w:marRight w:val="0"/>
                  <w:marTop w:val="0"/>
                  <w:marBottom w:val="0"/>
                  <w:divBdr>
                    <w:top w:val="none" w:sz="0" w:space="0" w:color="auto"/>
                    <w:left w:val="none" w:sz="0" w:space="0" w:color="auto"/>
                    <w:bottom w:val="none" w:sz="0" w:space="0" w:color="auto"/>
                    <w:right w:val="none" w:sz="0" w:space="0" w:color="auto"/>
                  </w:divBdr>
                </w:div>
              </w:divsChild>
            </w:div>
            <w:div w:id="395780602">
              <w:marLeft w:val="0"/>
              <w:marRight w:val="0"/>
              <w:marTop w:val="0"/>
              <w:marBottom w:val="180"/>
              <w:divBdr>
                <w:top w:val="none" w:sz="0" w:space="0" w:color="auto"/>
                <w:left w:val="none" w:sz="0" w:space="0" w:color="auto"/>
                <w:bottom w:val="none" w:sz="0" w:space="0" w:color="auto"/>
                <w:right w:val="none" w:sz="0" w:space="0" w:color="auto"/>
              </w:divBdr>
              <w:divsChild>
                <w:div w:id="1309358198">
                  <w:marLeft w:val="0"/>
                  <w:marRight w:val="0"/>
                  <w:marTop w:val="0"/>
                  <w:marBottom w:val="0"/>
                  <w:divBdr>
                    <w:top w:val="none" w:sz="0" w:space="0" w:color="auto"/>
                    <w:left w:val="none" w:sz="0" w:space="0" w:color="auto"/>
                    <w:bottom w:val="none" w:sz="0" w:space="0" w:color="auto"/>
                    <w:right w:val="none" w:sz="0" w:space="0" w:color="auto"/>
                  </w:divBdr>
                  <w:divsChild>
                    <w:div w:id="1114134046">
                      <w:blockQuote w:val="1"/>
                      <w:marLeft w:val="0"/>
                      <w:marRight w:val="0"/>
                      <w:marTop w:val="0"/>
                      <w:marBottom w:val="0"/>
                      <w:divBdr>
                        <w:top w:val="none" w:sz="0" w:space="0" w:color="auto"/>
                        <w:left w:val="none" w:sz="0" w:space="0" w:color="auto"/>
                        <w:bottom w:val="none" w:sz="0" w:space="0" w:color="auto"/>
                        <w:right w:val="none" w:sz="0" w:space="0" w:color="auto"/>
                      </w:divBdr>
                    </w:div>
                    <w:div w:id="1704400863">
                      <w:blockQuote w:val="1"/>
                      <w:marLeft w:val="0"/>
                      <w:marRight w:val="0"/>
                      <w:marTop w:val="0"/>
                      <w:marBottom w:val="0"/>
                      <w:divBdr>
                        <w:top w:val="none" w:sz="0" w:space="0" w:color="auto"/>
                        <w:left w:val="none" w:sz="0" w:space="0" w:color="auto"/>
                        <w:bottom w:val="none" w:sz="0" w:space="0" w:color="auto"/>
                        <w:right w:val="none" w:sz="0" w:space="0" w:color="auto"/>
                      </w:divBdr>
                    </w:div>
                    <w:div w:id="203877407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235858">
              <w:marLeft w:val="0"/>
              <w:marRight w:val="0"/>
              <w:marTop w:val="0"/>
              <w:marBottom w:val="240"/>
              <w:divBdr>
                <w:top w:val="none" w:sz="0" w:space="0" w:color="auto"/>
                <w:left w:val="none" w:sz="0" w:space="0" w:color="auto"/>
                <w:bottom w:val="none" w:sz="0" w:space="0" w:color="auto"/>
                <w:right w:val="none" w:sz="0" w:space="0" w:color="auto"/>
              </w:divBdr>
              <w:divsChild>
                <w:div w:id="186412347">
                  <w:marLeft w:val="0"/>
                  <w:marRight w:val="0"/>
                  <w:marTop w:val="0"/>
                  <w:marBottom w:val="0"/>
                  <w:divBdr>
                    <w:top w:val="none" w:sz="0" w:space="0" w:color="auto"/>
                    <w:left w:val="none" w:sz="0" w:space="0" w:color="auto"/>
                    <w:bottom w:val="none" w:sz="0" w:space="0" w:color="auto"/>
                    <w:right w:val="none" w:sz="0" w:space="0" w:color="auto"/>
                  </w:divBdr>
                </w:div>
              </w:divsChild>
            </w:div>
            <w:div w:id="986401507">
              <w:marLeft w:val="0"/>
              <w:marRight w:val="0"/>
              <w:marTop w:val="0"/>
              <w:marBottom w:val="240"/>
              <w:divBdr>
                <w:top w:val="none" w:sz="0" w:space="0" w:color="auto"/>
                <w:left w:val="none" w:sz="0" w:space="0" w:color="auto"/>
                <w:bottom w:val="none" w:sz="0" w:space="0" w:color="auto"/>
                <w:right w:val="none" w:sz="0" w:space="0" w:color="auto"/>
              </w:divBdr>
              <w:divsChild>
                <w:div w:id="974067131">
                  <w:marLeft w:val="0"/>
                  <w:marRight w:val="0"/>
                  <w:marTop w:val="0"/>
                  <w:marBottom w:val="0"/>
                  <w:divBdr>
                    <w:top w:val="none" w:sz="0" w:space="0" w:color="auto"/>
                    <w:left w:val="none" w:sz="0" w:space="0" w:color="auto"/>
                    <w:bottom w:val="none" w:sz="0" w:space="0" w:color="auto"/>
                    <w:right w:val="none" w:sz="0" w:space="0" w:color="auto"/>
                  </w:divBdr>
                </w:div>
              </w:divsChild>
            </w:div>
            <w:div w:id="993218635">
              <w:marLeft w:val="0"/>
              <w:marRight w:val="0"/>
              <w:marTop w:val="0"/>
              <w:marBottom w:val="180"/>
              <w:divBdr>
                <w:top w:val="none" w:sz="0" w:space="0" w:color="auto"/>
                <w:left w:val="none" w:sz="0" w:space="0" w:color="auto"/>
                <w:bottom w:val="none" w:sz="0" w:space="0" w:color="auto"/>
                <w:right w:val="none" w:sz="0" w:space="0" w:color="auto"/>
              </w:divBdr>
              <w:divsChild>
                <w:div w:id="57824303">
                  <w:marLeft w:val="0"/>
                  <w:marRight w:val="0"/>
                  <w:marTop w:val="0"/>
                  <w:marBottom w:val="0"/>
                  <w:divBdr>
                    <w:top w:val="none" w:sz="0" w:space="0" w:color="auto"/>
                    <w:left w:val="none" w:sz="0" w:space="0" w:color="auto"/>
                    <w:bottom w:val="none" w:sz="0" w:space="0" w:color="auto"/>
                    <w:right w:val="none" w:sz="0" w:space="0" w:color="auto"/>
                  </w:divBdr>
                </w:div>
              </w:divsChild>
            </w:div>
            <w:div w:id="1175994652">
              <w:marLeft w:val="0"/>
              <w:marRight w:val="0"/>
              <w:marTop w:val="0"/>
              <w:marBottom w:val="180"/>
              <w:divBdr>
                <w:top w:val="none" w:sz="0" w:space="0" w:color="auto"/>
                <w:left w:val="none" w:sz="0" w:space="0" w:color="auto"/>
                <w:bottom w:val="none" w:sz="0" w:space="0" w:color="auto"/>
                <w:right w:val="none" w:sz="0" w:space="0" w:color="auto"/>
              </w:divBdr>
              <w:divsChild>
                <w:div w:id="1742676879">
                  <w:marLeft w:val="0"/>
                  <w:marRight w:val="0"/>
                  <w:marTop w:val="0"/>
                  <w:marBottom w:val="0"/>
                  <w:divBdr>
                    <w:top w:val="none" w:sz="0" w:space="0" w:color="auto"/>
                    <w:left w:val="none" w:sz="0" w:space="0" w:color="auto"/>
                    <w:bottom w:val="none" w:sz="0" w:space="0" w:color="auto"/>
                    <w:right w:val="none" w:sz="0" w:space="0" w:color="auto"/>
                  </w:divBdr>
                </w:div>
              </w:divsChild>
            </w:div>
            <w:div w:id="1407916746">
              <w:marLeft w:val="0"/>
              <w:marRight w:val="0"/>
              <w:marTop w:val="0"/>
              <w:marBottom w:val="240"/>
              <w:divBdr>
                <w:top w:val="none" w:sz="0" w:space="0" w:color="auto"/>
                <w:left w:val="none" w:sz="0" w:space="0" w:color="auto"/>
                <w:bottom w:val="none" w:sz="0" w:space="0" w:color="auto"/>
                <w:right w:val="none" w:sz="0" w:space="0" w:color="auto"/>
              </w:divBdr>
              <w:divsChild>
                <w:div w:id="1602033057">
                  <w:marLeft w:val="0"/>
                  <w:marRight w:val="0"/>
                  <w:marTop w:val="0"/>
                  <w:marBottom w:val="0"/>
                  <w:divBdr>
                    <w:top w:val="none" w:sz="0" w:space="0" w:color="auto"/>
                    <w:left w:val="none" w:sz="0" w:space="0" w:color="auto"/>
                    <w:bottom w:val="none" w:sz="0" w:space="0" w:color="auto"/>
                    <w:right w:val="none" w:sz="0" w:space="0" w:color="auto"/>
                  </w:divBdr>
                </w:div>
              </w:divsChild>
            </w:div>
            <w:div w:id="1433360725">
              <w:marLeft w:val="0"/>
              <w:marRight w:val="0"/>
              <w:marTop w:val="0"/>
              <w:marBottom w:val="180"/>
              <w:divBdr>
                <w:top w:val="none" w:sz="0" w:space="0" w:color="auto"/>
                <w:left w:val="none" w:sz="0" w:space="0" w:color="auto"/>
                <w:bottom w:val="none" w:sz="0" w:space="0" w:color="auto"/>
                <w:right w:val="none" w:sz="0" w:space="0" w:color="auto"/>
              </w:divBdr>
              <w:divsChild>
                <w:div w:id="1174682263">
                  <w:marLeft w:val="0"/>
                  <w:marRight w:val="0"/>
                  <w:marTop w:val="0"/>
                  <w:marBottom w:val="0"/>
                  <w:divBdr>
                    <w:top w:val="none" w:sz="0" w:space="0" w:color="auto"/>
                    <w:left w:val="none" w:sz="0" w:space="0" w:color="auto"/>
                    <w:bottom w:val="none" w:sz="0" w:space="0" w:color="auto"/>
                    <w:right w:val="none" w:sz="0" w:space="0" w:color="auto"/>
                  </w:divBdr>
                </w:div>
              </w:divsChild>
            </w:div>
            <w:div w:id="1611667993">
              <w:marLeft w:val="0"/>
              <w:marRight w:val="0"/>
              <w:marTop w:val="0"/>
              <w:marBottom w:val="180"/>
              <w:divBdr>
                <w:top w:val="none" w:sz="0" w:space="0" w:color="auto"/>
                <w:left w:val="none" w:sz="0" w:space="0" w:color="auto"/>
                <w:bottom w:val="none" w:sz="0" w:space="0" w:color="auto"/>
                <w:right w:val="none" w:sz="0" w:space="0" w:color="auto"/>
              </w:divBdr>
              <w:divsChild>
                <w:div w:id="1072124606">
                  <w:marLeft w:val="0"/>
                  <w:marRight w:val="0"/>
                  <w:marTop w:val="0"/>
                  <w:marBottom w:val="0"/>
                  <w:divBdr>
                    <w:top w:val="none" w:sz="0" w:space="0" w:color="auto"/>
                    <w:left w:val="none" w:sz="0" w:space="0" w:color="auto"/>
                    <w:bottom w:val="none" w:sz="0" w:space="0" w:color="auto"/>
                    <w:right w:val="none" w:sz="0" w:space="0" w:color="auto"/>
                  </w:divBdr>
                </w:div>
              </w:divsChild>
            </w:div>
            <w:div w:id="1672292030">
              <w:marLeft w:val="0"/>
              <w:marRight w:val="0"/>
              <w:marTop w:val="0"/>
              <w:marBottom w:val="240"/>
              <w:divBdr>
                <w:top w:val="none" w:sz="0" w:space="0" w:color="auto"/>
                <w:left w:val="none" w:sz="0" w:space="0" w:color="auto"/>
                <w:bottom w:val="none" w:sz="0" w:space="0" w:color="auto"/>
                <w:right w:val="none" w:sz="0" w:space="0" w:color="auto"/>
              </w:divBdr>
              <w:divsChild>
                <w:div w:id="1798257454">
                  <w:marLeft w:val="0"/>
                  <w:marRight w:val="0"/>
                  <w:marTop w:val="0"/>
                  <w:marBottom w:val="0"/>
                  <w:divBdr>
                    <w:top w:val="none" w:sz="0" w:space="0" w:color="auto"/>
                    <w:left w:val="none" w:sz="0" w:space="0" w:color="auto"/>
                    <w:bottom w:val="none" w:sz="0" w:space="0" w:color="auto"/>
                    <w:right w:val="none" w:sz="0" w:space="0" w:color="auto"/>
                  </w:divBdr>
                </w:div>
              </w:divsChild>
            </w:div>
            <w:div w:id="1746340904">
              <w:marLeft w:val="0"/>
              <w:marRight w:val="0"/>
              <w:marTop w:val="0"/>
              <w:marBottom w:val="240"/>
              <w:divBdr>
                <w:top w:val="none" w:sz="0" w:space="0" w:color="auto"/>
                <w:left w:val="none" w:sz="0" w:space="0" w:color="auto"/>
                <w:bottom w:val="none" w:sz="0" w:space="0" w:color="auto"/>
                <w:right w:val="none" w:sz="0" w:space="0" w:color="auto"/>
              </w:divBdr>
              <w:divsChild>
                <w:div w:id="2019192826">
                  <w:marLeft w:val="0"/>
                  <w:marRight w:val="0"/>
                  <w:marTop w:val="0"/>
                  <w:marBottom w:val="0"/>
                  <w:divBdr>
                    <w:top w:val="none" w:sz="0" w:space="0" w:color="auto"/>
                    <w:left w:val="none" w:sz="0" w:space="0" w:color="auto"/>
                    <w:bottom w:val="none" w:sz="0" w:space="0" w:color="auto"/>
                    <w:right w:val="none" w:sz="0" w:space="0" w:color="auto"/>
                  </w:divBdr>
                </w:div>
              </w:divsChild>
            </w:div>
            <w:div w:id="1927182327">
              <w:marLeft w:val="0"/>
              <w:marRight w:val="0"/>
              <w:marTop w:val="0"/>
              <w:marBottom w:val="180"/>
              <w:divBdr>
                <w:top w:val="none" w:sz="0" w:space="0" w:color="auto"/>
                <w:left w:val="none" w:sz="0" w:space="0" w:color="auto"/>
                <w:bottom w:val="none" w:sz="0" w:space="0" w:color="auto"/>
                <w:right w:val="none" w:sz="0" w:space="0" w:color="auto"/>
              </w:divBdr>
              <w:divsChild>
                <w:div w:id="2058511070">
                  <w:marLeft w:val="0"/>
                  <w:marRight w:val="0"/>
                  <w:marTop w:val="0"/>
                  <w:marBottom w:val="0"/>
                  <w:divBdr>
                    <w:top w:val="none" w:sz="0" w:space="0" w:color="auto"/>
                    <w:left w:val="none" w:sz="0" w:space="0" w:color="auto"/>
                    <w:bottom w:val="none" w:sz="0" w:space="0" w:color="auto"/>
                    <w:right w:val="none" w:sz="0" w:space="0" w:color="auto"/>
                  </w:divBdr>
                </w:div>
              </w:divsChild>
            </w:div>
            <w:div w:id="2113937438">
              <w:marLeft w:val="0"/>
              <w:marRight w:val="0"/>
              <w:marTop w:val="0"/>
              <w:marBottom w:val="240"/>
              <w:divBdr>
                <w:top w:val="none" w:sz="0" w:space="0" w:color="auto"/>
                <w:left w:val="none" w:sz="0" w:space="0" w:color="auto"/>
                <w:bottom w:val="none" w:sz="0" w:space="0" w:color="auto"/>
                <w:right w:val="none" w:sz="0" w:space="0" w:color="auto"/>
              </w:divBdr>
              <w:divsChild>
                <w:div w:id="34367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157672">
          <w:marLeft w:val="0"/>
          <w:marRight w:val="0"/>
          <w:marTop w:val="100"/>
          <w:marBottom w:val="0"/>
          <w:divBdr>
            <w:top w:val="none" w:sz="0" w:space="0" w:color="auto"/>
            <w:left w:val="none" w:sz="0" w:space="0" w:color="auto"/>
            <w:bottom w:val="none" w:sz="0" w:space="0" w:color="auto"/>
            <w:right w:val="none" w:sz="0" w:space="0" w:color="auto"/>
          </w:divBdr>
          <w:divsChild>
            <w:div w:id="1597327424">
              <w:marLeft w:val="0"/>
              <w:marRight w:val="0"/>
              <w:marTop w:val="0"/>
              <w:marBottom w:val="0"/>
              <w:divBdr>
                <w:top w:val="none" w:sz="0" w:space="0" w:color="auto"/>
                <w:left w:val="none" w:sz="0" w:space="0" w:color="auto"/>
                <w:bottom w:val="none" w:sz="0" w:space="0" w:color="auto"/>
                <w:right w:val="none" w:sz="0" w:space="0" w:color="auto"/>
              </w:divBdr>
              <w:divsChild>
                <w:div w:id="1658411257">
                  <w:marLeft w:val="0"/>
                  <w:marRight w:val="0"/>
                  <w:marTop w:val="0"/>
                  <w:marBottom w:val="0"/>
                  <w:divBdr>
                    <w:top w:val="none" w:sz="0" w:space="0" w:color="auto"/>
                    <w:left w:val="none" w:sz="0" w:space="0" w:color="auto"/>
                    <w:bottom w:val="none" w:sz="0" w:space="0" w:color="auto"/>
                    <w:right w:val="none" w:sz="0" w:space="0" w:color="auto"/>
                  </w:divBdr>
                  <w:divsChild>
                    <w:div w:id="13580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27117">
      <w:bodyDiv w:val="1"/>
      <w:marLeft w:val="0"/>
      <w:marRight w:val="0"/>
      <w:marTop w:val="0"/>
      <w:marBottom w:val="0"/>
      <w:divBdr>
        <w:top w:val="none" w:sz="0" w:space="0" w:color="auto"/>
        <w:left w:val="none" w:sz="0" w:space="0" w:color="auto"/>
        <w:bottom w:val="none" w:sz="0" w:space="0" w:color="auto"/>
        <w:right w:val="none" w:sz="0" w:space="0" w:color="auto"/>
      </w:divBdr>
    </w:div>
    <w:div w:id="195503439">
      <w:bodyDiv w:val="1"/>
      <w:marLeft w:val="0"/>
      <w:marRight w:val="0"/>
      <w:marTop w:val="0"/>
      <w:marBottom w:val="0"/>
      <w:divBdr>
        <w:top w:val="none" w:sz="0" w:space="0" w:color="auto"/>
        <w:left w:val="none" w:sz="0" w:space="0" w:color="auto"/>
        <w:bottom w:val="none" w:sz="0" w:space="0" w:color="auto"/>
        <w:right w:val="none" w:sz="0" w:space="0" w:color="auto"/>
      </w:divBdr>
    </w:div>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304167511">
      <w:bodyDiv w:val="1"/>
      <w:marLeft w:val="0"/>
      <w:marRight w:val="0"/>
      <w:marTop w:val="0"/>
      <w:marBottom w:val="0"/>
      <w:divBdr>
        <w:top w:val="none" w:sz="0" w:space="0" w:color="auto"/>
        <w:left w:val="none" w:sz="0" w:space="0" w:color="auto"/>
        <w:bottom w:val="none" w:sz="0" w:space="0" w:color="auto"/>
        <w:right w:val="none" w:sz="0" w:space="0" w:color="auto"/>
      </w:divBdr>
    </w:div>
    <w:div w:id="312753755">
      <w:bodyDiv w:val="1"/>
      <w:marLeft w:val="0"/>
      <w:marRight w:val="0"/>
      <w:marTop w:val="0"/>
      <w:marBottom w:val="0"/>
      <w:divBdr>
        <w:top w:val="none" w:sz="0" w:space="0" w:color="auto"/>
        <w:left w:val="none" w:sz="0" w:space="0" w:color="auto"/>
        <w:bottom w:val="none" w:sz="0" w:space="0" w:color="auto"/>
        <w:right w:val="none" w:sz="0" w:space="0" w:color="auto"/>
      </w:divBdr>
    </w:div>
    <w:div w:id="342972487">
      <w:bodyDiv w:val="1"/>
      <w:marLeft w:val="0"/>
      <w:marRight w:val="0"/>
      <w:marTop w:val="0"/>
      <w:marBottom w:val="0"/>
      <w:divBdr>
        <w:top w:val="none" w:sz="0" w:space="0" w:color="auto"/>
        <w:left w:val="none" w:sz="0" w:space="0" w:color="auto"/>
        <w:bottom w:val="none" w:sz="0" w:space="0" w:color="auto"/>
        <w:right w:val="none" w:sz="0" w:space="0" w:color="auto"/>
      </w:divBdr>
      <w:divsChild>
        <w:div w:id="63456695">
          <w:marLeft w:val="0"/>
          <w:marRight w:val="0"/>
          <w:marTop w:val="100"/>
          <w:marBottom w:val="0"/>
          <w:divBdr>
            <w:top w:val="none" w:sz="0" w:space="0" w:color="auto"/>
            <w:left w:val="none" w:sz="0" w:space="0" w:color="auto"/>
            <w:bottom w:val="none" w:sz="0" w:space="0" w:color="auto"/>
            <w:right w:val="none" w:sz="0" w:space="0" w:color="auto"/>
          </w:divBdr>
          <w:divsChild>
            <w:div w:id="288635878">
              <w:marLeft w:val="0"/>
              <w:marRight w:val="0"/>
              <w:marTop w:val="0"/>
              <w:marBottom w:val="0"/>
              <w:divBdr>
                <w:top w:val="none" w:sz="0" w:space="0" w:color="auto"/>
                <w:left w:val="none" w:sz="0" w:space="0" w:color="auto"/>
                <w:bottom w:val="none" w:sz="0" w:space="0" w:color="auto"/>
                <w:right w:val="none" w:sz="0" w:space="0" w:color="auto"/>
              </w:divBdr>
              <w:divsChild>
                <w:div w:id="1502888665">
                  <w:marLeft w:val="0"/>
                  <w:marRight w:val="0"/>
                  <w:marTop w:val="0"/>
                  <w:marBottom w:val="0"/>
                  <w:divBdr>
                    <w:top w:val="none" w:sz="0" w:space="0" w:color="auto"/>
                    <w:left w:val="none" w:sz="0" w:space="0" w:color="auto"/>
                    <w:bottom w:val="none" w:sz="0" w:space="0" w:color="auto"/>
                    <w:right w:val="none" w:sz="0" w:space="0" w:color="auto"/>
                  </w:divBdr>
                  <w:divsChild>
                    <w:div w:id="8064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318060">
          <w:marLeft w:val="0"/>
          <w:marRight w:val="0"/>
          <w:marTop w:val="100"/>
          <w:marBottom w:val="100"/>
          <w:divBdr>
            <w:top w:val="none" w:sz="0" w:space="0" w:color="auto"/>
            <w:left w:val="none" w:sz="0" w:space="0" w:color="auto"/>
            <w:bottom w:val="none" w:sz="0" w:space="0" w:color="auto"/>
            <w:right w:val="none" w:sz="0" w:space="0" w:color="auto"/>
          </w:divBdr>
          <w:divsChild>
            <w:div w:id="3095701">
              <w:marLeft w:val="0"/>
              <w:marRight w:val="0"/>
              <w:marTop w:val="0"/>
              <w:marBottom w:val="180"/>
              <w:divBdr>
                <w:top w:val="none" w:sz="0" w:space="0" w:color="auto"/>
                <w:left w:val="none" w:sz="0" w:space="0" w:color="auto"/>
                <w:bottom w:val="none" w:sz="0" w:space="0" w:color="auto"/>
                <w:right w:val="none" w:sz="0" w:space="0" w:color="auto"/>
              </w:divBdr>
              <w:divsChild>
                <w:div w:id="475806817">
                  <w:marLeft w:val="0"/>
                  <w:marRight w:val="0"/>
                  <w:marTop w:val="0"/>
                  <w:marBottom w:val="0"/>
                  <w:divBdr>
                    <w:top w:val="none" w:sz="0" w:space="0" w:color="auto"/>
                    <w:left w:val="none" w:sz="0" w:space="0" w:color="auto"/>
                    <w:bottom w:val="none" w:sz="0" w:space="0" w:color="auto"/>
                    <w:right w:val="none" w:sz="0" w:space="0" w:color="auto"/>
                  </w:divBdr>
                </w:div>
              </w:divsChild>
            </w:div>
            <w:div w:id="323752026">
              <w:marLeft w:val="0"/>
              <w:marRight w:val="0"/>
              <w:marTop w:val="0"/>
              <w:marBottom w:val="180"/>
              <w:divBdr>
                <w:top w:val="none" w:sz="0" w:space="0" w:color="auto"/>
                <w:left w:val="none" w:sz="0" w:space="0" w:color="auto"/>
                <w:bottom w:val="none" w:sz="0" w:space="0" w:color="auto"/>
                <w:right w:val="none" w:sz="0" w:space="0" w:color="auto"/>
              </w:divBdr>
              <w:divsChild>
                <w:div w:id="1619754574">
                  <w:marLeft w:val="0"/>
                  <w:marRight w:val="0"/>
                  <w:marTop w:val="0"/>
                  <w:marBottom w:val="0"/>
                  <w:divBdr>
                    <w:top w:val="none" w:sz="0" w:space="0" w:color="auto"/>
                    <w:left w:val="none" w:sz="0" w:space="0" w:color="auto"/>
                    <w:bottom w:val="none" w:sz="0" w:space="0" w:color="auto"/>
                    <w:right w:val="none" w:sz="0" w:space="0" w:color="auto"/>
                  </w:divBdr>
                </w:div>
              </w:divsChild>
            </w:div>
            <w:div w:id="344064493">
              <w:marLeft w:val="0"/>
              <w:marRight w:val="0"/>
              <w:marTop w:val="0"/>
              <w:marBottom w:val="180"/>
              <w:divBdr>
                <w:top w:val="none" w:sz="0" w:space="0" w:color="auto"/>
                <w:left w:val="none" w:sz="0" w:space="0" w:color="auto"/>
                <w:bottom w:val="none" w:sz="0" w:space="0" w:color="auto"/>
                <w:right w:val="none" w:sz="0" w:space="0" w:color="auto"/>
              </w:divBdr>
              <w:divsChild>
                <w:div w:id="472253514">
                  <w:marLeft w:val="0"/>
                  <w:marRight w:val="0"/>
                  <w:marTop w:val="0"/>
                  <w:marBottom w:val="0"/>
                  <w:divBdr>
                    <w:top w:val="none" w:sz="0" w:space="0" w:color="auto"/>
                    <w:left w:val="none" w:sz="0" w:space="0" w:color="auto"/>
                    <w:bottom w:val="none" w:sz="0" w:space="0" w:color="auto"/>
                    <w:right w:val="none" w:sz="0" w:space="0" w:color="auto"/>
                  </w:divBdr>
                </w:div>
              </w:divsChild>
            </w:div>
            <w:div w:id="473957746">
              <w:marLeft w:val="0"/>
              <w:marRight w:val="0"/>
              <w:marTop w:val="0"/>
              <w:marBottom w:val="240"/>
              <w:divBdr>
                <w:top w:val="none" w:sz="0" w:space="0" w:color="auto"/>
                <w:left w:val="none" w:sz="0" w:space="0" w:color="auto"/>
                <w:bottom w:val="none" w:sz="0" w:space="0" w:color="auto"/>
                <w:right w:val="none" w:sz="0" w:space="0" w:color="auto"/>
              </w:divBdr>
              <w:divsChild>
                <w:div w:id="688802622">
                  <w:marLeft w:val="0"/>
                  <w:marRight w:val="0"/>
                  <w:marTop w:val="0"/>
                  <w:marBottom w:val="0"/>
                  <w:divBdr>
                    <w:top w:val="none" w:sz="0" w:space="0" w:color="auto"/>
                    <w:left w:val="none" w:sz="0" w:space="0" w:color="auto"/>
                    <w:bottom w:val="none" w:sz="0" w:space="0" w:color="auto"/>
                    <w:right w:val="none" w:sz="0" w:space="0" w:color="auto"/>
                  </w:divBdr>
                </w:div>
              </w:divsChild>
            </w:div>
            <w:div w:id="603852006">
              <w:marLeft w:val="0"/>
              <w:marRight w:val="0"/>
              <w:marTop w:val="0"/>
              <w:marBottom w:val="180"/>
              <w:divBdr>
                <w:top w:val="none" w:sz="0" w:space="0" w:color="auto"/>
                <w:left w:val="none" w:sz="0" w:space="0" w:color="auto"/>
                <w:bottom w:val="none" w:sz="0" w:space="0" w:color="auto"/>
                <w:right w:val="none" w:sz="0" w:space="0" w:color="auto"/>
              </w:divBdr>
              <w:divsChild>
                <w:div w:id="1255240556">
                  <w:marLeft w:val="0"/>
                  <w:marRight w:val="0"/>
                  <w:marTop w:val="0"/>
                  <w:marBottom w:val="0"/>
                  <w:divBdr>
                    <w:top w:val="none" w:sz="0" w:space="0" w:color="auto"/>
                    <w:left w:val="none" w:sz="0" w:space="0" w:color="auto"/>
                    <w:bottom w:val="none" w:sz="0" w:space="0" w:color="auto"/>
                    <w:right w:val="none" w:sz="0" w:space="0" w:color="auto"/>
                  </w:divBdr>
                </w:div>
              </w:divsChild>
            </w:div>
            <w:div w:id="621305082">
              <w:marLeft w:val="0"/>
              <w:marRight w:val="0"/>
              <w:marTop w:val="0"/>
              <w:marBottom w:val="240"/>
              <w:divBdr>
                <w:top w:val="none" w:sz="0" w:space="0" w:color="auto"/>
                <w:left w:val="none" w:sz="0" w:space="0" w:color="auto"/>
                <w:bottom w:val="none" w:sz="0" w:space="0" w:color="auto"/>
                <w:right w:val="none" w:sz="0" w:space="0" w:color="auto"/>
              </w:divBdr>
              <w:divsChild>
                <w:div w:id="2012826260">
                  <w:marLeft w:val="0"/>
                  <w:marRight w:val="0"/>
                  <w:marTop w:val="0"/>
                  <w:marBottom w:val="0"/>
                  <w:divBdr>
                    <w:top w:val="none" w:sz="0" w:space="0" w:color="auto"/>
                    <w:left w:val="none" w:sz="0" w:space="0" w:color="auto"/>
                    <w:bottom w:val="none" w:sz="0" w:space="0" w:color="auto"/>
                    <w:right w:val="none" w:sz="0" w:space="0" w:color="auto"/>
                  </w:divBdr>
                </w:div>
              </w:divsChild>
            </w:div>
            <w:div w:id="646131281">
              <w:marLeft w:val="0"/>
              <w:marRight w:val="0"/>
              <w:marTop w:val="0"/>
              <w:marBottom w:val="180"/>
              <w:divBdr>
                <w:top w:val="none" w:sz="0" w:space="0" w:color="auto"/>
                <w:left w:val="none" w:sz="0" w:space="0" w:color="auto"/>
                <w:bottom w:val="none" w:sz="0" w:space="0" w:color="auto"/>
                <w:right w:val="none" w:sz="0" w:space="0" w:color="auto"/>
              </w:divBdr>
              <w:divsChild>
                <w:div w:id="1717074393">
                  <w:marLeft w:val="0"/>
                  <w:marRight w:val="0"/>
                  <w:marTop w:val="0"/>
                  <w:marBottom w:val="0"/>
                  <w:divBdr>
                    <w:top w:val="none" w:sz="0" w:space="0" w:color="auto"/>
                    <w:left w:val="none" w:sz="0" w:space="0" w:color="auto"/>
                    <w:bottom w:val="none" w:sz="0" w:space="0" w:color="auto"/>
                    <w:right w:val="none" w:sz="0" w:space="0" w:color="auto"/>
                  </w:divBdr>
                </w:div>
              </w:divsChild>
            </w:div>
            <w:div w:id="1247225050">
              <w:marLeft w:val="0"/>
              <w:marRight w:val="0"/>
              <w:marTop w:val="0"/>
              <w:marBottom w:val="240"/>
              <w:divBdr>
                <w:top w:val="none" w:sz="0" w:space="0" w:color="auto"/>
                <w:left w:val="none" w:sz="0" w:space="0" w:color="auto"/>
                <w:bottom w:val="none" w:sz="0" w:space="0" w:color="auto"/>
                <w:right w:val="none" w:sz="0" w:space="0" w:color="auto"/>
              </w:divBdr>
              <w:divsChild>
                <w:div w:id="1596403060">
                  <w:marLeft w:val="0"/>
                  <w:marRight w:val="0"/>
                  <w:marTop w:val="0"/>
                  <w:marBottom w:val="0"/>
                  <w:divBdr>
                    <w:top w:val="none" w:sz="0" w:space="0" w:color="auto"/>
                    <w:left w:val="none" w:sz="0" w:space="0" w:color="auto"/>
                    <w:bottom w:val="none" w:sz="0" w:space="0" w:color="auto"/>
                    <w:right w:val="none" w:sz="0" w:space="0" w:color="auto"/>
                  </w:divBdr>
                </w:div>
              </w:divsChild>
            </w:div>
            <w:div w:id="1371950440">
              <w:marLeft w:val="0"/>
              <w:marRight w:val="0"/>
              <w:marTop w:val="0"/>
              <w:marBottom w:val="240"/>
              <w:divBdr>
                <w:top w:val="none" w:sz="0" w:space="0" w:color="auto"/>
                <w:left w:val="none" w:sz="0" w:space="0" w:color="auto"/>
                <w:bottom w:val="none" w:sz="0" w:space="0" w:color="auto"/>
                <w:right w:val="none" w:sz="0" w:space="0" w:color="auto"/>
              </w:divBdr>
              <w:divsChild>
                <w:div w:id="1776173730">
                  <w:marLeft w:val="0"/>
                  <w:marRight w:val="0"/>
                  <w:marTop w:val="0"/>
                  <w:marBottom w:val="0"/>
                  <w:divBdr>
                    <w:top w:val="none" w:sz="0" w:space="0" w:color="auto"/>
                    <w:left w:val="none" w:sz="0" w:space="0" w:color="auto"/>
                    <w:bottom w:val="none" w:sz="0" w:space="0" w:color="auto"/>
                    <w:right w:val="none" w:sz="0" w:space="0" w:color="auto"/>
                  </w:divBdr>
                </w:div>
              </w:divsChild>
            </w:div>
            <w:div w:id="1680497015">
              <w:marLeft w:val="0"/>
              <w:marRight w:val="0"/>
              <w:marTop w:val="0"/>
              <w:marBottom w:val="240"/>
              <w:divBdr>
                <w:top w:val="none" w:sz="0" w:space="0" w:color="auto"/>
                <w:left w:val="none" w:sz="0" w:space="0" w:color="auto"/>
                <w:bottom w:val="none" w:sz="0" w:space="0" w:color="auto"/>
                <w:right w:val="none" w:sz="0" w:space="0" w:color="auto"/>
              </w:divBdr>
              <w:divsChild>
                <w:div w:id="1819954234">
                  <w:marLeft w:val="0"/>
                  <w:marRight w:val="0"/>
                  <w:marTop w:val="0"/>
                  <w:marBottom w:val="0"/>
                  <w:divBdr>
                    <w:top w:val="none" w:sz="0" w:space="0" w:color="auto"/>
                    <w:left w:val="none" w:sz="0" w:space="0" w:color="auto"/>
                    <w:bottom w:val="none" w:sz="0" w:space="0" w:color="auto"/>
                    <w:right w:val="none" w:sz="0" w:space="0" w:color="auto"/>
                  </w:divBdr>
                </w:div>
              </w:divsChild>
            </w:div>
            <w:div w:id="1954551740">
              <w:marLeft w:val="0"/>
              <w:marRight w:val="0"/>
              <w:marTop w:val="0"/>
              <w:marBottom w:val="0"/>
              <w:divBdr>
                <w:top w:val="none" w:sz="0" w:space="0" w:color="auto"/>
                <w:left w:val="none" w:sz="0" w:space="0" w:color="auto"/>
                <w:bottom w:val="none" w:sz="0" w:space="0" w:color="auto"/>
                <w:right w:val="none" w:sz="0" w:space="0" w:color="auto"/>
              </w:divBdr>
              <w:divsChild>
                <w:div w:id="445661662">
                  <w:marLeft w:val="0"/>
                  <w:marRight w:val="0"/>
                  <w:marTop w:val="0"/>
                  <w:marBottom w:val="0"/>
                  <w:divBdr>
                    <w:top w:val="none" w:sz="0" w:space="0" w:color="auto"/>
                    <w:left w:val="none" w:sz="0" w:space="0" w:color="auto"/>
                    <w:bottom w:val="none" w:sz="0" w:space="0" w:color="auto"/>
                    <w:right w:val="none" w:sz="0" w:space="0" w:color="auto"/>
                  </w:divBdr>
                </w:div>
              </w:divsChild>
            </w:div>
            <w:div w:id="1997804789">
              <w:marLeft w:val="0"/>
              <w:marRight w:val="0"/>
              <w:marTop w:val="0"/>
              <w:marBottom w:val="240"/>
              <w:divBdr>
                <w:top w:val="none" w:sz="0" w:space="0" w:color="auto"/>
                <w:left w:val="none" w:sz="0" w:space="0" w:color="auto"/>
                <w:bottom w:val="none" w:sz="0" w:space="0" w:color="auto"/>
                <w:right w:val="none" w:sz="0" w:space="0" w:color="auto"/>
              </w:divBdr>
              <w:divsChild>
                <w:div w:id="445270962">
                  <w:marLeft w:val="0"/>
                  <w:marRight w:val="0"/>
                  <w:marTop w:val="0"/>
                  <w:marBottom w:val="0"/>
                  <w:divBdr>
                    <w:top w:val="none" w:sz="0" w:space="0" w:color="auto"/>
                    <w:left w:val="none" w:sz="0" w:space="0" w:color="auto"/>
                    <w:bottom w:val="none" w:sz="0" w:space="0" w:color="auto"/>
                    <w:right w:val="none" w:sz="0" w:space="0" w:color="auto"/>
                  </w:divBdr>
                </w:div>
              </w:divsChild>
            </w:div>
            <w:div w:id="2043746430">
              <w:marLeft w:val="0"/>
              <w:marRight w:val="0"/>
              <w:marTop w:val="0"/>
              <w:marBottom w:val="180"/>
              <w:divBdr>
                <w:top w:val="none" w:sz="0" w:space="0" w:color="auto"/>
                <w:left w:val="none" w:sz="0" w:space="0" w:color="auto"/>
                <w:bottom w:val="none" w:sz="0" w:space="0" w:color="auto"/>
                <w:right w:val="none" w:sz="0" w:space="0" w:color="auto"/>
              </w:divBdr>
              <w:divsChild>
                <w:div w:id="2052458473">
                  <w:marLeft w:val="0"/>
                  <w:marRight w:val="0"/>
                  <w:marTop w:val="0"/>
                  <w:marBottom w:val="0"/>
                  <w:divBdr>
                    <w:top w:val="none" w:sz="0" w:space="0" w:color="auto"/>
                    <w:left w:val="none" w:sz="0" w:space="0" w:color="auto"/>
                    <w:bottom w:val="none" w:sz="0" w:space="0" w:color="auto"/>
                    <w:right w:val="none" w:sz="0" w:space="0" w:color="auto"/>
                  </w:divBdr>
                </w:div>
              </w:divsChild>
            </w:div>
            <w:div w:id="2122869681">
              <w:marLeft w:val="0"/>
              <w:marRight w:val="0"/>
              <w:marTop w:val="0"/>
              <w:marBottom w:val="240"/>
              <w:divBdr>
                <w:top w:val="none" w:sz="0" w:space="0" w:color="auto"/>
                <w:left w:val="none" w:sz="0" w:space="0" w:color="auto"/>
                <w:bottom w:val="none" w:sz="0" w:space="0" w:color="auto"/>
                <w:right w:val="none" w:sz="0" w:space="0" w:color="auto"/>
              </w:divBdr>
              <w:divsChild>
                <w:div w:id="1795176812">
                  <w:marLeft w:val="0"/>
                  <w:marRight w:val="0"/>
                  <w:marTop w:val="0"/>
                  <w:marBottom w:val="0"/>
                  <w:divBdr>
                    <w:top w:val="none" w:sz="0" w:space="0" w:color="auto"/>
                    <w:left w:val="none" w:sz="0" w:space="0" w:color="auto"/>
                    <w:bottom w:val="none" w:sz="0" w:space="0" w:color="auto"/>
                    <w:right w:val="none" w:sz="0" w:space="0" w:color="auto"/>
                  </w:divBdr>
                </w:div>
              </w:divsChild>
            </w:div>
            <w:div w:id="2146584420">
              <w:marLeft w:val="0"/>
              <w:marRight w:val="0"/>
              <w:marTop w:val="0"/>
              <w:marBottom w:val="180"/>
              <w:divBdr>
                <w:top w:val="none" w:sz="0" w:space="0" w:color="auto"/>
                <w:left w:val="none" w:sz="0" w:space="0" w:color="auto"/>
                <w:bottom w:val="none" w:sz="0" w:space="0" w:color="auto"/>
                <w:right w:val="none" w:sz="0" w:space="0" w:color="auto"/>
              </w:divBdr>
              <w:divsChild>
                <w:div w:id="1871186217">
                  <w:marLeft w:val="0"/>
                  <w:marRight w:val="0"/>
                  <w:marTop w:val="0"/>
                  <w:marBottom w:val="0"/>
                  <w:divBdr>
                    <w:top w:val="none" w:sz="0" w:space="0" w:color="auto"/>
                    <w:left w:val="none" w:sz="0" w:space="0" w:color="auto"/>
                    <w:bottom w:val="none" w:sz="0" w:space="0" w:color="auto"/>
                    <w:right w:val="none" w:sz="0" w:space="0" w:color="auto"/>
                  </w:divBdr>
                  <w:divsChild>
                    <w:div w:id="1384790566">
                      <w:blockQuote w:val="1"/>
                      <w:marLeft w:val="0"/>
                      <w:marRight w:val="0"/>
                      <w:marTop w:val="0"/>
                      <w:marBottom w:val="0"/>
                      <w:divBdr>
                        <w:top w:val="none" w:sz="0" w:space="0" w:color="auto"/>
                        <w:left w:val="none" w:sz="0" w:space="0" w:color="auto"/>
                        <w:bottom w:val="none" w:sz="0" w:space="0" w:color="auto"/>
                        <w:right w:val="none" w:sz="0" w:space="0" w:color="auto"/>
                      </w:divBdr>
                    </w:div>
                    <w:div w:id="1510019393">
                      <w:blockQuote w:val="1"/>
                      <w:marLeft w:val="0"/>
                      <w:marRight w:val="0"/>
                      <w:marTop w:val="0"/>
                      <w:marBottom w:val="0"/>
                      <w:divBdr>
                        <w:top w:val="none" w:sz="0" w:space="0" w:color="auto"/>
                        <w:left w:val="none" w:sz="0" w:space="0" w:color="auto"/>
                        <w:bottom w:val="none" w:sz="0" w:space="0" w:color="auto"/>
                        <w:right w:val="none" w:sz="0" w:space="0" w:color="auto"/>
                      </w:divBdr>
                    </w:div>
                    <w:div w:id="181228649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599293">
          <w:marLeft w:val="0"/>
          <w:marRight w:val="0"/>
          <w:marTop w:val="0"/>
          <w:marBottom w:val="300"/>
          <w:divBdr>
            <w:top w:val="none" w:sz="0" w:space="0" w:color="auto"/>
            <w:left w:val="none" w:sz="0" w:space="0" w:color="auto"/>
            <w:bottom w:val="none" w:sz="0" w:space="0" w:color="auto"/>
            <w:right w:val="none" w:sz="0" w:space="0" w:color="auto"/>
          </w:divBdr>
          <w:divsChild>
            <w:div w:id="199363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918904">
      <w:bodyDiv w:val="1"/>
      <w:marLeft w:val="0"/>
      <w:marRight w:val="0"/>
      <w:marTop w:val="0"/>
      <w:marBottom w:val="0"/>
      <w:divBdr>
        <w:top w:val="none" w:sz="0" w:space="0" w:color="auto"/>
        <w:left w:val="none" w:sz="0" w:space="0" w:color="auto"/>
        <w:bottom w:val="none" w:sz="0" w:space="0" w:color="auto"/>
        <w:right w:val="none" w:sz="0" w:space="0" w:color="auto"/>
      </w:divBdr>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439884282">
      <w:bodyDiv w:val="1"/>
      <w:marLeft w:val="0"/>
      <w:marRight w:val="0"/>
      <w:marTop w:val="0"/>
      <w:marBottom w:val="0"/>
      <w:divBdr>
        <w:top w:val="none" w:sz="0" w:space="0" w:color="auto"/>
        <w:left w:val="none" w:sz="0" w:space="0" w:color="auto"/>
        <w:bottom w:val="none" w:sz="0" w:space="0" w:color="auto"/>
        <w:right w:val="none" w:sz="0" w:space="0" w:color="auto"/>
      </w:divBdr>
      <w:divsChild>
        <w:div w:id="1105996874">
          <w:marLeft w:val="0"/>
          <w:marRight w:val="0"/>
          <w:marTop w:val="100"/>
          <w:marBottom w:val="100"/>
          <w:divBdr>
            <w:top w:val="none" w:sz="0" w:space="0" w:color="auto"/>
            <w:left w:val="none" w:sz="0" w:space="0" w:color="auto"/>
            <w:bottom w:val="none" w:sz="0" w:space="0" w:color="auto"/>
            <w:right w:val="none" w:sz="0" w:space="0" w:color="auto"/>
          </w:divBdr>
          <w:divsChild>
            <w:div w:id="719595201">
              <w:marLeft w:val="0"/>
              <w:marRight w:val="0"/>
              <w:marTop w:val="0"/>
              <w:marBottom w:val="0"/>
              <w:divBdr>
                <w:top w:val="none" w:sz="0" w:space="0" w:color="auto"/>
                <w:left w:val="none" w:sz="0" w:space="0" w:color="auto"/>
                <w:bottom w:val="none" w:sz="0" w:space="0" w:color="auto"/>
                <w:right w:val="none" w:sz="0" w:space="0" w:color="auto"/>
              </w:divBdr>
              <w:divsChild>
                <w:div w:id="210444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443299">
          <w:marLeft w:val="0"/>
          <w:marRight w:val="0"/>
          <w:marTop w:val="0"/>
          <w:marBottom w:val="300"/>
          <w:divBdr>
            <w:top w:val="none" w:sz="0" w:space="0" w:color="auto"/>
            <w:left w:val="none" w:sz="0" w:space="0" w:color="auto"/>
            <w:bottom w:val="none" w:sz="0" w:space="0" w:color="auto"/>
            <w:right w:val="none" w:sz="0" w:space="0" w:color="auto"/>
          </w:divBdr>
          <w:divsChild>
            <w:div w:id="35449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678879">
      <w:bodyDiv w:val="1"/>
      <w:marLeft w:val="0"/>
      <w:marRight w:val="0"/>
      <w:marTop w:val="0"/>
      <w:marBottom w:val="0"/>
      <w:divBdr>
        <w:top w:val="none" w:sz="0" w:space="0" w:color="auto"/>
        <w:left w:val="none" w:sz="0" w:space="0" w:color="auto"/>
        <w:bottom w:val="none" w:sz="0" w:space="0" w:color="auto"/>
        <w:right w:val="none" w:sz="0" w:space="0" w:color="auto"/>
      </w:divBdr>
    </w:div>
    <w:div w:id="533008774">
      <w:bodyDiv w:val="1"/>
      <w:marLeft w:val="0"/>
      <w:marRight w:val="0"/>
      <w:marTop w:val="0"/>
      <w:marBottom w:val="0"/>
      <w:divBdr>
        <w:top w:val="none" w:sz="0" w:space="0" w:color="auto"/>
        <w:left w:val="none" w:sz="0" w:space="0" w:color="auto"/>
        <w:bottom w:val="none" w:sz="0" w:space="0" w:color="auto"/>
        <w:right w:val="none" w:sz="0" w:space="0" w:color="auto"/>
      </w:divBdr>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08854061">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675957813">
      <w:bodyDiv w:val="1"/>
      <w:marLeft w:val="0"/>
      <w:marRight w:val="0"/>
      <w:marTop w:val="0"/>
      <w:marBottom w:val="0"/>
      <w:divBdr>
        <w:top w:val="none" w:sz="0" w:space="0" w:color="auto"/>
        <w:left w:val="none" w:sz="0" w:space="0" w:color="auto"/>
        <w:bottom w:val="none" w:sz="0" w:space="0" w:color="auto"/>
        <w:right w:val="none" w:sz="0" w:space="0" w:color="auto"/>
      </w:divBdr>
    </w:div>
    <w:div w:id="681051354">
      <w:bodyDiv w:val="1"/>
      <w:marLeft w:val="0"/>
      <w:marRight w:val="0"/>
      <w:marTop w:val="0"/>
      <w:marBottom w:val="0"/>
      <w:divBdr>
        <w:top w:val="none" w:sz="0" w:space="0" w:color="auto"/>
        <w:left w:val="none" w:sz="0" w:space="0" w:color="auto"/>
        <w:bottom w:val="none" w:sz="0" w:space="0" w:color="auto"/>
        <w:right w:val="none" w:sz="0" w:space="0" w:color="auto"/>
      </w:divBdr>
    </w:div>
    <w:div w:id="690452819">
      <w:bodyDiv w:val="1"/>
      <w:marLeft w:val="0"/>
      <w:marRight w:val="0"/>
      <w:marTop w:val="0"/>
      <w:marBottom w:val="0"/>
      <w:divBdr>
        <w:top w:val="none" w:sz="0" w:space="0" w:color="auto"/>
        <w:left w:val="none" w:sz="0" w:space="0" w:color="auto"/>
        <w:bottom w:val="none" w:sz="0" w:space="0" w:color="auto"/>
        <w:right w:val="none" w:sz="0" w:space="0" w:color="auto"/>
      </w:divBdr>
      <w:divsChild>
        <w:div w:id="294599548">
          <w:marLeft w:val="0"/>
          <w:marRight w:val="0"/>
          <w:marTop w:val="0"/>
          <w:marBottom w:val="300"/>
          <w:divBdr>
            <w:top w:val="none" w:sz="0" w:space="0" w:color="auto"/>
            <w:left w:val="none" w:sz="0" w:space="0" w:color="auto"/>
            <w:bottom w:val="none" w:sz="0" w:space="0" w:color="auto"/>
            <w:right w:val="none" w:sz="0" w:space="0" w:color="auto"/>
          </w:divBdr>
          <w:divsChild>
            <w:div w:id="357897048">
              <w:marLeft w:val="0"/>
              <w:marRight w:val="0"/>
              <w:marTop w:val="0"/>
              <w:marBottom w:val="0"/>
              <w:divBdr>
                <w:top w:val="none" w:sz="0" w:space="0" w:color="auto"/>
                <w:left w:val="none" w:sz="0" w:space="0" w:color="auto"/>
                <w:bottom w:val="none" w:sz="0" w:space="0" w:color="auto"/>
                <w:right w:val="none" w:sz="0" w:space="0" w:color="auto"/>
              </w:divBdr>
            </w:div>
          </w:divsChild>
        </w:div>
        <w:div w:id="416905121">
          <w:marLeft w:val="0"/>
          <w:marRight w:val="0"/>
          <w:marTop w:val="100"/>
          <w:marBottom w:val="100"/>
          <w:divBdr>
            <w:top w:val="none" w:sz="0" w:space="0" w:color="auto"/>
            <w:left w:val="none" w:sz="0" w:space="0" w:color="auto"/>
            <w:bottom w:val="none" w:sz="0" w:space="0" w:color="auto"/>
            <w:right w:val="none" w:sz="0" w:space="0" w:color="auto"/>
          </w:divBdr>
          <w:divsChild>
            <w:div w:id="681511310">
              <w:marLeft w:val="0"/>
              <w:marRight w:val="0"/>
              <w:marTop w:val="0"/>
              <w:marBottom w:val="0"/>
              <w:divBdr>
                <w:top w:val="none" w:sz="0" w:space="0" w:color="auto"/>
                <w:left w:val="none" w:sz="0" w:space="0" w:color="auto"/>
                <w:bottom w:val="none" w:sz="0" w:space="0" w:color="auto"/>
                <w:right w:val="none" w:sz="0" w:space="0" w:color="auto"/>
              </w:divBdr>
              <w:divsChild>
                <w:div w:id="130477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776679247">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66591700">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129325189">
      <w:bodyDiv w:val="1"/>
      <w:marLeft w:val="0"/>
      <w:marRight w:val="0"/>
      <w:marTop w:val="0"/>
      <w:marBottom w:val="0"/>
      <w:divBdr>
        <w:top w:val="none" w:sz="0" w:space="0" w:color="auto"/>
        <w:left w:val="none" w:sz="0" w:space="0" w:color="auto"/>
        <w:bottom w:val="none" w:sz="0" w:space="0" w:color="auto"/>
        <w:right w:val="none" w:sz="0" w:space="0" w:color="auto"/>
      </w:divBdr>
    </w:div>
    <w:div w:id="1159691953">
      <w:bodyDiv w:val="1"/>
      <w:marLeft w:val="0"/>
      <w:marRight w:val="0"/>
      <w:marTop w:val="0"/>
      <w:marBottom w:val="0"/>
      <w:divBdr>
        <w:top w:val="none" w:sz="0" w:space="0" w:color="auto"/>
        <w:left w:val="none" w:sz="0" w:space="0" w:color="auto"/>
        <w:bottom w:val="none" w:sz="0" w:space="0" w:color="auto"/>
        <w:right w:val="none" w:sz="0" w:space="0" w:color="auto"/>
      </w:divBdr>
    </w:div>
    <w:div w:id="1253903220">
      <w:bodyDiv w:val="1"/>
      <w:marLeft w:val="0"/>
      <w:marRight w:val="0"/>
      <w:marTop w:val="0"/>
      <w:marBottom w:val="0"/>
      <w:divBdr>
        <w:top w:val="none" w:sz="0" w:space="0" w:color="auto"/>
        <w:left w:val="none" w:sz="0" w:space="0" w:color="auto"/>
        <w:bottom w:val="none" w:sz="0" w:space="0" w:color="auto"/>
        <w:right w:val="none" w:sz="0" w:space="0" w:color="auto"/>
      </w:divBdr>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298534827">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316685744">
      <w:bodyDiv w:val="1"/>
      <w:marLeft w:val="0"/>
      <w:marRight w:val="0"/>
      <w:marTop w:val="0"/>
      <w:marBottom w:val="0"/>
      <w:divBdr>
        <w:top w:val="none" w:sz="0" w:space="0" w:color="auto"/>
        <w:left w:val="none" w:sz="0" w:space="0" w:color="auto"/>
        <w:bottom w:val="none" w:sz="0" w:space="0" w:color="auto"/>
        <w:right w:val="none" w:sz="0" w:space="0" w:color="auto"/>
      </w:divBdr>
    </w:div>
    <w:div w:id="1472287953">
      <w:bodyDiv w:val="1"/>
      <w:marLeft w:val="0"/>
      <w:marRight w:val="0"/>
      <w:marTop w:val="0"/>
      <w:marBottom w:val="0"/>
      <w:divBdr>
        <w:top w:val="none" w:sz="0" w:space="0" w:color="auto"/>
        <w:left w:val="none" w:sz="0" w:space="0" w:color="auto"/>
        <w:bottom w:val="none" w:sz="0" w:space="0" w:color="auto"/>
        <w:right w:val="none" w:sz="0" w:space="0" w:color="auto"/>
      </w:divBdr>
    </w:div>
    <w:div w:id="1481770814">
      <w:bodyDiv w:val="1"/>
      <w:marLeft w:val="0"/>
      <w:marRight w:val="0"/>
      <w:marTop w:val="0"/>
      <w:marBottom w:val="0"/>
      <w:divBdr>
        <w:top w:val="none" w:sz="0" w:space="0" w:color="auto"/>
        <w:left w:val="none" w:sz="0" w:space="0" w:color="auto"/>
        <w:bottom w:val="none" w:sz="0" w:space="0" w:color="auto"/>
        <w:right w:val="none" w:sz="0" w:space="0" w:color="auto"/>
      </w:divBdr>
    </w:div>
    <w:div w:id="1533494221">
      <w:bodyDiv w:val="1"/>
      <w:marLeft w:val="0"/>
      <w:marRight w:val="0"/>
      <w:marTop w:val="0"/>
      <w:marBottom w:val="0"/>
      <w:divBdr>
        <w:top w:val="none" w:sz="0" w:space="0" w:color="auto"/>
        <w:left w:val="none" w:sz="0" w:space="0" w:color="auto"/>
        <w:bottom w:val="none" w:sz="0" w:space="0" w:color="auto"/>
        <w:right w:val="none" w:sz="0" w:space="0" w:color="auto"/>
      </w:divBdr>
    </w:div>
    <w:div w:id="1549688503">
      <w:bodyDiv w:val="1"/>
      <w:marLeft w:val="0"/>
      <w:marRight w:val="0"/>
      <w:marTop w:val="0"/>
      <w:marBottom w:val="0"/>
      <w:divBdr>
        <w:top w:val="none" w:sz="0" w:space="0" w:color="auto"/>
        <w:left w:val="none" w:sz="0" w:space="0" w:color="auto"/>
        <w:bottom w:val="none" w:sz="0" w:space="0" w:color="auto"/>
        <w:right w:val="none" w:sz="0" w:space="0" w:color="auto"/>
      </w:divBdr>
    </w:div>
    <w:div w:id="1622567592">
      <w:bodyDiv w:val="1"/>
      <w:marLeft w:val="0"/>
      <w:marRight w:val="0"/>
      <w:marTop w:val="0"/>
      <w:marBottom w:val="0"/>
      <w:divBdr>
        <w:top w:val="none" w:sz="0" w:space="0" w:color="auto"/>
        <w:left w:val="none" w:sz="0" w:space="0" w:color="auto"/>
        <w:bottom w:val="none" w:sz="0" w:space="0" w:color="auto"/>
        <w:right w:val="none" w:sz="0" w:space="0" w:color="auto"/>
      </w:divBdr>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635038">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01942028">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1995328432">
      <w:bodyDiv w:val="1"/>
      <w:marLeft w:val="0"/>
      <w:marRight w:val="0"/>
      <w:marTop w:val="0"/>
      <w:marBottom w:val="0"/>
      <w:divBdr>
        <w:top w:val="none" w:sz="0" w:space="0" w:color="auto"/>
        <w:left w:val="none" w:sz="0" w:space="0" w:color="auto"/>
        <w:bottom w:val="none" w:sz="0" w:space="0" w:color="auto"/>
        <w:right w:val="none" w:sz="0" w:space="0" w:color="auto"/>
      </w:divBdr>
    </w:div>
    <w:div w:id="2024240350">
      <w:bodyDiv w:val="1"/>
      <w:marLeft w:val="0"/>
      <w:marRight w:val="0"/>
      <w:marTop w:val="0"/>
      <w:marBottom w:val="0"/>
      <w:divBdr>
        <w:top w:val="none" w:sz="0" w:space="0" w:color="auto"/>
        <w:left w:val="none" w:sz="0" w:space="0" w:color="auto"/>
        <w:bottom w:val="none" w:sz="0" w:space="0" w:color="auto"/>
        <w:right w:val="none" w:sz="0" w:space="0" w:color="auto"/>
      </w:divBdr>
    </w:div>
    <w:div w:id="2024673093">
      <w:bodyDiv w:val="1"/>
      <w:marLeft w:val="0"/>
      <w:marRight w:val="0"/>
      <w:marTop w:val="0"/>
      <w:marBottom w:val="0"/>
      <w:divBdr>
        <w:top w:val="none" w:sz="0" w:space="0" w:color="auto"/>
        <w:left w:val="none" w:sz="0" w:space="0" w:color="auto"/>
        <w:bottom w:val="none" w:sz="0" w:space="0" w:color="auto"/>
        <w:right w:val="none" w:sz="0" w:space="0" w:color="auto"/>
      </w:divBdr>
    </w:div>
    <w:div w:id="2109036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4SQX5P7U7WPY-958212181-817766</_dlc_DocId>
    <_dlc_DocIdUrl xmlns="c890fddd-4e87-4e08-8b51-545f2a3f7b06">
      <Url>https://senpr.sharepoint.com/sites/obralegislativa/_layouts/15/DocIdRedir.aspx?ID=4SQX5P7U7WPY-958212181-817766</Url>
      <Description>4SQX5P7U7WPY-958212181-817766</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4F68284-6A79-4E91-B0F5-3E68E8ED36C0}">
  <ds:schemaRefs>
    <ds:schemaRef ds:uri="http://schemas.microsoft.com/sharepoint/v3/contenttype/forms"/>
  </ds:schemaRefs>
</ds:datastoreItem>
</file>

<file path=customXml/itemProps2.xml><?xml version="1.0" encoding="utf-8"?>
<ds:datastoreItem xmlns:ds="http://schemas.openxmlformats.org/officeDocument/2006/customXml" ds:itemID="{121DCE16-A0F6-43FA-8C98-25446C9BA88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5188FDA-9F3E-4697-B675-1F2FE91CE453}">
  <ds:schemaRefs>
    <ds:schemaRef ds:uri="http://schemas.openxmlformats.org/officeDocument/2006/bibliography"/>
  </ds:schemaRefs>
</ds:datastoreItem>
</file>

<file path=customXml/itemProps4.xml><?xml version="1.0" encoding="utf-8"?>
<ds:datastoreItem xmlns:ds="http://schemas.openxmlformats.org/officeDocument/2006/customXml" ds:itemID="{A1BDBB04-A0B1-4158-8F3F-7A6812E96D75}"/>
</file>

<file path=customXml/itemProps5.xml><?xml version="1.0" encoding="utf-8"?>
<ds:datastoreItem xmlns:ds="http://schemas.openxmlformats.org/officeDocument/2006/customXml" ds:itemID="{E0E6113D-70DB-4B3E-B8D4-3005A9C4671A}"/>
</file>

<file path=docProps/app.xml><?xml version="1.0" encoding="utf-8"?>
<Properties xmlns="http://schemas.openxmlformats.org/officeDocument/2006/extended-properties" xmlns:vt="http://schemas.openxmlformats.org/officeDocument/2006/docPropsVTypes">
  <Template>Normal</Template>
  <TotalTime>2</TotalTime>
  <Pages>6</Pages>
  <Words>1750</Words>
  <Characters>9981</Characters>
  <Application>Microsoft Office Word</Application>
  <DocSecurity>0</DocSecurity>
  <Lines>83</Lines>
  <Paragraphs>23</Paragraphs>
  <ScaleCrop>false</ScaleCrop>
  <Company/>
  <LinksUpToDate>false</LinksUpToDate>
  <CharactersWithSpaces>11708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Eric J. González (Trámites y Récords)</cp:lastModifiedBy>
  <cp:revision>3</cp:revision>
  <cp:lastPrinted>2021-03-03T06:31:00Z</cp:lastPrinted>
  <dcterms:created xsi:type="dcterms:W3CDTF">2025-08-22T17:07:00Z</dcterms:created>
  <dcterms:modified xsi:type="dcterms:W3CDTF">2025-08-22T17:07:00Z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e60e45ad-13b8-42c4-bc38-efc1cd343825</vt:lpwstr>
  </property>
  <property fmtid="{D5CDD505-2E9C-101B-9397-08002B2CF9AE}" pid="4" name="MediaServiceImageTags">
    <vt:lpwstr/>
  </property>
</Properties>
</file>