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26A1" w14:textId="77777777" w:rsidR="002670C1" w:rsidRPr="0034762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4762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4762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6FEDA76E" w14:textId="77777777" w:rsidR="002670C1" w:rsidRPr="0034762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0B3D28F7" w14:textId="77777777" w:rsidR="002670C1" w:rsidRPr="0034762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4762C">
        <w:rPr>
          <w:rFonts w:ascii="Book Antiqua" w:hAnsi="Book Antiqua"/>
          <w:szCs w:val="24"/>
          <w:lang w:val="es-ES_tradnl"/>
        </w:rPr>
        <w:t>20m</w:t>
      </w:r>
      <w:r w:rsidR="002670C1" w:rsidRPr="0034762C">
        <w:rPr>
          <w:rFonts w:ascii="Book Antiqua" w:hAnsi="Book Antiqua"/>
          <w:szCs w:val="24"/>
          <w:lang w:val="es-ES_tradnl"/>
        </w:rPr>
        <w:t>a. Asamblea</w:t>
      </w:r>
      <w:r w:rsidR="002670C1" w:rsidRPr="0034762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4762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 </w:t>
      </w:r>
      <w:r w:rsidR="00445CFE" w:rsidRPr="0034762C">
        <w:rPr>
          <w:rFonts w:ascii="Book Antiqua" w:hAnsi="Book Antiqua"/>
          <w:szCs w:val="24"/>
          <w:lang w:val="es-ES_tradnl"/>
        </w:rPr>
        <w:t>1r</w:t>
      </w:r>
      <w:r w:rsidR="002670C1" w:rsidRPr="0034762C">
        <w:rPr>
          <w:rFonts w:ascii="Book Antiqua" w:hAnsi="Book Antiqua"/>
          <w:szCs w:val="24"/>
          <w:lang w:val="es-ES_tradnl"/>
        </w:rPr>
        <w:t>a. Sesión</w:t>
      </w:r>
    </w:p>
    <w:p w14:paraId="445944E7" w14:textId="77777777" w:rsidR="002670C1" w:rsidRPr="0034762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4762C">
        <w:rPr>
          <w:rFonts w:ascii="Book Antiqua" w:hAnsi="Book Antiqua"/>
          <w:szCs w:val="24"/>
          <w:lang w:val="es-ES_tradnl"/>
        </w:rPr>
        <w:tab/>
        <w:t>Legislativa</w:t>
      </w:r>
      <w:r w:rsidRPr="0034762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      </w:t>
      </w:r>
      <w:r w:rsidRPr="0034762C">
        <w:rPr>
          <w:rFonts w:ascii="Book Antiqua" w:hAnsi="Book Antiqua"/>
          <w:szCs w:val="24"/>
          <w:lang w:val="es-ES_tradnl"/>
        </w:rPr>
        <w:t xml:space="preserve"> </w:t>
      </w:r>
      <w:r w:rsidR="00632DBA" w:rsidRPr="0034762C">
        <w:rPr>
          <w:rFonts w:ascii="Book Antiqua" w:hAnsi="Book Antiqua"/>
          <w:szCs w:val="24"/>
          <w:lang w:val="es-ES_tradnl"/>
        </w:rPr>
        <w:t xml:space="preserve"> </w:t>
      </w:r>
      <w:r w:rsidRPr="0034762C">
        <w:rPr>
          <w:rFonts w:ascii="Book Antiqua" w:hAnsi="Book Antiqua"/>
          <w:szCs w:val="24"/>
          <w:lang w:val="es-ES_tradnl"/>
        </w:rPr>
        <w:t>Ordinaria</w:t>
      </w:r>
    </w:p>
    <w:p w14:paraId="2FB51C19" w14:textId="77777777" w:rsidR="002670C1" w:rsidRPr="0034762C" w:rsidRDefault="002670C1" w:rsidP="002670C1">
      <w:pPr>
        <w:rPr>
          <w:rFonts w:ascii="Book Antiqua" w:hAnsi="Book Antiqua"/>
          <w:lang w:val="es-ES_tradnl"/>
        </w:rPr>
      </w:pPr>
    </w:p>
    <w:p w14:paraId="5203BE2D" w14:textId="77777777" w:rsidR="002670C1" w:rsidRPr="0034762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4762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4A3AF0B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67F2C03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7C8420A" w14:textId="77777777" w:rsidR="002670C1" w:rsidRPr="0034762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34762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870B7E" w:rsidRPr="0034762C">
        <w:rPr>
          <w:rFonts w:ascii="Book Antiqua" w:hAnsi="Book Antiqua" w:cs="Tahoma"/>
          <w:b/>
          <w:sz w:val="52"/>
          <w:szCs w:val="52"/>
          <w:lang w:val="es-ES_tradnl"/>
        </w:rPr>
        <w:t>299</w:t>
      </w:r>
    </w:p>
    <w:p w14:paraId="789A3007" w14:textId="77777777" w:rsidR="001A14B6" w:rsidRPr="0034762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4E3177CD" w14:textId="77777777" w:rsidR="002670C1" w:rsidRPr="0034762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4762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4762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5ACDC5AB" w14:textId="77777777" w:rsidR="002670C1" w:rsidRPr="0034762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32514ED" w14:textId="77777777" w:rsidR="002670C1" w:rsidRPr="0034762C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 xml:space="preserve"> </w:t>
      </w:r>
      <w:r w:rsidR="00870B7E" w:rsidRPr="0034762C">
        <w:rPr>
          <w:rFonts w:ascii="Book Antiqua" w:hAnsi="Book Antiqua" w:cs="Tahoma"/>
          <w:lang w:val="es-ES_tradnl"/>
        </w:rPr>
        <w:t>2</w:t>
      </w:r>
      <w:r w:rsidR="005A1A53">
        <w:rPr>
          <w:rFonts w:ascii="Book Antiqua" w:hAnsi="Book Antiqua" w:cs="Tahoma"/>
          <w:lang w:val="es-ES_tradnl"/>
        </w:rPr>
        <w:t>3</w:t>
      </w:r>
      <w:r w:rsidRPr="0034762C">
        <w:rPr>
          <w:rFonts w:ascii="Book Antiqua" w:hAnsi="Book Antiqua" w:cs="Tahoma"/>
          <w:lang w:val="es-ES_tradnl"/>
        </w:rPr>
        <w:t xml:space="preserve"> de </w:t>
      </w:r>
      <w:r w:rsidR="00F533D4" w:rsidRPr="0034762C">
        <w:rPr>
          <w:rFonts w:ascii="Book Antiqua" w:hAnsi="Book Antiqua" w:cs="Tahoma"/>
          <w:lang w:val="es-ES_tradnl"/>
        </w:rPr>
        <w:t>junio</w:t>
      </w:r>
      <w:r w:rsidRPr="0034762C">
        <w:rPr>
          <w:rFonts w:ascii="Book Antiqua" w:hAnsi="Book Antiqua" w:cs="Tahoma"/>
          <w:lang w:val="es-ES_tradnl"/>
        </w:rPr>
        <w:t xml:space="preserve"> de </w:t>
      </w:r>
      <w:r w:rsidR="00333864" w:rsidRPr="0034762C">
        <w:rPr>
          <w:rFonts w:ascii="Book Antiqua" w:hAnsi="Book Antiqua" w:cs="Tahoma"/>
          <w:lang w:val="es-ES_tradnl"/>
        </w:rPr>
        <w:t>2025</w:t>
      </w:r>
    </w:p>
    <w:p w14:paraId="60A09FD6" w14:textId="77777777" w:rsidR="002670C1" w:rsidRPr="0034762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D20C97C" w14:textId="77777777" w:rsidR="00EF143E" w:rsidRPr="0034762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3DDE4D60" w14:textId="77777777" w:rsidR="002670C1" w:rsidRPr="0034762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4762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144B1F9D" w14:textId="77777777" w:rsidR="002670C1" w:rsidRPr="0034762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2108854E" w14:textId="77777777" w:rsidR="00682883" w:rsidRPr="0034762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ab/>
      </w:r>
      <w:r w:rsidR="008A4022" w:rsidRPr="0034762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34762C">
        <w:rPr>
          <w:rFonts w:ascii="Book Antiqua" w:hAnsi="Book Antiqua" w:cs="Tahoma"/>
          <w:lang w:val="es-ES_tradnl"/>
        </w:rPr>
        <w:t>sideración de la R. de la C.</w:t>
      </w:r>
      <w:r w:rsidR="00870B7E" w:rsidRPr="0034762C">
        <w:rPr>
          <w:rFonts w:ascii="Book Antiqua" w:hAnsi="Book Antiqua" w:cs="Tahoma"/>
          <w:lang w:val="es-ES_tradnl"/>
        </w:rPr>
        <w:t xml:space="preserve"> 299</w:t>
      </w:r>
      <w:r w:rsidR="00FA5F29" w:rsidRPr="0034762C">
        <w:rPr>
          <w:rFonts w:ascii="Book Antiqua" w:hAnsi="Book Antiqua" w:cs="Tahoma"/>
          <w:lang w:val="es-ES_tradnl"/>
        </w:rPr>
        <w:t xml:space="preserve">, </w:t>
      </w:r>
      <w:r w:rsidR="00682883" w:rsidRPr="0034762C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5EEECECF" w14:textId="77777777" w:rsidR="00BC1CB2" w:rsidRPr="0034762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0A80D45D" w14:textId="77777777" w:rsidR="008D4A0A" w:rsidRPr="0034762C" w:rsidRDefault="00BC1CB2" w:rsidP="00870B7E">
      <w:pPr>
        <w:ind w:left="567" w:hanging="567"/>
        <w:jc w:val="both"/>
        <w:rPr>
          <w:rFonts w:ascii="Book Antiqua" w:hAnsi="Book Antiqua"/>
          <w:lang w:val="es-ES_tradnl"/>
        </w:rPr>
      </w:pPr>
      <w:r w:rsidRPr="0034762C">
        <w:rPr>
          <w:rFonts w:ascii="Book Antiqua" w:hAnsi="Book Antiqua" w:cs="Tahoma"/>
          <w:lang w:val="es-ES_tradnl"/>
        </w:rPr>
        <w:t xml:space="preserve"> </w:t>
      </w:r>
      <w:r w:rsidR="00E86FF9" w:rsidRPr="0034762C">
        <w:rPr>
          <w:rFonts w:ascii="Book Antiqua" w:hAnsi="Book Antiqua" w:cs="Tahoma"/>
          <w:lang w:val="es-ES_tradnl"/>
        </w:rPr>
        <w:t>“</w:t>
      </w:r>
      <w:r w:rsidR="00E86FF9" w:rsidRPr="0034762C">
        <w:rPr>
          <w:rFonts w:ascii="Book Antiqua" w:hAnsi="Book Antiqua"/>
          <w:lang w:val="es-ES_tradnl"/>
        </w:rPr>
        <w:t>Para</w:t>
      </w:r>
      <w:r w:rsidR="00E86FF9" w:rsidRPr="0034762C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34762C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34762C">
        <w:rPr>
          <w:rFonts w:ascii="Book Antiqua" w:hAnsi="Book Antiqua"/>
          <w:lang w:val="es-ES_tradnl"/>
        </w:rPr>
        <w:t xml:space="preserve">a la Comisión </w:t>
      </w:r>
      <w:r w:rsidR="00C321E8" w:rsidRPr="0034762C">
        <w:rPr>
          <w:rFonts w:ascii="Book Antiqua" w:hAnsi="Book Antiqua"/>
          <w:lang w:val="es-ES_tradnl"/>
        </w:rPr>
        <w:t>de</w:t>
      </w:r>
      <w:r w:rsidR="00DF3E6F" w:rsidRPr="0034762C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870B7E" w:rsidRPr="0034762C">
        <w:rPr>
          <w:rFonts w:ascii="Book Antiqua" w:hAnsi="Book Antiqua"/>
          <w:lang w:val="es-ES_tradnl"/>
        </w:rPr>
        <w:t xml:space="preserve">Educación de la Cámara de Representantes de Puerto Rico realizar una investigación sobre las condiciones de las facilidades educativas, recreativas y deportivas de la Universidad de Puerto Rico, Recinto de Bayamón, </w:t>
      </w:r>
      <w:r w:rsidR="00870B7E" w:rsidRPr="0034762C">
        <w:rPr>
          <w:rFonts w:ascii="Book Antiqua" w:hAnsi="Book Antiqua"/>
          <w:iCs/>
          <w:lang w:val="es-ES_tradnl"/>
        </w:rPr>
        <w:t xml:space="preserve">los planes de acondicionamiento de dichas instalaciones, el uso y desembolso de fondos federales de recuperación, así como el impacto del deterioro físico sobre la salud y seguridad de la comunidad universitaria; </w:t>
      </w:r>
      <w:r w:rsidR="00870B7E" w:rsidRPr="0034762C">
        <w:rPr>
          <w:rFonts w:ascii="Book Antiqua" w:hAnsi="Book Antiqua"/>
          <w:lang w:val="es-ES_tradnl"/>
        </w:rPr>
        <w:t>y para otros fines relacionados.</w:t>
      </w:r>
      <w:r w:rsidR="00FA5F29" w:rsidRPr="0034762C">
        <w:rPr>
          <w:rFonts w:ascii="Book Antiqua" w:hAnsi="Book Antiqua"/>
          <w:bCs/>
          <w:lang w:val="es-ES_tradnl"/>
        </w:rPr>
        <w:t>”</w:t>
      </w:r>
    </w:p>
    <w:p w14:paraId="0B5F9C40" w14:textId="77777777" w:rsidR="00AD4702" w:rsidRPr="0034762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6DF9FA05" w14:textId="77777777" w:rsidR="008A1F08" w:rsidRPr="0034762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34762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29F9898E" w14:textId="77777777" w:rsidR="00DE02EB" w:rsidRPr="0034762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51ECA40" w14:textId="77777777" w:rsidR="0034762C" w:rsidRPr="0034762C" w:rsidRDefault="00CC4336" w:rsidP="0034762C">
      <w:pPr>
        <w:jc w:val="both"/>
        <w:rPr>
          <w:rFonts w:ascii="Book Antiqua" w:hAnsi="Book Antiqua"/>
          <w:lang w:val="es-ES_tradnl"/>
        </w:rPr>
      </w:pPr>
      <w:r w:rsidRPr="00DC2C8B">
        <w:rPr>
          <w:rFonts w:ascii="Book Antiqua" w:eastAsia="Calibri" w:hAnsi="Book Antiqua"/>
          <w:lang w:val="es-ES_tradnl"/>
        </w:rPr>
        <w:t xml:space="preserve"> </w:t>
      </w:r>
      <w:r w:rsidR="00160E62" w:rsidRPr="00DC2C8B">
        <w:rPr>
          <w:rFonts w:ascii="Book Antiqua" w:eastAsia="Calibri" w:hAnsi="Book Antiqua"/>
          <w:lang w:val="es-ES_tradnl"/>
        </w:rPr>
        <w:tab/>
      </w:r>
      <w:r w:rsidR="00DE02EB" w:rsidRPr="0034762C">
        <w:rPr>
          <w:rFonts w:ascii="Book Antiqua" w:hAnsi="Book Antiqua"/>
          <w:lang w:val="es-ES_tradnl"/>
        </w:rPr>
        <w:t>La</w:t>
      </w:r>
      <w:r w:rsidR="00194744" w:rsidRPr="0034762C">
        <w:rPr>
          <w:rFonts w:ascii="Book Antiqua" w:hAnsi="Book Antiqua"/>
          <w:lang w:val="es-ES_tradnl"/>
        </w:rPr>
        <w:t xml:space="preserve"> Resolución de la Cámara Núm.</w:t>
      </w:r>
      <w:r w:rsidR="00870B7E" w:rsidRPr="0034762C">
        <w:rPr>
          <w:rFonts w:ascii="Book Antiqua" w:hAnsi="Book Antiqua"/>
          <w:lang w:val="es-ES_tradnl"/>
        </w:rPr>
        <w:t xml:space="preserve"> 299 </w:t>
      </w:r>
      <w:r w:rsidR="0034762C" w:rsidRPr="0034762C">
        <w:rPr>
          <w:rFonts w:ascii="Book Antiqua" w:hAnsi="Book Antiqua"/>
          <w:lang w:val="es-ES_tradnl"/>
        </w:rPr>
        <w:t>persigue atender de forma directa la situación que enfrenta la Universidad de Puerto Rico, Recinto de Bayamón, en cuanto al deterioro de sus instalaciones educativas, recreativas y deportivas. Según se detalla en la Exposición de Motivos, esta unidad académica, que representa una de las principales instituciones de educación superior en el área metropolitana y la tercera en matrícula dentro del sistema UPR, enfrenta múltiples deficiencias estructurales que ponen en riesgo la salud, seguridad y bienestar de su comunidad universitaria.</w:t>
      </w:r>
    </w:p>
    <w:p w14:paraId="6941E5E5" w14:textId="77777777" w:rsidR="0034762C" w:rsidRPr="0034762C" w:rsidRDefault="0034762C" w:rsidP="0034762C">
      <w:pPr>
        <w:jc w:val="both"/>
        <w:rPr>
          <w:rFonts w:ascii="Book Antiqua" w:hAnsi="Book Antiqua"/>
          <w:lang w:val="es-ES_tradnl"/>
        </w:rPr>
      </w:pPr>
    </w:p>
    <w:p w14:paraId="201D6A92" w14:textId="77777777" w:rsidR="0034762C" w:rsidRPr="0034762C" w:rsidRDefault="0034762C" w:rsidP="00160E62">
      <w:pPr>
        <w:ind w:firstLine="708"/>
        <w:jc w:val="both"/>
        <w:rPr>
          <w:rFonts w:ascii="Book Antiqua" w:hAnsi="Book Antiqua"/>
          <w:lang w:val="es-ES_tradnl"/>
        </w:rPr>
      </w:pPr>
      <w:r w:rsidRPr="0034762C">
        <w:rPr>
          <w:rFonts w:ascii="Book Antiqua" w:hAnsi="Book Antiqua"/>
          <w:lang w:val="es-ES_tradnl"/>
        </w:rPr>
        <w:t xml:space="preserve">Entre las condiciones señaladas se incluyen salones con filtraciones, hongos, baños en mal estado, áreas deportivas inutilizables y una pista atlética parcialmente </w:t>
      </w:r>
      <w:r w:rsidRPr="0034762C">
        <w:rPr>
          <w:rFonts w:ascii="Book Antiqua" w:hAnsi="Book Antiqua"/>
          <w:lang w:val="es-ES_tradnl"/>
        </w:rPr>
        <w:lastRenderedPageBreak/>
        <w:t>operativa. Además, el plan de reconstrucción, estimado en $82 millones y financiado en su mayoría con fondos federales de FEMA y CDBG-DR, ha enfrentado atrasos significativos en su ejecución, según la Oficina Central de Recuperación, Reconstrucción y Resiliencia (COR3).</w:t>
      </w:r>
    </w:p>
    <w:p w14:paraId="238E177E" w14:textId="77777777" w:rsidR="0034762C" w:rsidRPr="0034762C" w:rsidRDefault="0034762C" w:rsidP="0034762C">
      <w:pPr>
        <w:jc w:val="both"/>
        <w:rPr>
          <w:rFonts w:ascii="Book Antiqua" w:hAnsi="Book Antiqua"/>
          <w:lang w:val="es-ES_tradnl"/>
        </w:rPr>
      </w:pPr>
    </w:p>
    <w:p w14:paraId="1D27F5F2" w14:textId="77777777" w:rsidR="0034762C" w:rsidRPr="0034762C" w:rsidRDefault="0034762C" w:rsidP="00160E62">
      <w:pPr>
        <w:ind w:firstLine="708"/>
        <w:jc w:val="both"/>
        <w:rPr>
          <w:rFonts w:ascii="Book Antiqua" w:hAnsi="Book Antiqua"/>
          <w:lang w:val="es-ES_tradnl"/>
        </w:rPr>
      </w:pPr>
      <w:r w:rsidRPr="0034762C">
        <w:rPr>
          <w:rFonts w:ascii="Book Antiqua" w:hAnsi="Book Antiqua"/>
          <w:lang w:val="es-ES_tradnl"/>
        </w:rPr>
        <w:t>La medida busca facultar a la Comisión de Educación realizar una investigación abarcadora que no solo documente las condiciones actuales del Recinto, sino que también examine la ejecución y desembolso de los fondos de recuperación asignados, evalúe los planes de acondicionamiento y determine el impacto de estas deficiencias sobre la comunidad universitaria.</w:t>
      </w:r>
    </w:p>
    <w:p w14:paraId="21130F18" w14:textId="77777777" w:rsidR="0034762C" w:rsidRPr="0034762C" w:rsidRDefault="0034762C" w:rsidP="0034762C">
      <w:pPr>
        <w:jc w:val="both"/>
        <w:rPr>
          <w:rFonts w:ascii="Book Antiqua" w:hAnsi="Book Antiqua"/>
          <w:lang w:val="es-ES_tradnl"/>
        </w:rPr>
      </w:pPr>
    </w:p>
    <w:p w14:paraId="7336DED0" w14:textId="77777777" w:rsidR="00DF3E6F" w:rsidRPr="0034762C" w:rsidRDefault="0034762C" w:rsidP="00160E62">
      <w:pPr>
        <w:ind w:firstLine="708"/>
        <w:jc w:val="both"/>
        <w:rPr>
          <w:rFonts w:ascii="Book Antiqua" w:hAnsi="Book Antiqua"/>
          <w:lang w:val="es-ES_tradnl"/>
        </w:rPr>
      </w:pPr>
      <w:r w:rsidRPr="0034762C">
        <w:rPr>
          <w:rFonts w:ascii="Book Antiqua" w:hAnsi="Book Antiqua"/>
          <w:lang w:val="es-ES_tradnl"/>
        </w:rPr>
        <w:t>Asimismo, la investigación deberá proponer medidas administrativas y legislativas dirigidas a atender con urgencia la situación, y asegurar el desarrollo académico, cultural y deportivo en instalaciones seguras y adecuadas. La Comisión entiende que esta investigación es esencial para la formulación de política pública en defensa de la universidad pública y de la equidad en el acceso a la educación superior de calidad.</w:t>
      </w:r>
    </w:p>
    <w:p w14:paraId="1B0EBC43" w14:textId="77777777" w:rsidR="006150BB" w:rsidRPr="0034762C" w:rsidRDefault="006150BB" w:rsidP="0034762C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4762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F5922FE" w14:textId="77777777" w:rsidR="006150BB" w:rsidRPr="0034762C" w:rsidRDefault="006150BB" w:rsidP="00160E62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34762C">
        <w:rPr>
          <w:rFonts w:ascii="Book Antiqua" w:hAnsi="Book Antiqua"/>
          <w:sz w:val="24"/>
          <w:szCs w:val="24"/>
          <w:lang w:val="es-ES_tradnl"/>
        </w:rPr>
        <w:t xml:space="preserve">En atención a lo expuesto, la Comisión de Asuntos Internos concluye que la medida propuesta tiene un fin loable y cumple con los requisitos legales y constitucionales necesarios para su aprobación. Por tal razón, se recomienda la aprobación de la Resolución de la Cámara </w:t>
      </w:r>
      <w:r w:rsidR="0034762C" w:rsidRPr="0034762C">
        <w:rPr>
          <w:rFonts w:ascii="Book Antiqua" w:hAnsi="Book Antiqua"/>
          <w:sz w:val="24"/>
          <w:szCs w:val="24"/>
          <w:lang w:val="es-ES_tradnl"/>
        </w:rPr>
        <w:t>299</w:t>
      </w:r>
      <w:r w:rsidR="00FC4A75" w:rsidRPr="0034762C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34762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34762C">
        <w:rPr>
          <w:rFonts w:ascii="Book Antiqua" w:hAnsi="Book Antiqua"/>
          <w:sz w:val="24"/>
          <w:szCs w:val="24"/>
          <w:lang w:val="es-ES_tradnl"/>
        </w:rPr>
        <w:t xml:space="preserve">las enmiendas incluidas en el entirillado electrónico que acompaña este informe. </w:t>
      </w:r>
      <w:r w:rsidRPr="0034762C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9A03D25" w14:textId="77777777" w:rsidR="006150BB" w:rsidRPr="0034762C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34762C">
        <w:rPr>
          <w:rFonts w:ascii="Book Antiqua" w:hAnsi="Book Antiqua" w:cs="Tahoma"/>
          <w:lang w:val="es-ES_tradnl"/>
        </w:rPr>
        <w:t>Respetuosamente sometido,</w:t>
      </w:r>
    </w:p>
    <w:p w14:paraId="53568A3C" w14:textId="77777777" w:rsidR="00DF3E6F" w:rsidRPr="0034762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A01F8D0" w14:textId="77777777" w:rsidR="00F27289" w:rsidRPr="0034762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34762C">
        <w:rPr>
          <w:rFonts w:ascii="Book Antiqua" w:hAnsi="Book Antiqua"/>
          <w:lang w:val="es-ES_tradnl"/>
        </w:rPr>
        <w:t xml:space="preserve">    </w:t>
      </w:r>
    </w:p>
    <w:p w14:paraId="78B3154E" w14:textId="77777777" w:rsidR="00580E90" w:rsidRPr="0034762C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09455810" w14:textId="77777777" w:rsidR="003F3D8D" w:rsidRPr="0034762C" w:rsidRDefault="003F3D8D" w:rsidP="003F3D8D">
      <w:pPr>
        <w:rPr>
          <w:rFonts w:ascii="Book Antiqua" w:hAnsi="Book Antiqua" w:cs="Tahoma"/>
          <w:lang w:val="es-ES_tradnl"/>
        </w:rPr>
      </w:pPr>
    </w:p>
    <w:p w14:paraId="445001B4" w14:textId="77777777" w:rsidR="00307416" w:rsidRPr="0034762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34762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34762C">
        <w:rPr>
          <w:rFonts w:ascii="Book Antiqua" w:hAnsi="Book Antiqua" w:cs="Tahoma"/>
          <w:lang w:val="es-ES_tradnl"/>
        </w:rPr>
        <w:br/>
        <w:t>Presidente</w:t>
      </w:r>
      <w:r w:rsidRPr="0034762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34762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87583" w14:textId="77777777" w:rsidR="00FA3E8C" w:rsidRDefault="00FA3E8C" w:rsidP="00614C2C">
      <w:r>
        <w:separator/>
      </w:r>
    </w:p>
  </w:endnote>
  <w:endnote w:type="continuationSeparator" w:id="0">
    <w:p w14:paraId="56C43A48" w14:textId="77777777" w:rsidR="00FA3E8C" w:rsidRDefault="00FA3E8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CFDA6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762C">
      <w:rPr>
        <w:noProof/>
      </w:rPr>
      <w:t>1</w:t>
    </w:r>
    <w:r>
      <w:rPr>
        <w:noProof/>
      </w:rPr>
      <w:fldChar w:fldCharType="end"/>
    </w:r>
  </w:p>
  <w:p w14:paraId="6D7BA4DD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99F03" w14:textId="77777777" w:rsidR="00FA3E8C" w:rsidRDefault="00FA3E8C" w:rsidP="00614C2C">
      <w:r>
        <w:separator/>
      </w:r>
    </w:p>
  </w:footnote>
  <w:footnote w:type="continuationSeparator" w:id="0">
    <w:p w14:paraId="69D43167" w14:textId="77777777" w:rsidR="00FA3E8C" w:rsidRDefault="00FA3E8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063481">
    <w:abstractNumId w:val="6"/>
  </w:num>
  <w:num w:numId="2" w16cid:durableId="693653089">
    <w:abstractNumId w:val="12"/>
  </w:num>
  <w:num w:numId="3" w16cid:durableId="689136976">
    <w:abstractNumId w:val="3"/>
  </w:num>
  <w:num w:numId="4" w16cid:durableId="164055921">
    <w:abstractNumId w:val="1"/>
  </w:num>
  <w:num w:numId="5" w16cid:durableId="1858496771">
    <w:abstractNumId w:val="7"/>
  </w:num>
  <w:num w:numId="6" w16cid:durableId="1828396571">
    <w:abstractNumId w:val="4"/>
  </w:num>
  <w:num w:numId="7" w16cid:durableId="805466914">
    <w:abstractNumId w:val="5"/>
  </w:num>
  <w:num w:numId="8" w16cid:durableId="791678515">
    <w:abstractNumId w:val="8"/>
  </w:num>
  <w:num w:numId="9" w16cid:durableId="1684668736">
    <w:abstractNumId w:val="9"/>
  </w:num>
  <w:num w:numId="10" w16cid:durableId="586154351">
    <w:abstractNumId w:val="0"/>
  </w:num>
  <w:num w:numId="11" w16cid:durableId="574969779">
    <w:abstractNumId w:val="2"/>
  </w:num>
  <w:num w:numId="12" w16cid:durableId="823283244">
    <w:abstractNumId w:val="11"/>
  </w:num>
  <w:num w:numId="13" w16cid:durableId="9894812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D03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60E62"/>
    <w:rsid w:val="00161BB3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4762C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1A53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75D03"/>
    <w:rsid w:val="00680F2A"/>
    <w:rsid w:val="00682883"/>
    <w:rsid w:val="006B0997"/>
    <w:rsid w:val="006F5BFD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70B7E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05F0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2C8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111D5"/>
    <w:rsid w:val="00F21532"/>
    <w:rsid w:val="00F226DF"/>
    <w:rsid w:val="00F27289"/>
    <w:rsid w:val="00F36705"/>
    <w:rsid w:val="00F533D4"/>
    <w:rsid w:val="00F8240A"/>
    <w:rsid w:val="00FA0364"/>
    <w:rsid w:val="00FA36D1"/>
    <w:rsid w:val="00FA3E8C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C22649"/>
  <w15:docId w15:val="{FB369F1E-AAEE-4215-BCCA-7CE372AD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99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RC0299 -i</Template>
  <TotalTime>1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2025-06-23T18:55:00Z</dcterms:created>
  <dcterms:modified xsi:type="dcterms:W3CDTF">2025-06-23T18:56:00Z</dcterms:modified>
</cp:coreProperties>
</file>