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2D693" w14:textId="651FF7F9" w:rsidR="003E7820" w:rsidRPr="003C2711" w:rsidRDefault="002A0227" w:rsidP="003E7820">
      <w:pPr>
        <w:spacing w:after="0" w:line="240" w:lineRule="auto"/>
        <w:jc w:val="center"/>
        <w:rPr>
          <w:rFonts w:ascii="Book Antiqua" w:eastAsia="Times New Roman" w:hAnsi="Book Antiqua"/>
          <w:sz w:val="28"/>
          <w:szCs w:val="20"/>
          <w:lang w:val="es-ES_tradnl"/>
        </w:rPr>
      </w:pPr>
      <w:r>
        <w:rPr>
          <w:rFonts w:ascii="Book Antiqua" w:eastAsia="Times New Roman" w:hAnsi="Book Antiqua"/>
          <w:sz w:val="28"/>
          <w:szCs w:val="20"/>
          <w:lang w:val="es-ES_tradnl"/>
        </w:rPr>
        <w:t>GOBIERNO</w:t>
      </w:r>
      <w:r w:rsidR="003E7820" w:rsidRPr="003C2711">
        <w:rPr>
          <w:rFonts w:ascii="Book Antiqua" w:eastAsia="Times New Roman" w:hAnsi="Book Antiqua"/>
          <w:sz w:val="28"/>
          <w:szCs w:val="20"/>
          <w:lang w:val="es-ES_tradnl"/>
        </w:rPr>
        <w:t xml:space="preserve"> DE PUERTO RICO</w:t>
      </w:r>
    </w:p>
    <w:p w14:paraId="08BEACE2" w14:textId="77777777" w:rsidR="003E7820" w:rsidRPr="00E967F4" w:rsidRDefault="003E7820" w:rsidP="003E7820">
      <w:pPr>
        <w:spacing w:after="0" w:line="240" w:lineRule="auto"/>
        <w:jc w:val="center"/>
        <w:rPr>
          <w:rFonts w:ascii="Book Antiqua" w:eastAsia="Times New Roman" w:hAnsi="Book Antiqua"/>
          <w:sz w:val="24"/>
          <w:szCs w:val="20"/>
          <w:lang w:val="es-ES_tradnl"/>
        </w:rPr>
      </w:pPr>
    </w:p>
    <w:p w14:paraId="15FB07A9" w14:textId="7AF10189" w:rsidR="003E7820" w:rsidRPr="005140D4" w:rsidRDefault="00972869" w:rsidP="005140D4">
      <w:pPr>
        <w:spacing w:after="0" w:line="240" w:lineRule="auto"/>
        <w:rPr>
          <w:rFonts w:ascii="Book Antiqua" w:eastAsia="Times New Roman" w:hAnsi="Book Antiqua"/>
          <w:sz w:val="24"/>
          <w:szCs w:val="20"/>
          <w:lang w:val="it-IT"/>
        </w:rPr>
      </w:pPr>
      <w:r w:rsidRPr="005140D4">
        <w:rPr>
          <w:rFonts w:ascii="Book Antiqua" w:eastAsia="Times New Roman" w:hAnsi="Book Antiqua"/>
          <w:sz w:val="24"/>
          <w:szCs w:val="20"/>
          <w:lang w:val="it-IT"/>
        </w:rPr>
        <w:t>20m</w:t>
      </w:r>
      <w:r w:rsidR="003E7820" w:rsidRPr="005140D4">
        <w:rPr>
          <w:rFonts w:ascii="Book Antiqua" w:eastAsia="Times New Roman" w:hAnsi="Book Antiqua"/>
          <w:sz w:val="24"/>
          <w:szCs w:val="20"/>
          <w:lang w:val="it-IT"/>
        </w:rPr>
        <w:t>a.</w:t>
      </w:r>
      <w:r w:rsidR="003E7820" w:rsidRPr="005140D4">
        <w:rPr>
          <w:rFonts w:ascii="Book Antiqua" w:eastAsia="Times New Roman" w:hAnsi="Book Antiqua"/>
          <w:sz w:val="24"/>
          <w:szCs w:val="20"/>
          <w:lang w:val="it-IT"/>
        </w:rPr>
        <w:tab/>
      </w:r>
      <w:r w:rsidR="005140D4" w:rsidRPr="005140D4">
        <w:rPr>
          <w:rFonts w:ascii="Book Antiqua" w:eastAsia="Times New Roman" w:hAnsi="Book Antiqua"/>
          <w:sz w:val="24"/>
          <w:szCs w:val="20"/>
          <w:lang w:val="it-IT"/>
        </w:rPr>
        <w:t xml:space="preserve"> </w:t>
      </w:r>
      <w:r w:rsidR="003E7820" w:rsidRPr="005140D4">
        <w:rPr>
          <w:rFonts w:ascii="Book Antiqua" w:eastAsia="Times New Roman" w:hAnsi="Book Antiqua"/>
          <w:sz w:val="24"/>
          <w:szCs w:val="20"/>
          <w:lang w:val="it-IT"/>
        </w:rPr>
        <w:t>Asamblea</w:t>
      </w:r>
      <w:r w:rsidR="003E7820" w:rsidRPr="005140D4">
        <w:rPr>
          <w:rFonts w:ascii="Book Antiqua" w:eastAsia="Times New Roman" w:hAnsi="Book Antiqua"/>
          <w:sz w:val="24"/>
          <w:szCs w:val="20"/>
          <w:lang w:val="it-IT"/>
        </w:rPr>
        <w:tab/>
      </w:r>
      <w:r w:rsidR="005140D4" w:rsidRPr="005140D4">
        <w:rPr>
          <w:rFonts w:ascii="Book Antiqua" w:eastAsia="Times New Roman" w:hAnsi="Book Antiqua"/>
          <w:sz w:val="24"/>
          <w:szCs w:val="20"/>
          <w:lang w:val="it-IT"/>
        </w:rPr>
        <w:t xml:space="preserve">                                                                         </w:t>
      </w:r>
      <w:r w:rsidR="005140D4">
        <w:rPr>
          <w:rFonts w:ascii="Book Antiqua" w:eastAsia="Times New Roman" w:hAnsi="Book Antiqua"/>
          <w:sz w:val="24"/>
          <w:szCs w:val="20"/>
          <w:lang w:val="it-IT"/>
        </w:rPr>
        <w:t xml:space="preserve">                      </w:t>
      </w:r>
      <w:r w:rsidRPr="005140D4">
        <w:rPr>
          <w:rFonts w:ascii="Book Antiqua" w:eastAsia="Times New Roman" w:hAnsi="Book Antiqua"/>
          <w:sz w:val="24"/>
          <w:szCs w:val="20"/>
          <w:lang w:val="it-IT"/>
        </w:rPr>
        <w:t>1r</w:t>
      </w:r>
      <w:r w:rsidR="003E7820" w:rsidRPr="005140D4">
        <w:rPr>
          <w:rFonts w:ascii="Book Antiqua" w:eastAsia="Times New Roman" w:hAnsi="Book Antiqua"/>
          <w:sz w:val="24"/>
          <w:szCs w:val="20"/>
          <w:lang w:val="it-IT"/>
        </w:rPr>
        <w:t>a.</w:t>
      </w:r>
      <w:r w:rsidR="005140D4" w:rsidRPr="005140D4">
        <w:rPr>
          <w:rFonts w:ascii="Book Antiqua" w:eastAsia="Times New Roman" w:hAnsi="Book Antiqua"/>
          <w:sz w:val="24"/>
          <w:szCs w:val="20"/>
          <w:lang w:val="it-IT"/>
        </w:rPr>
        <w:t xml:space="preserve"> </w:t>
      </w:r>
      <w:r w:rsidR="003E7820" w:rsidRPr="005140D4">
        <w:rPr>
          <w:rFonts w:ascii="Book Antiqua" w:eastAsia="Times New Roman" w:hAnsi="Book Antiqua"/>
          <w:sz w:val="24"/>
          <w:szCs w:val="20"/>
          <w:lang w:val="it-IT"/>
        </w:rPr>
        <w:t>Sesión</w:t>
      </w:r>
    </w:p>
    <w:p w14:paraId="5A61A2A7" w14:textId="10369998" w:rsidR="003E7820" w:rsidRPr="005140D4" w:rsidRDefault="003E7820" w:rsidP="005140D4">
      <w:pPr>
        <w:spacing w:after="0" w:line="240" w:lineRule="auto"/>
        <w:rPr>
          <w:rFonts w:ascii="Book Antiqua" w:eastAsia="Times New Roman" w:hAnsi="Book Antiqua"/>
          <w:sz w:val="24"/>
          <w:szCs w:val="20"/>
          <w:lang w:val="it-IT"/>
        </w:rPr>
      </w:pPr>
      <w:r w:rsidRPr="005140D4">
        <w:rPr>
          <w:rFonts w:ascii="Book Antiqua" w:eastAsia="Times New Roman" w:hAnsi="Book Antiqua"/>
          <w:sz w:val="24"/>
          <w:szCs w:val="20"/>
          <w:lang w:val="it-IT"/>
        </w:rPr>
        <w:tab/>
        <w:t>Legislativa</w:t>
      </w:r>
      <w:r w:rsidRPr="005140D4">
        <w:rPr>
          <w:rFonts w:ascii="Book Antiqua" w:eastAsia="Times New Roman" w:hAnsi="Book Antiqua"/>
          <w:sz w:val="24"/>
          <w:szCs w:val="20"/>
          <w:lang w:val="it-IT"/>
        </w:rPr>
        <w:tab/>
      </w:r>
      <w:r w:rsidRPr="005140D4">
        <w:rPr>
          <w:rFonts w:ascii="Book Antiqua" w:eastAsia="Times New Roman" w:hAnsi="Book Antiqua"/>
          <w:sz w:val="24"/>
          <w:szCs w:val="20"/>
          <w:lang w:val="it-IT"/>
        </w:rPr>
        <w:tab/>
      </w:r>
      <w:r w:rsidR="005140D4" w:rsidRPr="005140D4">
        <w:rPr>
          <w:rFonts w:ascii="Book Antiqua" w:eastAsia="Times New Roman" w:hAnsi="Book Antiqua"/>
          <w:sz w:val="24"/>
          <w:szCs w:val="20"/>
          <w:lang w:val="it-IT"/>
        </w:rPr>
        <w:tab/>
      </w:r>
      <w:r w:rsidR="005140D4" w:rsidRPr="005140D4">
        <w:rPr>
          <w:rFonts w:ascii="Book Antiqua" w:eastAsia="Times New Roman" w:hAnsi="Book Antiqua"/>
          <w:sz w:val="24"/>
          <w:szCs w:val="20"/>
          <w:lang w:val="it-IT"/>
        </w:rPr>
        <w:tab/>
      </w:r>
      <w:r w:rsidR="005140D4" w:rsidRPr="005140D4">
        <w:rPr>
          <w:rFonts w:ascii="Book Antiqua" w:eastAsia="Times New Roman" w:hAnsi="Book Antiqua"/>
          <w:sz w:val="24"/>
          <w:szCs w:val="20"/>
          <w:lang w:val="it-IT"/>
        </w:rPr>
        <w:tab/>
      </w:r>
      <w:r w:rsidR="005140D4" w:rsidRPr="005140D4">
        <w:rPr>
          <w:rFonts w:ascii="Book Antiqua" w:eastAsia="Times New Roman" w:hAnsi="Book Antiqua"/>
          <w:sz w:val="24"/>
          <w:szCs w:val="20"/>
          <w:lang w:val="it-IT"/>
        </w:rPr>
        <w:tab/>
      </w:r>
      <w:r w:rsidR="005140D4" w:rsidRPr="005140D4">
        <w:rPr>
          <w:rFonts w:ascii="Book Antiqua" w:eastAsia="Times New Roman" w:hAnsi="Book Antiqua"/>
          <w:sz w:val="24"/>
          <w:szCs w:val="20"/>
          <w:lang w:val="it-IT"/>
        </w:rPr>
        <w:tab/>
      </w:r>
      <w:r w:rsidR="005140D4" w:rsidRPr="005140D4">
        <w:rPr>
          <w:rFonts w:ascii="Book Antiqua" w:eastAsia="Times New Roman" w:hAnsi="Book Antiqua"/>
          <w:sz w:val="24"/>
          <w:szCs w:val="20"/>
          <w:lang w:val="it-IT"/>
        </w:rPr>
        <w:tab/>
      </w:r>
      <w:r w:rsidR="005140D4" w:rsidRPr="005140D4">
        <w:rPr>
          <w:rFonts w:ascii="Book Antiqua" w:eastAsia="Times New Roman" w:hAnsi="Book Antiqua"/>
          <w:sz w:val="24"/>
          <w:szCs w:val="20"/>
          <w:lang w:val="it-IT"/>
        </w:rPr>
        <w:tab/>
        <w:t xml:space="preserve">      </w:t>
      </w:r>
      <w:r w:rsidRPr="005140D4">
        <w:rPr>
          <w:rFonts w:ascii="Book Antiqua" w:eastAsia="Times New Roman" w:hAnsi="Book Antiqua"/>
          <w:sz w:val="24"/>
          <w:szCs w:val="20"/>
          <w:lang w:val="it-IT"/>
        </w:rPr>
        <w:t>Ordinaria</w:t>
      </w:r>
    </w:p>
    <w:p w14:paraId="6EA9CCB6" w14:textId="77777777" w:rsidR="003E7820" w:rsidRPr="005140D4" w:rsidRDefault="003E7820" w:rsidP="003E7820">
      <w:pPr>
        <w:spacing w:after="0" w:line="240" w:lineRule="auto"/>
        <w:rPr>
          <w:rFonts w:ascii="Book Antiqua" w:eastAsia="Times New Roman" w:hAnsi="Book Antiqua"/>
          <w:sz w:val="24"/>
          <w:szCs w:val="20"/>
          <w:lang w:val="it-IT"/>
        </w:rPr>
      </w:pPr>
    </w:p>
    <w:p w14:paraId="031F5F7A" w14:textId="77777777" w:rsidR="003E7820" w:rsidRDefault="003E7820" w:rsidP="003E7820">
      <w:pPr>
        <w:spacing w:after="0" w:line="240" w:lineRule="auto"/>
        <w:jc w:val="center"/>
        <w:rPr>
          <w:rFonts w:ascii="Book Antiqua" w:eastAsia="Times New Roman" w:hAnsi="Book Antiqua"/>
          <w:b/>
          <w:sz w:val="36"/>
          <w:szCs w:val="20"/>
          <w:lang w:val="es-ES_tradnl"/>
        </w:rPr>
      </w:pPr>
      <w:r w:rsidRPr="003C2711">
        <w:rPr>
          <w:rFonts w:ascii="Book Antiqua" w:eastAsia="Times New Roman" w:hAnsi="Book Antiqua"/>
          <w:b/>
          <w:sz w:val="36"/>
          <w:szCs w:val="20"/>
          <w:lang w:val="es-ES_tradnl"/>
        </w:rPr>
        <w:t>CÁMARA DE REPRESENTANTES</w:t>
      </w:r>
    </w:p>
    <w:p w14:paraId="659E7A73" w14:textId="77777777" w:rsidR="003E7820" w:rsidRPr="00E967F4" w:rsidRDefault="003E7820" w:rsidP="003E7820">
      <w:pPr>
        <w:spacing w:after="0" w:line="240" w:lineRule="auto"/>
        <w:jc w:val="center"/>
        <w:rPr>
          <w:rFonts w:ascii="Book Antiqua" w:eastAsia="Times New Roman" w:hAnsi="Book Antiqua"/>
          <w:b/>
          <w:sz w:val="24"/>
          <w:szCs w:val="24"/>
          <w:lang w:val="es-ES_tradnl"/>
        </w:rPr>
      </w:pPr>
    </w:p>
    <w:p w14:paraId="0BCC714A" w14:textId="73F6B31D" w:rsidR="003E7820" w:rsidRPr="003C2711" w:rsidRDefault="003E7820" w:rsidP="003E7820">
      <w:pPr>
        <w:spacing w:after="0" w:line="240" w:lineRule="auto"/>
        <w:jc w:val="center"/>
        <w:rPr>
          <w:rFonts w:ascii="Book Antiqua" w:eastAsia="Times New Roman" w:hAnsi="Book Antiqua"/>
          <w:b/>
          <w:sz w:val="24"/>
          <w:szCs w:val="20"/>
          <w:lang w:val="es-ES_tradnl"/>
        </w:rPr>
      </w:pPr>
      <w:r w:rsidRPr="003C2711">
        <w:rPr>
          <w:rFonts w:ascii="Book Antiqua" w:eastAsia="Times New Roman" w:hAnsi="Book Antiqua"/>
          <w:b/>
          <w:sz w:val="52"/>
          <w:szCs w:val="20"/>
          <w:lang w:val="es-ES_tradnl"/>
        </w:rPr>
        <w:t xml:space="preserve">R. de la C. </w:t>
      </w:r>
      <w:r w:rsidR="000B2BA4">
        <w:rPr>
          <w:rFonts w:ascii="Book Antiqua" w:eastAsia="Times New Roman" w:hAnsi="Book Antiqua"/>
          <w:b/>
          <w:sz w:val="52"/>
          <w:szCs w:val="20"/>
          <w:lang w:val="es-ES_tradnl"/>
        </w:rPr>
        <w:t>299</w:t>
      </w:r>
      <w:r w:rsidRPr="003C2711">
        <w:rPr>
          <w:rFonts w:ascii="Book Antiqua" w:eastAsia="Times New Roman" w:hAnsi="Book Antiqua"/>
          <w:b/>
          <w:sz w:val="52"/>
          <w:szCs w:val="20"/>
          <w:lang w:val="es-ES_tradnl"/>
        </w:rPr>
        <w:br/>
      </w:r>
    </w:p>
    <w:p w14:paraId="3D22D064" w14:textId="5A425CD0" w:rsidR="003E7820" w:rsidRDefault="000B2BA4" w:rsidP="003E7820">
      <w:pPr>
        <w:spacing w:after="0" w:line="240" w:lineRule="auto"/>
        <w:jc w:val="center"/>
        <w:rPr>
          <w:rFonts w:ascii="Book Antiqua" w:eastAsia="Times New Roman" w:hAnsi="Book Antiqua"/>
          <w:sz w:val="24"/>
          <w:szCs w:val="20"/>
          <w:lang w:val="es-ES_tradnl"/>
        </w:rPr>
      </w:pPr>
      <w:r>
        <w:rPr>
          <w:rFonts w:ascii="Book Antiqua" w:eastAsia="Times New Roman" w:hAnsi="Book Antiqua"/>
          <w:sz w:val="24"/>
          <w:szCs w:val="20"/>
          <w:lang w:val="es-ES_tradnl"/>
        </w:rPr>
        <w:t>7</w:t>
      </w:r>
      <w:r w:rsidR="00473257">
        <w:rPr>
          <w:rFonts w:ascii="Book Antiqua" w:eastAsia="Times New Roman" w:hAnsi="Book Antiqua"/>
          <w:sz w:val="24"/>
          <w:szCs w:val="20"/>
          <w:lang w:val="es-ES_tradnl"/>
        </w:rPr>
        <w:t xml:space="preserve"> </w:t>
      </w:r>
      <w:r w:rsidR="003E7820" w:rsidRPr="003C2711">
        <w:rPr>
          <w:rFonts w:ascii="Book Antiqua" w:eastAsia="Times New Roman" w:hAnsi="Book Antiqua"/>
          <w:sz w:val="24"/>
          <w:szCs w:val="20"/>
          <w:lang w:val="es-ES_tradnl"/>
        </w:rPr>
        <w:t>DE</w:t>
      </w:r>
      <w:r w:rsidR="003E7820">
        <w:rPr>
          <w:rFonts w:ascii="Book Antiqua" w:eastAsia="Times New Roman" w:hAnsi="Book Antiqua"/>
          <w:sz w:val="24"/>
          <w:szCs w:val="20"/>
          <w:lang w:val="es-ES_tradnl"/>
        </w:rPr>
        <w:t xml:space="preserve"> </w:t>
      </w:r>
      <w:r w:rsidR="002C65CA">
        <w:rPr>
          <w:rFonts w:ascii="Book Antiqua" w:eastAsia="Times New Roman" w:hAnsi="Book Antiqua"/>
          <w:sz w:val="24"/>
          <w:szCs w:val="20"/>
          <w:lang w:val="es-ES_tradnl"/>
        </w:rPr>
        <w:t>MAYO</w:t>
      </w:r>
      <w:r w:rsidR="00F0670C">
        <w:rPr>
          <w:rFonts w:ascii="Book Antiqua" w:eastAsia="Times New Roman" w:hAnsi="Book Antiqua"/>
          <w:sz w:val="24"/>
          <w:szCs w:val="20"/>
          <w:lang w:val="es-ES_tradnl"/>
        </w:rPr>
        <w:t xml:space="preserve"> </w:t>
      </w:r>
      <w:r w:rsidR="003E7820" w:rsidRPr="003C2711">
        <w:rPr>
          <w:rFonts w:ascii="Book Antiqua" w:eastAsia="Times New Roman" w:hAnsi="Book Antiqua"/>
          <w:sz w:val="24"/>
          <w:szCs w:val="20"/>
          <w:lang w:val="es-ES_tradnl"/>
        </w:rPr>
        <w:t>DE 202</w:t>
      </w:r>
      <w:r w:rsidR="00972869">
        <w:rPr>
          <w:rFonts w:ascii="Book Antiqua" w:eastAsia="Times New Roman" w:hAnsi="Book Antiqua"/>
          <w:sz w:val="24"/>
          <w:szCs w:val="20"/>
          <w:lang w:val="es-ES_tradnl"/>
        </w:rPr>
        <w:t>5</w:t>
      </w:r>
    </w:p>
    <w:p w14:paraId="7BA1621E" w14:textId="77777777" w:rsidR="003E7820" w:rsidRPr="003C2711" w:rsidRDefault="003E7820" w:rsidP="003E7820">
      <w:pPr>
        <w:spacing w:after="0" w:line="240" w:lineRule="auto"/>
        <w:jc w:val="center"/>
        <w:rPr>
          <w:rFonts w:ascii="Book Antiqua" w:eastAsia="Times New Roman" w:hAnsi="Book Antiqua"/>
          <w:sz w:val="24"/>
          <w:szCs w:val="20"/>
          <w:lang w:val="es-ES_tradnl"/>
        </w:rPr>
      </w:pPr>
    </w:p>
    <w:p w14:paraId="793E1846" w14:textId="77777777" w:rsidR="003E7820" w:rsidRDefault="003E7820" w:rsidP="003E7820">
      <w:pPr>
        <w:spacing w:after="0" w:line="240" w:lineRule="auto"/>
        <w:jc w:val="center"/>
        <w:rPr>
          <w:rFonts w:ascii="Book Antiqua" w:eastAsia="Times New Roman" w:hAnsi="Book Antiqua"/>
          <w:i/>
          <w:sz w:val="24"/>
          <w:szCs w:val="20"/>
          <w:lang w:val="es-ES_tradnl"/>
        </w:rPr>
      </w:pPr>
      <w:r w:rsidRPr="003C2711">
        <w:rPr>
          <w:rFonts w:ascii="Book Antiqua" w:eastAsia="Times New Roman" w:hAnsi="Book Antiqua"/>
          <w:sz w:val="24"/>
          <w:szCs w:val="20"/>
          <w:lang w:val="es-ES_tradnl"/>
        </w:rPr>
        <w:t xml:space="preserve">Presentada por el representante </w:t>
      </w:r>
      <w:r>
        <w:rPr>
          <w:rFonts w:ascii="Book Antiqua" w:eastAsia="Times New Roman" w:hAnsi="Book Antiqua"/>
          <w:i/>
          <w:sz w:val="24"/>
          <w:szCs w:val="20"/>
          <w:lang w:val="es-ES_tradnl"/>
        </w:rPr>
        <w:t xml:space="preserve">Pérez Ortiz </w:t>
      </w:r>
    </w:p>
    <w:p w14:paraId="5E362D8A" w14:textId="77777777" w:rsidR="003E7820" w:rsidRPr="003C2711" w:rsidRDefault="003E7820" w:rsidP="003E7820">
      <w:pPr>
        <w:spacing w:after="0" w:line="240" w:lineRule="auto"/>
        <w:jc w:val="center"/>
        <w:rPr>
          <w:rFonts w:ascii="Book Antiqua" w:eastAsia="Times New Roman" w:hAnsi="Book Antiqua"/>
          <w:sz w:val="24"/>
          <w:szCs w:val="20"/>
          <w:lang w:val="es-ES_tradnl"/>
        </w:rPr>
      </w:pPr>
    </w:p>
    <w:p w14:paraId="5F7DE790" w14:textId="164D0381" w:rsidR="003E7820" w:rsidRPr="00582258" w:rsidRDefault="003E7820" w:rsidP="003E7820">
      <w:pPr>
        <w:spacing w:after="0" w:line="240" w:lineRule="auto"/>
        <w:jc w:val="center"/>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 xml:space="preserve">Referida a la Comisión </w:t>
      </w:r>
      <w:r w:rsidR="006B58B3">
        <w:rPr>
          <w:rFonts w:ascii="Book Antiqua" w:eastAsia="Times New Roman" w:hAnsi="Book Antiqua"/>
          <w:sz w:val="24"/>
          <w:szCs w:val="20"/>
          <w:lang w:val="es-ES_tradnl"/>
        </w:rPr>
        <w:t>de Asuntos Internos</w:t>
      </w:r>
    </w:p>
    <w:p w14:paraId="7C2976BF" w14:textId="77777777" w:rsidR="003E7820" w:rsidRPr="00582258" w:rsidRDefault="003E7820" w:rsidP="003E7820">
      <w:pPr>
        <w:spacing w:after="0" w:line="240" w:lineRule="auto"/>
        <w:jc w:val="both"/>
        <w:rPr>
          <w:rFonts w:ascii="Book Antiqua" w:eastAsia="Times New Roman" w:hAnsi="Book Antiqua"/>
          <w:sz w:val="24"/>
          <w:szCs w:val="20"/>
          <w:lang w:val="es-ES_tradnl"/>
        </w:rPr>
      </w:pPr>
    </w:p>
    <w:p w14:paraId="5DBD6BC1" w14:textId="77777777" w:rsidR="003E7820" w:rsidRPr="00582258" w:rsidRDefault="003E7820" w:rsidP="003E7820">
      <w:pPr>
        <w:spacing w:after="0" w:line="240" w:lineRule="auto"/>
        <w:jc w:val="center"/>
        <w:rPr>
          <w:rFonts w:ascii="Book Antiqua" w:eastAsia="Times New Roman" w:hAnsi="Book Antiqua"/>
          <w:b/>
          <w:sz w:val="28"/>
          <w:szCs w:val="20"/>
          <w:lang w:val="es-ES_tradnl"/>
        </w:rPr>
      </w:pPr>
      <w:r w:rsidRPr="00582258">
        <w:rPr>
          <w:rFonts w:ascii="Book Antiqua" w:eastAsia="Times New Roman" w:hAnsi="Book Antiqua"/>
          <w:b/>
          <w:sz w:val="28"/>
          <w:szCs w:val="20"/>
          <w:lang w:val="es-ES_tradnl"/>
        </w:rPr>
        <w:t>RESOLUCIÓN</w:t>
      </w:r>
    </w:p>
    <w:p w14:paraId="46DBBA62" w14:textId="77777777" w:rsidR="003E7820" w:rsidRPr="00582258" w:rsidRDefault="003E7820" w:rsidP="003E7820">
      <w:pPr>
        <w:spacing w:after="0" w:line="240" w:lineRule="auto"/>
        <w:jc w:val="both"/>
        <w:rPr>
          <w:rFonts w:ascii="Book Antiqua" w:eastAsia="Times New Roman" w:hAnsi="Book Antiqua"/>
          <w:sz w:val="24"/>
          <w:szCs w:val="20"/>
          <w:lang w:val="es-ES_tradnl"/>
        </w:rPr>
      </w:pPr>
    </w:p>
    <w:p w14:paraId="768A1152" w14:textId="7160D33A" w:rsidR="003E7820" w:rsidRPr="00545A5E" w:rsidRDefault="003E7820" w:rsidP="005140D4">
      <w:pPr>
        <w:pStyle w:val="Sangra2detindependiente"/>
        <w:spacing w:after="0" w:line="240" w:lineRule="auto"/>
        <w:ind w:left="720" w:hanging="720"/>
        <w:jc w:val="both"/>
        <w:rPr>
          <w:rFonts w:ascii="Book Antiqua" w:hAnsi="Book Antiqua"/>
          <w:sz w:val="24"/>
          <w:szCs w:val="24"/>
          <w:lang w:val="es-PR"/>
        </w:rPr>
      </w:pPr>
      <w:bookmarkStart w:id="0" w:name="_Hlk94518690"/>
      <w:r w:rsidRPr="00545A5E">
        <w:rPr>
          <w:rFonts w:ascii="Book Antiqua" w:hAnsi="Book Antiqua"/>
          <w:sz w:val="24"/>
          <w:szCs w:val="24"/>
          <w:lang w:val="es-PR"/>
        </w:rPr>
        <w:t xml:space="preserve">Para ordenar </w:t>
      </w:r>
      <w:bookmarkStart w:id="1" w:name="_Hlk179357528"/>
      <w:r w:rsidRPr="00545A5E">
        <w:rPr>
          <w:rFonts w:ascii="Book Antiqua" w:hAnsi="Book Antiqua"/>
          <w:sz w:val="24"/>
          <w:szCs w:val="24"/>
          <w:lang w:val="es-PR"/>
        </w:rPr>
        <w:t xml:space="preserve">a </w:t>
      </w:r>
      <w:bookmarkStart w:id="2" w:name="_Hlk141173215"/>
      <w:r w:rsidRPr="00545A5E">
        <w:rPr>
          <w:rFonts w:ascii="Book Antiqua" w:hAnsi="Book Antiqua"/>
          <w:sz w:val="24"/>
          <w:szCs w:val="24"/>
          <w:lang w:val="es-PR"/>
        </w:rPr>
        <w:t xml:space="preserve">la </w:t>
      </w:r>
      <w:bookmarkStart w:id="3" w:name="_Hlk141173232"/>
      <w:bookmarkStart w:id="4" w:name="_Hlk176937911"/>
      <w:bookmarkStart w:id="5" w:name="_Hlk195769363"/>
      <w:r w:rsidRPr="00EA76D2">
        <w:rPr>
          <w:rFonts w:ascii="Book Antiqua" w:hAnsi="Book Antiqua"/>
          <w:sz w:val="24"/>
          <w:szCs w:val="24"/>
          <w:lang w:val="es-PR"/>
        </w:rPr>
        <w:t xml:space="preserve">Comisión de </w:t>
      </w:r>
      <w:bookmarkEnd w:id="2"/>
      <w:bookmarkEnd w:id="3"/>
      <w:r w:rsidR="008E5AF6">
        <w:rPr>
          <w:rFonts w:ascii="Book Antiqua" w:hAnsi="Book Antiqua"/>
          <w:sz w:val="24"/>
          <w:szCs w:val="24"/>
          <w:lang w:val="es-PR"/>
        </w:rPr>
        <w:t>Educación</w:t>
      </w:r>
      <w:r w:rsidR="00A41080">
        <w:rPr>
          <w:rFonts w:ascii="Book Antiqua" w:hAnsi="Book Antiqua"/>
          <w:sz w:val="24"/>
          <w:szCs w:val="24"/>
          <w:lang w:val="es-PR"/>
        </w:rPr>
        <w:t>,</w:t>
      </w:r>
      <w:r w:rsidR="00FA257A">
        <w:rPr>
          <w:rFonts w:ascii="Book Antiqua" w:hAnsi="Book Antiqua"/>
          <w:sz w:val="24"/>
          <w:szCs w:val="24"/>
          <w:lang w:val="es-PR"/>
        </w:rPr>
        <w:t xml:space="preserve"> </w:t>
      </w:r>
      <w:r w:rsidR="00FA257A" w:rsidRPr="00FA257A">
        <w:rPr>
          <w:rFonts w:ascii="Book Antiqua" w:hAnsi="Book Antiqua"/>
          <w:sz w:val="24"/>
          <w:szCs w:val="24"/>
          <w:lang w:val="es-PR"/>
        </w:rPr>
        <w:t>investig</w:t>
      </w:r>
      <w:r w:rsidR="00FA257A">
        <w:rPr>
          <w:rFonts w:ascii="Book Antiqua" w:hAnsi="Book Antiqua"/>
          <w:sz w:val="24"/>
          <w:szCs w:val="24"/>
          <w:lang w:val="es-PR"/>
        </w:rPr>
        <w:t>ar</w:t>
      </w:r>
      <w:r w:rsidR="00FA257A" w:rsidRPr="00FA257A">
        <w:rPr>
          <w:rFonts w:ascii="Book Antiqua" w:hAnsi="Book Antiqua"/>
          <w:sz w:val="24"/>
          <w:szCs w:val="24"/>
          <w:lang w:val="es-PR"/>
        </w:rPr>
        <w:t xml:space="preserve"> </w:t>
      </w:r>
      <w:bookmarkEnd w:id="1"/>
      <w:bookmarkEnd w:id="4"/>
      <w:r w:rsidR="00A41080">
        <w:rPr>
          <w:rFonts w:ascii="Book Antiqua" w:hAnsi="Book Antiqua"/>
          <w:sz w:val="24"/>
          <w:szCs w:val="24"/>
          <w:lang w:val="es-PR"/>
        </w:rPr>
        <w:t>las condiciones de las facilidades educativas, recreativas y deportivas de la Universidad de Puerto Rico, recinto de Bayamón</w:t>
      </w:r>
      <w:r w:rsidR="008E5AF6">
        <w:rPr>
          <w:rFonts w:ascii="Book Antiqua" w:hAnsi="Book Antiqua"/>
          <w:sz w:val="24"/>
          <w:szCs w:val="24"/>
          <w:lang w:val="es-PR"/>
        </w:rPr>
        <w:t>,</w:t>
      </w:r>
      <w:r w:rsidR="00FA257A" w:rsidRPr="00CD19AE">
        <w:rPr>
          <w:rFonts w:ascii="Book Antiqua" w:hAnsi="Book Antiqua"/>
          <w:sz w:val="24"/>
          <w:szCs w:val="24"/>
          <w:lang w:val="es-PR"/>
        </w:rPr>
        <w:t xml:space="preserve"> </w:t>
      </w:r>
      <w:r w:rsidR="00A41080">
        <w:rPr>
          <w:rFonts w:ascii="Book Antiqua" w:hAnsi="Book Antiqua"/>
          <w:sz w:val="24"/>
          <w:szCs w:val="24"/>
          <w:lang w:val="es-PR"/>
        </w:rPr>
        <w:t>planes de acondicionamiento</w:t>
      </w:r>
      <w:r w:rsidR="008E5AF6">
        <w:rPr>
          <w:rFonts w:ascii="Book Antiqua" w:hAnsi="Book Antiqua"/>
          <w:sz w:val="24"/>
          <w:szCs w:val="24"/>
          <w:lang w:val="es-PR"/>
        </w:rPr>
        <w:t>,</w:t>
      </w:r>
      <w:r w:rsidR="00A41080">
        <w:rPr>
          <w:rFonts w:ascii="Book Antiqua" w:hAnsi="Book Antiqua"/>
          <w:sz w:val="24"/>
          <w:szCs w:val="24"/>
          <w:lang w:val="es-PR"/>
        </w:rPr>
        <w:t xml:space="preserve"> utilización de fondos</w:t>
      </w:r>
      <w:r w:rsidR="008E5AF6">
        <w:rPr>
          <w:rFonts w:ascii="Book Antiqua" w:hAnsi="Book Antiqua"/>
          <w:sz w:val="24"/>
          <w:szCs w:val="24"/>
          <w:lang w:val="es-PR"/>
        </w:rPr>
        <w:t xml:space="preserve"> de recuperación</w:t>
      </w:r>
      <w:r w:rsidR="00A41080">
        <w:rPr>
          <w:rFonts w:ascii="Book Antiqua" w:hAnsi="Book Antiqua"/>
          <w:sz w:val="24"/>
          <w:szCs w:val="24"/>
          <w:lang w:val="es-PR"/>
        </w:rPr>
        <w:t>;</w:t>
      </w:r>
      <w:bookmarkEnd w:id="5"/>
      <w:r w:rsidR="00A41080">
        <w:rPr>
          <w:rFonts w:ascii="Book Antiqua" w:hAnsi="Book Antiqua"/>
          <w:sz w:val="24"/>
          <w:szCs w:val="24"/>
          <w:lang w:val="es-PR"/>
        </w:rPr>
        <w:t xml:space="preserve"> </w:t>
      </w:r>
      <w:r w:rsidR="00FA257A">
        <w:rPr>
          <w:rFonts w:ascii="Book Antiqua" w:hAnsi="Book Antiqua"/>
          <w:sz w:val="24"/>
          <w:szCs w:val="24"/>
          <w:lang w:val="es-PR"/>
        </w:rPr>
        <w:t>y</w:t>
      </w:r>
      <w:r>
        <w:rPr>
          <w:rFonts w:ascii="Book Antiqua" w:hAnsi="Book Antiqua"/>
          <w:sz w:val="24"/>
          <w:szCs w:val="24"/>
          <w:lang w:val="es-PR"/>
        </w:rPr>
        <w:t xml:space="preserve"> </w:t>
      </w:r>
      <w:r w:rsidRPr="00545A5E">
        <w:rPr>
          <w:rFonts w:ascii="Book Antiqua" w:hAnsi="Book Antiqua"/>
          <w:sz w:val="24"/>
          <w:szCs w:val="24"/>
          <w:lang w:val="es-PR"/>
        </w:rPr>
        <w:t xml:space="preserve">para otros fines relacionados. </w:t>
      </w:r>
    </w:p>
    <w:bookmarkEnd w:id="0"/>
    <w:p w14:paraId="29C7812F" w14:textId="77777777" w:rsidR="003E7820" w:rsidRPr="00545A5E" w:rsidRDefault="003E7820" w:rsidP="003E7820">
      <w:pPr>
        <w:spacing w:after="0" w:line="240" w:lineRule="auto"/>
        <w:rPr>
          <w:rFonts w:ascii="Book Antiqua" w:eastAsia="Times New Roman" w:hAnsi="Book Antiqua"/>
          <w:sz w:val="24"/>
          <w:szCs w:val="20"/>
          <w:lang w:val="es-PR"/>
        </w:rPr>
      </w:pPr>
    </w:p>
    <w:p w14:paraId="65B3AE6E" w14:textId="77777777" w:rsidR="003E7820" w:rsidRDefault="003E7820" w:rsidP="003E7820">
      <w:pPr>
        <w:spacing w:after="0" w:line="240" w:lineRule="auto"/>
        <w:jc w:val="center"/>
        <w:rPr>
          <w:rFonts w:ascii="Book Antiqua" w:eastAsia="Times New Roman" w:hAnsi="Book Antiqua"/>
          <w:sz w:val="24"/>
          <w:szCs w:val="20"/>
          <w:lang w:val="es-PR"/>
        </w:rPr>
      </w:pPr>
      <w:r w:rsidRPr="00BC3615">
        <w:rPr>
          <w:rFonts w:ascii="Book Antiqua" w:eastAsia="Times New Roman" w:hAnsi="Book Antiqua"/>
          <w:sz w:val="24"/>
          <w:szCs w:val="20"/>
          <w:lang w:val="es-PR"/>
        </w:rPr>
        <w:t>EXPOSICIÓN DE MOTIVOS</w:t>
      </w:r>
    </w:p>
    <w:p w14:paraId="30DBA067" w14:textId="77777777" w:rsidR="009E182A" w:rsidRPr="009E182A" w:rsidRDefault="009E182A" w:rsidP="009E182A">
      <w:pPr>
        <w:spacing w:after="0" w:line="240" w:lineRule="auto"/>
        <w:jc w:val="both"/>
        <w:rPr>
          <w:rFonts w:ascii="Book Antiqua" w:eastAsia="MS Mincho" w:hAnsi="Book Antiqua"/>
          <w:sz w:val="24"/>
          <w:szCs w:val="24"/>
          <w:lang w:val="es-ES_tradnl"/>
        </w:rPr>
      </w:pPr>
    </w:p>
    <w:p w14:paraId="7D3CC2BF" w14:textId="77777777" w:rsidR="007B5889" w:rsidRPr="007B5889" w:rsidRDefault="007B5889" w:rsidP="00ED1E51">
      <w:pPr>
        <w:spacing w:after="0" w:line="240" w:lineRule="auto"/>
        <w:ind w:firstLine="720"/>
        <w:jc w:val="both"/>
        <w:rPr>
          <w:rFonts w:ascii="Book Antiqua" w:eastAsia="MS Mincho" w:hAnsi="Book Antiqua"/>
          <w:sz w:val="24"/>
          <w:szCs w:val="24"/>
          <w:lang w:val="es-ES_tradnl"/>
        </w:rPr>
      </w:pPr>
      <w:r w:rsidRPr="007B5889">
        <w:rPr>
          <w:rFonts w:ascii="Book Antiqua" w:eastAsia="MS Mincho" w:hAnsi="Book Antiqua"/>
          <w:sz w:val="24"/>
          <w:szCs w:val="24"/>
          <w:lang w:val="es-ES_tradnl"/>
        </w:rPr>
        <w:t xml:space="preserve">La Universidad de Puerto Rico en Bayamón (UPR-Bayamón) representa una de las principales instituciones de educación superior en el área metropolitana, siendo el tercer recinto con mayor matrícula dentro del sistema universitario público del país. Históricamente conocida como el Colegio Universitario Tecnológico de Bayamón (CUTB), esta unidad ha evolucionado para ofrecer una amplia variedad de programas académicos en áreas como Administración de Empresas, Ciencias de Computadoras, Tecnología de Ingeniería, Ciencias Sociales, Biología y Humanidades. Es, además, la única unidad del sistema que ofrece programas especializados como el grado en Gerencia de Materiales, así como los únicos programas en Pedagogía Preescolar, Educación Física Adaptada y Biología con enfoque humano. Muchos de estos programas cuentan con acreditaciones profesionales altamente competitivas, como las otorgadas por la </w:t>
      </w:r>
      <w:proofErr w:type="spellStart"/>
      <w:r w:rsidRPr="00ED1E51">
        <w:rPr>
          <w:rFonts w:ascii="Book Antiqua" w:eastAsia="MS Mincho" w:hAnsi="Book Antiqua"/>
          <w:i/>
          <w:iCs/>
          <w:sz w:val="24"/>
          <w:szCs w:val="24"/>
          <w:lang w:val="es-ES_tradnl"/>
        </w:rPr>
        <w:t>Association</w:t>
      </w:r>
      <w:proofErr w:type="spellEnd"/>
      <w:r w:rsidRPr="00ED1E51">
        <w:rPr>
          <w:rFonts w:ascii="Book Antiqua" w:eastAsia="MS Mincho" w:hAnsi="Book Antiqua"/>
          <w:i/>
          <w:iCs/>
          <w:sz w:val="24"/>
          <w:szCs w:val="24"/>
          <w:lang w:val="es-ES_tradnl"/>
        </w:rPr>
        <w:t xml:space="preserve"> </w:t>
      </w:r>
      <w:proofErr w:type="spellStart"/>
      <w:r w:rsidRPr="00ED1E51">
        <w:rPr>
          <w:rFonts w:ascii="Book Antiqua" w:eastAsia="MS Mincho" w:hAnsi="Book Antiqua"/>
          <w:i/>
          <w:iCs/>
          <w:sz w:val="24"/>
          <w:szCs w:val="24"/>
          <w:lang w:val="es-ES_tradnl"/>
        </w:rPr>
        <w:t>to</w:t>
      </w:r>
      <w:proofErr w:type="spellEnd"/>
      <w:r w:rsidRPr="00ED1E51">
        <w:rPr>
          <w:rFonts w:ascii="Book Antiqua" w:eastAsia="MS Mincho" w:hAnsi="Book Antiqua"/>
          <w:i/>
          <w:iCs/>
          <w:sz w:val="24"/>
          <w:szCs w:val="24"/>
          <w:lang w:val="es-ES_tradnl"/>
        </w:rPr>
        <w:t xml:space="preserve"> </w:t>
      </w:r>
      <w:proofErr w:type="spellStart"/>
      <w:r w:rsidRPr="00ED1E51">
        <w:rPr>
          <w:rFonts w:ascii="Book Antiqua" w:eastAsia="MS Mincho" w:hAnsi="Book Antiqua"/>
          <w:i/>
          <w:iCs/>
          <w:sz w:val="24"/>
          <w:szCs w:val="24"/>
          <w:lang w:val="es-ES_tradnl"/>
        </w:rPr>
        <w:t>Advance</w:t>
      </w:r>
      <w:proofErr w:type="spellEnd"/>
      <w:r w:rsidRPr="00ED1E51">
        <w:rPr>
          <w:rFonts w:ascii="Book Antiqua" w:eastAsia="MS Mincho" w:hAnsi="Book Antiqua"/>
          <w:i/>
          <w:iCs/>
          <w:sz w:val="24"/>
          <w:szCs w:val="24"/>
          <w:lang w:val="es-ES_tradnl"/>
        </w:rPr>
        <w:t xml:space="preserve"> </w:t>
      </w:r>
      <w:proofErr w:type="spellStart"/>
      <w:r w:rsidRPr="00ED1E51">
        <w:rPr>
          <w:rFonts w:ascii="Book Antiqua" w:eastAsia="MS Mincho" w:hAnsi="Book Antiqua"/>
          <w:i/>
          <w:iCs/>
          <w:sz w:val="24"/>
          <w:szCs w:val="24"/>
          <w:lang w:val="es-ES_tradnl"/>
        </w:rPr>
        <w:t>Collegiate</w:t>
      </w:r>
      <w:proofErr w:type="spellEnd"/>
      <w:r w:rsidRPr="00ED1E51">
        <w:rPr>
          <w:rFonts w:ascii="Book Antiqua" w:eastAsia="MS Mincho" w:hAnsi="Book Antiqua"/>
          <w:i/>
          <w:iCs/>
          <w:sz w:val="24"/>
          <w:szCs w:val="24"/>
          <w:lang w:val="es-ES_tradnl"/>
        </w:rPr>
        <w:t xml:space="preserve"> </w:t>
      </w:r>
      <w:proofErr w:type="spellStart"/>
      <w:r w:rsidRPr="00ED1E51">
        <w:rPr>
          <w:rFonts w:ascii="Book Antiqua" w:eastAsia="MS Mincho" w:hAnsi="Book Antiqua"/>
          <w:i/>
          <w:iCs/>
          <w:sz w:val="24"/>
          <w:szCs w:val="24"/>
          <w:lang w:val="es-ES_tradnl"/>
        </w:rPr>
        <w:t>Schools</w:t>
      </w:r>
      <w:proofErr w:type="spellEnd"/>
      <w:r w:rsidRPr="00ED1E51">
        <w:rPr>
          <w:rFonts w:ascii="Book Antiqua" w:eastAsia="MS Mincho" w:hAnsi="Book Antiqua"/>
          <w:i/>
          <w:iCs/>
          <w:sz w:val="24"/>
          <w:szCs w:val="24"/>
          <w:lang w:val="es-ES_tradnl"/>
        </w:rPr>
        <w:t xml:space="preserve"> </w:t>
      </w:r>
      <w:proofErr w:type="spellStart"/>
      <w:r w:rsidRPr="00ED1E51">
        <w:rPr>
          <w:rFonts w:ascii="Book Antiqua" w:eastAsia="MS Mincho" w:hAnsi="Book Antiqua"/>
          <w:i/>
          <w:iCs/>
          <w:sz w:val="24"/>
          <w:szCs w:val="24"/>
          <w:lang w:val="es-ES_tradnl"/>
        </w:rPr>
        <w:t>of</w:t>
      </w:r>
      <w:proofErr w:type="spellEnd"/>
      <w:r w:rsidRPr="00ED1E51">
        <w:rPr>
          <w:rFonts w:ascii="Book Antiqua" w:eastAsia="MS Mincho" w:hAnsi="Book Antiqua"/>
          <w:i/>
          <w:iCs/>
          <w:sz w:val="24"/>
          <w:szCs w:val="24"/>
          <w:lang w:val="es-ES_tradnl"/>
        </w:rPr>
        <w:t xml:space="preserve"> Business (AACSB), la </w:t>
      </w:r>
      <w:proofErr w:type="spellStart"/>
      <w:r w:rsidRPr="00ED1E51">
        <w:rPr>
          <w:rFonts w:ascii="Book Antiqua" w:eastAsia="MS Mincho" w:hAnsi="Book Antiqua"/>
          <w:i/>
          <w:iCs/>
          <w:sz w:val="24"/>
          <w:szCs w:val="24"/>
          <w:lang w:val="es-ES_tradnl"/>
        </w:rPr>
        <w:t>National</w:t>
      </w:r>
      <w:proofErr w:type="spellEnd"/>
      <w:r w:rsidRPr="00ED1E51">
        <w:rPr>
          <w:rFonts w:ascii="Book Antiqua" w:eastAsia="MS Mincho" w:hAnsi="Book Antiqua"/>
          <w:i/>
          <w:iCs/>
          <w:sz w:val="24"/>
          <w:szCs w:val="24"/>
          <w:lang w:val="es-ES_tradnl"/>
        </w:rPr>
        <w:t xml:space="preserve"> </w:t>
      </w:r>
      <w:proofErr w:type="spellStart"/>
      <w:r w:rsidRPr="00ED1E51">
        <w:rPr>
          <w:rFonts w:ascii="Book Antiqua" w:eastAsia="MS Mincho" w:hAnsi="Book Antiqua"/>
          <w:i/>
          <w:iCs/>
          <w:sz w:val="24"/>
          <w:szCs w:val="24"/>
          <w:lang w:val="es-ES_tradnl"/>
        </w:rPr>
        <w:t>Association</w:t>
      </w:r>
      <w:proofErr w:type="spellEnd"/>
      <w:r w:rsidRPr="00ED1E51">
        <w:rPr>
          <w:rFonts w:ascii="Book Antiqua" w:eastAsia="MS Mincho" w:hAnsi="Book Antiqua"/>
          <w:i/>
          <w:iCs/>
          <w:sz w:val="24"/>
          <w:szCs w:val="24"/>
          <w:lang w:val="es-ES_tradnl"/>
        </w:rPr>
        <w:t xml:space="preserve"> </w:t>
      </w:r>
      <w:proofErr w:type="spellStart"/>
      <w:r w:rsidRPr="00ED1E51">
        <w:rPr>
          <w:rFonts w:ascii="Book Antiqua" w:eastAsia="MS Mincho" w:hAnsi="Book Antiqua"/>
          <w:i/>
          <w:iCs/>
          <w:sz w:val="24"/>
          <w:szCs w:val="24"/>
          <w:lang w:val="es-ES_tradnl"/>
        </w:rPr>
        <w:t>for</w:t>
      </w:r>
      <w:proofErr w:type="spellEnd"/>
      <w:r w:rsidRPr="00ED1E51">
        <w:rPr>
          <w:rFonts w:ascii="Book Antiqua" w:eastAsia="MS Mincho" w:hAnsi="Book Antiqua"/>
          <w:i/>
          <w:iCs/>
          <w:sz w:val="24"/>
          <w:szCs w:val="24"/>
          <w:lang w:val="es-ES_tradnl"/>
        </w:rPr>
        <w:t xml:space="preserve"> </w:t>
      </w:r>
      <w:proofErr w:type="spellStart"/>
      <w:r w:rsidRPr="00ED1E51">
        <w:rPr>
          <w:rFonts w:ascii="Book Antiqua" w:eastAsia="MS Mincho" w:hAnsi="Book Antiqua"/>
          <w:i/>
          <w:iCs/>
          <w:sz w:val="24"/>
          <w:szCs w:val="24"/>
          <w:lang w:val="es-ES_tradnl"/>
        </w:rPr>
        <w:t>the</w:t>
      </w:r>
      <w:proofErr w:type="spellEnd"/>
      <w:r w:rsidRPr="00ED1E51">
        <w:rPr>
          <w:rFonts w:ascii="Book Antiqua" w:eastAsia="MS Mincho" w:hAnsi="Book Antiqua"/>
          <w:i/>
          <w:iCs/>
          <w:sz w:val="24"/>
          <w:szCs w:val="24"/>
          <w:lang w:val="es-ES_tradnl"/>
        </w:rPr>
        <w:t xml:space="preserve"> </w:t>
      </w:r>
      <w:proofErr w:type="spellStart"/>
      <w:r w:rsidRPr="00ED1E51">
        <w:rPr>
          <w:rFonts w:ascii="Book Antiqua" w:eastAsia="MS Mincho" w:hAnsi="Book Antiqua"/>
          <w:i/>
          <w:iCs/>
          <w:sz w:val="24"/>
          <w:szCs w:val="24"/>
          <w:lang w:val="es-ES_tradnl"/>
        </w:rPr>
        <w:t>Education</w:t>
      </w:r>
      <w:proofErr w:type="spellEnd"/>
      <w:r w:rsidRPr="00ED1E51">
        <w:rPr>
          <w:rFonts w:ascii="Book Antiqua" w:eastAsia="MS Mincho" w:hAnsi="Book Antiqua"/>
          <w:i/>
          <w:iCs/>
          <w:sz w:val="24"/>
          <w:szCs w:val="24"/>
          <w:lang w:val="es-ES_tradnl"/>
        </w:rPr>
        <w:t xml:space="preserve"> </w:t>
      </w:r>
      <w:proofErr w:type="spellStart"/>
      <w:r w:rsidRPr="00ED1E51">
        <w:rPr>
          <w:rFonts w:ascii="Book Antiqua" w:eastAsia="MS Mincho" w:hAnsi="Book Antiqua"/>
          <w:i/>
          <w:iCs/>
          <w:sz w:val="24"/>
          <w:szCs w:val="24"/>
          <w:lang w:val="es-ES_tradnl"/>
        </w:rPr>
        <w:t>of</w:t>
      </w:r>
      <w:proofErr w:type="spellEnd"/>
      <w:r w:rsidRPr="00ED1E51">
        <w:rPr>
          <w:rFonts w:ascii="Book Antiqua" w:eastAsia="MS Mincho" w:hAnsi="Book Antiqua"/>
          <w:i/>
          <w:iCs/>
          <w:sz w:val="24"/>
          <w:szCs w:val="24"/>
          <w:lang w:val="es-ES_tradnl"/>
        </w:rPr>
        <w:t xml:space="preserve"> Young </w:t>
      </w:r>
      <w:proofErr w:type="spellStart"/>
      <w:r w:rsidRPr="00ED1E51">
        <w:rPr>
          <w:rFonts w:ascii="Book Antiqua" w:eastAsia="MS Mincho" w:hAnsi="Book Antiqua"/>
          <w:i/>
          <w:iCs/>
          <w:sz w:val="24"/>
          <w:szCs w:val="24"/>
          <w:lang w:val="es-ES_tradnl"/>
        </w:rPr>
        <w:t>Children</w:t>
      </w:r>
      <w:proofErr w:type="spellEnd"/>
      <w:r w:rsidRPr="00ED1E51">
        <w:rPr>
          <w:rFonts w:ascii="Book Antiqua" w:eastAsia="MS Mincho" w:hAnsi="Book Antiqua"/>
          <w:i/>
          <w:iCs/>
          <w:sz w:val="24"/>
          <w:szCs w:val="24"/>
          <w:lang w:val="es-ES_tradnl"/>
        </w:rPr>
        <w:t xml:space="preserve"> (NAEYC) y el </w:t>
      </w:r>
      <w:proofErr w:type="spellStart"/>
      <w:r w:rsidRPr="00ED1E51">
        <w:rPr>
          <w:rFonts w:ascii="Book Antiqua" w:eastAsia="MS Mincho" w:hAnsi="Book Antiqua"/>
          <w:i/>
          <w:iCs/>
          <w:sz w:val="24"/>
          <w:szCs w:val="24"/>
          <w:lang w:val="es-ES_tradnl"/>
        </w:rPr>
        <w:t>National</w:t>
      </w:r>
      <w:proofErr w:type="spellEnd"/>
      <w:r w:rsidRPr="00ED1E51">
        <w:rPr>
          <w:rFonts w:ascii="Book Antiqua" w:eastAsia="MS Mincho" w:hAnsi="Book Antiqua"/>
          <w:i/>
          <w:iCs/>
          <w:sz w:val="24"/>
          <w:szCs w:val="24"/>
          <w:lang w:val="es-ES_tradnl"/>
        </w:rPr>
        <w:t xml:space="preserve"> Council </w:t>
      </w:r>
      <w:proofErr w:type="spellStart"/>
      <w:r w:rsidRPr="00ED1E51">
        <w:rPr>
          <w:rFonts w:ascii="Book Antiqua" w:eastAsia="MS Mincho" w:hAnsi="Book Antiqua"/>
          <w:i/>
          <w:iCs/>
          <w:sz w:val="24"/>
          <w:szCs w:val="24"/>
          <w:lang w:val="es-ES_tradnl"/>
        </w:rPr>
        <w:t>for</w:t>
      </w:r>
      <w:proofErr w:type="spellEnd"/>
      <w:r w:rsidRPr="00ED1E51">
        <w:rPr>
          <w:rFonts w:ascii="Book Antiqua" w:eastAsia="MS Mincho" w:hAnsi="Book Antiqua"/>
          <w:i/>
          <w:iCs/>
          <w:sz w:val="24"/>
          <w:szCs w:val="24"/>
          <w:lang w:val="es-ES_tradnl"/>
        </w:rPr>
        <w:t xml:space="preserve"> </w:t>
      </w:r>
      <w:proofErr w:type="spellStart"/>
      <w:r w:rsidRPr="00ED1E51">
        <w:rPr>
          <w:rFonts w:ascii="Book Antiqua" w:eastAsia="MS Mincho" w:hAnsi="Book Antiqua"/>
          <w:i/>
          <w:iCs/>
          <w:sz w:val="24"/>
          <w:szCs w:val="24"/>
          <w:lang w:val="es-ES_tradnl"/>
        </w:rPr>
        <w:t>Accreditation</w:t>
      </w:r>
      <w:proofErr w:type="spellEnd"/>
      <w:r w:rsidRPr="00ED1E51">
        <w:rPr>
          <w:rFonts w:ascii="Book Antiqua" w:eastAsia="MS Mincho" w:hAnsi="Book Antiqua"/>
          <w:i/>
          <w:iCs/>
          <w:sz w:val="24"/>
          <w:szCs w:val="24"/>
          <w:lang w:val="es-ES_tradnl"/>
        </w:rPr>
        <w:t xml:space="preserve"> </w:t>
      </w:r>
      <w:proofErr w:type="spellStart"/>
      <w:r w:rsidRPr="00ED1E51">
        <w:rPr>
          <w:rFonts w:ascii="Book Antiqua" w:eastAsia="MS Mincho" w:hAnsi="Book Antiqua"/>
          <w:i/>
          <w:iCs/>
          <w:sz w:val="24"/>
          <w:szCs w:val="24"/>
          <w:lang w:val="es-ES_tradnl"/>
        </w:rPr>
        <w:t>of</w:t>
      </w:r>
      <w:proofErr w:type="spellEnd"/>
      <w:r w:rsidRPr="00ED1E51">
        <w:rPr>
          <w:rFonts w:ascii="Book Antiqua" w:eastAsia="MS Mincho" w:hAnsi="Book Antiqua"/>
          <w:i/>
          <w:iCs/>
          <w:sz w:val="24"/>
          <w:szCs w:val="24"/>
          <w:lang w:val="es-ES_tradnl"/>
        </w:rPr>
        <w:t xml:space="preserve"> </w:t>
      </w:r>
      <w:proofErr w:type="spellStart"/>
      <w:r w:rsidRPr="00ED1E51">
        <w:rPr>
          <w:rFonts w:ascii="Book Antiqua" w:eastAsia="MS Mincho" w:hAnsi="Book Antiqua"/>
          <w:i/>
          <w:iCs/>
          <w:sz w:val="24"/>
          <w:szCs w:val="24"/>
          <w:lang w:val="es-ES_tradnl"/>
        </w:rPr>
        <w:t>Teacher</w:t>
      </w:r>
      <w:proofErr w:type="spellEnd"/>
      <w:r w:rsidRPr="00ED1E51">
        <w:rPr>
          <w:rFonts w:ascii="Book Antiqua" w:eastAsia="MS Mincho" w:hAnsi="Book Antiqua"/>
          <w:i/>
          <w:iCs/>
          <w:sz w:val="24"/>
          <w:szCs w:val="24"/>
          <w:lang w:val="es-ES_tradnl"/>
        </w:rPr>
        <w:t xml:space="preserve"> </w:t>
      </w:r>
      <w:proofErr w:type="spellStart"/>
      <w:r w:rsidRPr="00ED1E51">
        <w:rPr>
          <w:rFonts w:ascii="Book Antiqua" w:eastAsia="MS Mincho" w:hAnsi="Book Antiqua"/>
          <w:i/>
          <w:iCs/>
          <w:sz w:val="24"/>
          <w:szCs w:val="24"/>
          <w:lang w:val="es-ES_tradnl"/>
        </w:rPr>
        <w:t>Education</w:t>
      </w:r>
      <w:proofErr w:type="spellEnd"/>
      <w:r w:rsidRPr="00ED1E51">
        <w:rPr>
          <w:rFonts w:ascii="Book Antiqua" w:eastAsia="MS Mincho" w:hAnsi="Book Antiqua"/>
          <w:i/>
          <w:iCs/>
          <w:sz w:val="24"/>
          <w:szCs w:val="24"/>
          <w:lang w:val="es-ES_tradnl"/>
        </w:rPr>
        <w:t xml:space="preserve"> (NCATE)</w:t>
      </w:r>
      <w:r w:rsidRPr="007B5889">
        <w:rPr>
          <w:rFonts w:ascii="Book Antiqua" w:eastAsia="MS Mincho" w:hAnsi="Book Antiqua"/>
          <w:sz w:val="24"/>
          <w:szCs w:val="24"/>
          <w:lang w:val="es-ES_tradnl"/>
        </w:rPr>
        <w:t>, lo que demuestra el nivel de rigor académico y el compromiso institucional con la excelencia.</w:t>
      </w:r>
    </w:p>
    <w:p w14:paraId="1F08141F" w14:textId="77777777" w:rsidR="007B5889" w:rsidRPr="007B5889" w:rsidRDefault="007B5889" w:rsidP="007B5889">
      <w:pPr>
        <w:spacing w:after="0" w:line="240" w:lineRule="auto"/>
        <w:jc w:val="both"/>
        <w:rPr>
          <w:rFonts w:ascii="Book Antiqua" w:eastAsia="MS Mincho" w:hAnsi="Book Antiqua"/>
          <w:sz w:val="24"/>
          <w:szCs w:val="24"/>
          <w:lang w:val="es-ES_tradnl"/>
        </w:rPr>
      </w:pPr>
    </w:p>
    <w:p w14:paraId="13F8B11F" w14:textId="77777777" w:rsidR="007B5889" w:rsidRPr="007B5889" w:rsidRDefault="007B5889" w:rsidP="00ED1E51">
      <w:pPr>
        <w:spacing w:after="0" w:line="240" w:lineRule="auto"/>
        <w:ind w:firstLine="720"/>
        <w:jc w:val="both"/>
        <w:rPr>
          <w:rFonts w:ascii="Book Antiqua" w:eastAsia="MS Mincho" w:hAnsi="Book Antiqua"/>
          <w:sz w:val="24"/>
          <w:szCs w:val="24"/>
          <w:lang w:val="es-ES_tradnl"/>
        </w:rPr>
      </w:pPr>
      <w:r w:rsidRPr="007B5889">
        <w:rPr>
          <w:rFonts w:ascii="Book Antiqua" w:eastAsia="MS Mincho" w:hAnsi="Book Antiqua"/>
          <w:sz w:val="24"/>
          <w:szCs w:val="24"/>
          <w:lang w:val="es-ES_tradnl"/>
        </w:rPr>
        <w:lastRenderedPageBreak/>
        <w:t>La vida universitaria en UPR-Bayamón se caracteriza también por una fuerte cultura extracurricular, especialmente en el ámbito deportivo y artístico. El recinto ha mantenido una posición de liderazgo en la Liga Atlética Interuniversitaria (LAI), ostentando récords históricos en baloncesto femenino, porrismo y equipo de baile, lo que ha colocado a UPR-Bayamón como una potencia deportiva a nivel universitario. Estos logros reflejan no solo el talento y la disciplina de sus estudiantes, sino también el esfuerzo institucional por fomentar el desarrollo integral de su comunidad estudiantil. Asimismo, programas como la Universidad Extendida, dirigidos a personas que trabajan o que no pueden cursar estudios en horarios diurnos tradicionales, han ampliado el acceso a la educación superior. A ello se suma la vinculación con la industria y el sector privado del área norte del país, donde cientos de estudiantes realizan internados y experiencias prácticas que fortalecen su empleabilidad al momento de graduarse.</w:t>
      </w:r>
    </w:p>
    <w:p w14:paraId="46AFAD28" w14:textId="77777777" w:rsidR="007B5889" w:rsidRPr="007B5889" w:rsidRDefault="007B5889" w:rsidP="007B5889">
      <w:pPr>
        <w:spacing w:after="0" w:line="240" w:lineRule="auto"/>
        <w:jc w:val="both"/>
        <w:rPr>
          <w:rFonts w:ascii="Book Antiqua" w:eastAsia="MS Mincho" w:hAnsi="Book Antiqua"/>
          <w:sz w:val="24"/>
          <w:szCs w:val="24"/>
          <w:lang w:val="es-ES_tradnl"/>
        </w:rPr>
      </w:pPr>
    </w:p>
    <w:p w14:paraId="5C92A887" w14:textId="77777777" w:rsidR="007B5889" w:rsidRPr="007B5889" w:rsidRDefault="007B5889" w:rsidP="00ED1E51">
      <w:pPr>
        <w:spacing w:after="0" w:line="240" w:lineRule="auto"/>
        <w:ind w:firstLine="720"/>
        <w:jc w:val="both"/>
        <w:rPr>
          <w:rFonts w:ascii="Book Antiqua" w:eastAsia="MS Mincho" w:hAnsi="Book Antiqua"/>
          <w:sz w:val="24"/>
          <w:szCs w:val="24"/>
          <w:lang w:val="es-ES_tradnl"/>
        </w:rPr>
      </w:pPr>
      <w:r w:rsidRPr="007B5889">
        <w:rPr>
          <w:rFonts w:ascii="Book Antiqua" w:eastAsia="MS Mincho" w:hAnsi="Book Antiqua"/>
          <w:sz w:val="24"/>
          <w:szCs w:val="24"/>
          <w:lang w:val="es-ES_tradnl"/>
        </w:rPr>
        <w:t xml:space="preserve">Cabe destacar que el impacto de la UPR-Bayamón trasciende los límites del campus universitario. Esta institución es un recurso esencial para miles de estudiantes y familias del municipio de Bayamón, así como de pueblos cercanos como </w:t>
      </w:r>
      <w:proofErr w:type="spellStart"/>
      <w:r w:rsidRPr="007B5889">
        <w:rPr>
          <w:rFonts w:ascii="Book Antiqua" w:eastAsia="MS Mincho" w:hAnsi="Book Antiqua"/>
          <w:sz w:val="24"/>
          <w:szCs w:val="24"/>
          <w:lang w:val="es-ES_tradnl"/>
        </w:rPr>
        <w:t>Toa</w:t>
      </w:r>
      <w:proofErr w:type="spellEnd"/>
      <w:r w:rsidRPr="007B5889">
        <w:rPr>
          <w:rFonts w:ascii="Book Antiqua" w:eastAsia="MS Mincho" w:hAnsi="Book Antiqua"/>
          <w:sz w:val="24"/>
          <w:szCs w:val="24"/>
          <w:lang w:val="es-ES_tradnl"/>
        </w:rPr>
        <w:t xml:space="preserve"> Baja, </w:t>
      </w:r>
      <w:proofErr w:type="spellStart"/>
      <w:r w:rsidRPr="007B5889">
        <w:rPr>
          <w:rFonts w:ascii="Book Antiqua" w:eastAsia="MS Mincho" w:hAnsi="Book Antiqua"/>
          <w:sz w:val="24"/>
          <w:szCs w:val="24"/>
          <w:lang w:val="es-ES_tradnl"/>
        </w:rPr>
        <w:t>Toa</w:t>
      </w:r>
      <w:proofErr w:type="spellEnd"/>
      <w:r w:rsidRPr="007B5889">
        <w:rPr>
          <w:rFonts w:ascii="Book Antiqua" w:eastAsia="MS Mincho" w:hAnsi="Book Antiqua"/>
          <w:sz w:val="24"/>
          <w:szCs w:val="24"/>
          <w:lang w:val="es-ES_tradnl"/>
        </w:rPr>
        <w:t xml:space="preserve"> Alta, Cataño, Naranjito, Corozal y Vega Alta, entre otros. El recinto no solo representa una vía accesible para obtener una educación universitaria pública de calidad, sino que también funge como motor de desarrollo económico y cultural para toda la región. Muchas familias de clase media y trabajadora dependen de esta institución para que sus hijos e hijas puedan acceder a oportunidades educativas que les permitan mejorar su calidad de vida y contribuir al bienestar colectivo. Además, UPR-Bayamón mantiene una relación estrecha con escuelas públicas, organizaciones comunitarias, y entidades gubernamentales y privadas, fortaleciendo así el tejido social del área.</w:t>
      </w:r>
    </w:p>
    <w:p w14:paraId="01582A73" w14:textId="77777777" w:rsidR="007B5889" w:rsidRPr="007B5889" w:rsidRDefault="007B5889" w:rsidP="007B5889">
      <w:pPr>
        <w:spacing w:after="0" w:line="240" w:lineRule="auto"/>
        <w:jc w:val="both"/>
        <w:rPr>
          <w:rFonts w:ascii="Book Antiqua" w:eastAsia="MS Mincho" w:hAnsi="Book Antiqua"/>
          <w:sz w:val="24"/>
          <w:szCs w:val="24"/>
          <w:lang w:val="es-ES_tradnl"/>
        </w:rPr>
      </w:pPr>
    </w:p>
    <w:p w14:paraId="2E61245E" w14:textId="77777777" w:rsidR="007B5889" w:rsidRPr="007B5889" w:rsidRDefault="007B5889" w:rsidP="00ED1E51">
      <w:pPr>
        <w:spacing w:after="0" w:line="240" w:lineRule="auto"/>
        <w:ind w:firstLine="720"/>
        <w:jc w:val="both"/>
        <w:rPr>
          <w:rFonts w:ascii="Book Antiqua" w:eastAsia="MS Mincho" w:hAnsi="Book Antiqua"/>
          <w:sz w:val="24"/>
          <w:szCs w:val="24"/>
          <w:lang w:val="es-ES_tradnl"/>
        </w:rPr>
      </w:pPr>
      <w:r w:rsidRPr="007B5889">
        <w:rPr>
          <w:rFonts w:ascii="Book Antiqua" w:eastAsia="MS Mincho" w:hAnsi="Book Antiqua"/>
          <w:sz w:val="24"/>
          <w:szCs w:val="24"/>
          <w:lang w:val="es-ES_tradnl"/>
        </w:rPr>
        <w:t>No obstante, a pesar de su trayectoria académica, cultural y deportiva, múltiples sectores de la comunidad universitaria han denunciado el deterioro progresivo de las instalaciones del recinto. Se han reportado condiciones insalubres en salones de clase, incluyendo filtraciones, hongos visibles en techos y paredes, y la ausencia de ventilación adecuada, lo que representa un riesgo directo a la salud de estudiantes, docentes y personal administrativo. Las instalaciones sanitarias también presentan deficiencias críticas, con baños que carecen de mantenimiento y condiciones mínimas de salubridad. En el caso de la pista atlética, apenas un carril se encuentra en condiciones utilizables, mientras que el resto está inutilizable por falta de mantenimiento, grama ausente y hoyos que representan peligros para los atletas. La cancha de baloncesto, por su parte, sufre de filtraciones severas que limitan su uso y comprometen la seguridad de quienes la utilizan.</w:t>
      </w:r>
    </w:p>
    <w:p w14:paraId="5FBCF287" w14:textId="77777777" w:rsidR="007B5889" w:rsidRPr="007B5889" w:rsidRDefault="007B5889" w:rsidP="007B5889">
      <w:pPr>
        <w:spacing w:after="0" w:line="240" w:lineRule="auto"/>
        <w:jc w:val="both"/>
        <w:rPr>
          <w:rFonts w:ascii="Book Antiqua" w:eastAsia="MS Mincho" w:hAnsi="Book Antiqua"/>
          <w:sz w:val="24"/>
          <w:szCs w:val="24"/>
          <w:lang w:val="es-ES_tradnl"/>
        </w:rPr>
      </w:pPr>
    </w:p>
    <w:p w14:paraId="6EB11C37" w14:textId="77777777" w:rsidR="007B5889" w:rsidRPr="007B5889" w:rsidRDefault="007B5889" w:rsidP="00ED1E51">
      <w:pPr>
        <w:spacing w:after="0" w:line="240" w:lineRule="auto"/>
        <w:ind w:firstLine="720"/>
        <w:jc w:val="both"/>
        <w:rPr>
          <w:rFonts w:ascii="Book Antiqua" w:eastAsia="MS Mincho" w:hAnsi="Book Antiqua"/>
          <w:sz w:val="24"/>
          <w:szCs w:val="24"/>
          <w:lang w:val="es-ES_tradnl"/>
        </w:rPr>
      </w:pPr>
      <w:r w:rsidRPr="007B5889">
        <w:rPr>
          <w:rFonts w:ascii="Book Antiqua" w:eastAsia="MS Mincho" w:hAnsi="Book Antiqua"/>
          <w:sz w:val="24"/>
          <w:szCs w:val="24"/>
          <w:lang w:val="es-ES_tradnl"/>
        </w:rPr>
        <w:t xml:space="preserve">El plan de reconstrucción del recinto, uno de los más ambiciosos dentro del sistema UPR, contempla una transformación estructural con edificios </w:t>
      </w:r>
      <w:proofErr w:type="spellStart"/>
      <w:r w:rsidRPr="007B5889">
        <w:rPr>
          <w:rFonts w:ascii="Book Antiqua" w:eastAsia="MS Mincho" w:hAnsi="Book Antiqua"/>
          <w:sz w:val="24"/>
          <w:szCs w:val="24"/>
          <w:lang w:val="es-ES_tradnl"/>
        </w:rPr>
        <w:t>multipisos</w:t>
      </w:r>
      <w:proofErr w:type="spellEnd"/>
      <w:r w:rsidRPr="007B5889">
        <w:rPr>
          <w:rFonts w:ascii="Book Antiqua" w:eastAsia="MS Mincho" w:hAnsi="Book Antiqua"/>
          <w:sz w:val="24"/>
          <w:szCs w:val="24"/>
          <w:lang w:val="es-ES_tradnl"/>
        </w:rPr>
        <w:t xml:space="preserve">, nuevas tecnologías y una menor dependencia de sistemas de aire acondicionado. Dicho proyecto ha sido estimado en aproximadamente $82 millones, con un 90% de los fondos provenientes de la Agencia Federal para el Manejo de Emergencias (FEMA) y el 10% restante del Programa CDBG-DR, administrado por el Departamento de la Vivienda </w:t>
      </w:r>
      <w:r w:rsidRPr="007B5889">
        <w:rPr>
          <w:rFonts w:ascii="Book Antiqua" w:eastAsia="MS Mincho" w:hAnsi="Book Antiqua"/>
          <w:sz w:val="24"/>
          <w:szCs w:val="24"/>
          <w:lang w:val="es-ES_tradnl"/>
        </w:rPr>
        <w:lastRenderedPageBreak/>
        <w:t>federal. No obstante, informes oficiales de la Oficina Central de Recuperación, Reconstrucción y Resiliencia (COR3) indican que este proyecto se encuentra entre los diez más atrasados en el proceso de obligación de fondos, lo cual agrava la situación y extiende la espera de mejoras necesarias para el bienestar de la comunidad universitaria.</w:t>
      </w:r>
    </w:p>
    <w:p w14:paraId="1B94532F" w14:textId="77777777" w:rsidR="007B5889" w:rsidRPr="007B5889" w:rsidRDefault="007B5889" w:rsidP="007B5889">
      <w:pPr>
        <w:spacing w:after="0" w:line="240" w:lineRule="auto"/>
        <w:jc w:val="both"/>
        <w:rPr>
          <w:rFonts w:ascii="Book Antiqua" w:eastAsia="MS Mincho" w:hAnsi="Book Antiqua"/>
          <w:sz w:val="24"/>
          <w:szCs w:val="24"/>
          <w:lang w:val="es-ES_tradnl"/>
        </w:rPr>
      </w:pPr>
    </w:p>
    <w:p w14:paraId="2447E673" w14:textId="77777777" w:rsidR="007B5889" w:rsidRPr="007B5889" w:rsidRDefault="007B5889" w:rsidP="00ED1E51">
      <w:pPr>
        <w:spacing w:after="0" w:line="240" w:lineRule="auto"/>
        <w:ind w:firstLine="720"/>
        <w:jc w:val="both"/>
        <w:rPr>
          <w:rFonts w:ascii="Book Antiqua" w:eastAsia="MS Mincho" w:hAnsi="Book Antiqua"/>
          <w:sz w:val="24"/>
          <w:szCs w:val="24"/>
          <w:lang w:val="es-ES_tradnl"/>
        </w:rPr>
      </w:pPr>
      <w:r w:rsidRPr="007B5889">
        <w:rPr>
          <w:rFonts w:ascii="Book Antiqua" w:eastAsia="MS Mincho" w:hAnsi="Book Antiqua"/>
          <w:sz w:val="24"/>
          <w:szCs w:val="24"/>
          <w:lang w:val="es-ES_tradnl"/>
        </w:rPr>
        <w:t>Ante este panorama, resulta indispensable que la Cámara de Representantes del Gobierno de Puerto Rico investigue y fiscalice el estado actual de las facilidades educativas, recreativas y deportivas de la UPR-Bayamón. Es deber del Poder Legislativo garantizar que nuestros estudiantes reciban una educación de calidad en entornos seguros, dignos y propicios para su desarrollo integral. Esta investigación permitirá trazar un curso de acción que asegure el buen uso de los fondos asignados y promueva la pronta ejecución de los trabajos necesarios para la rehabilitación del campus. Asimismo, permitirá visibilizar las necesidades urgentes del estudiantado y fomentar una política pública comprometida con la educación pública superior en Puerto Rico.</w:t>
      </w:r>
    </w:p>
    <w:p w14:paraId="55484CA6" w14:textId="77777777" w:rsidR="007B5889" w:rsidRDefault="007B5889" w:rsidP="007B5889">
      <w:pPr>
        <w:spacing w:after="0" w:line="240" w:lineRule="auto"/>
        <w:jc w:val="both"/>
        <w:rPr>
          <w:rFonts w:ascii="Book Antiqua" w:eastAsia="Times New Roman" w:hAnsi="Book Antiqua"/>
          <w:i/>
          <w:iCs/>
          <w:sz w:val="24"/>
          <w:szCs w:val="24"/>
          <w:lang w:val="es-ES_tradnl"/>
        </w:rPr>
      </w:pPr>
    </w:p>
    <w:p w14:paraId="7A49401B" w14:textId="77777777" w:rsidR="003E7820" w:rsidRPr="00683111" w:rsidRDefault="003E7820" w:rsidP="003E7820">
      <w:pPr>
        <w:spacing w:after="0" w:line="240" w:lineRule="auto"/>
        <w:jc w:val="both"/>
        <w:rPr>
          <w:rFonts w:ascii="Book Antiqua" w:eastAsia="Times New Roman" w:hAnsi="Book Antiqua"/>
          <w:i/>
          <w:sz w:val="24"/>
          <w:szCs w:val="24"/>
          <w:lang w:val="es-ES_tradnl"/>
        </w:rPr>
      </w:pPr>
      <w:r w:rsidRPr="00683111">
        <w:rPr>
          <w:rFonts w:ascii="Book Antiqua" w:eastAsia="Times New Roman" w:hAnsi="Book Antiqua"/>
          <w:i/>
          <w:iCs/>
          <w:sz w:val="24"/>
          <w:szCs w:val="24"/>
          <w:lang w:val="es-ES_tradnl"/>
        </w:rPr>
        <w:t xml:space="preserve">RESUÉLVESE POR LA </w:t>
      </w:r>
      <w:r>
        <w:rPr>
          <w:rFonts w:ascii="Book Antiqua" w:eastAsia="Times New Roman" w:hAnsi="Book Antiqua"/>
          <w:i/>
          <w:iCs/>
          <w:sz w:val="24"/>
          <w:szCs w:val="24"/>
          <w:lang w:val="es-ES_tradnl"/>
        </w:rPr>
        <w:t>CÁMARA DE REPRESENTANTES</w:t>
      </w:r>
      <w:r w:rsidRPr="00683111">
        <w:rPr>
          <w:rFonts w:ascii="Book Antiqua" w:eastAsia="Times New Roman" w:hAnsi="Book Antiqua"/>
          <w:i/>
          <w:iCs/>
          <w:sz w:val="24"/>
          <w:szCs w:val="24"/>
          <w:lang w:val="es-ES_tradnl"/>
        </w:rPr>
        <w:t xml:space="preserve"> DE PUERTO RICO:</w:t>
      </w:r>
      <w:r w:rsidRPr="00683111">
        <w:rPr>
          <w:rFonts w:ascii="Book Antiqua" w:eastAsia="Times New Roman" w:hAnsi="Book Antiqua"/>
          <w:i/>
          <w:sz w:val="24"/>
          <w:szCs w:val="24"/>
          <w:lang w:val="es-ES_tradnl"/>
        </w:rPr>
        <w:t xml:space="preserve"> </w:t>
      </w:r>
    </w:p>
    <w:p w14:paraId="672D5453" w14:textId="77777777" w:rsidR="003E7820" w:rsidRPr="00683111" w:rsidRDefault="003E7820" w:rsidP="003E7820">
      <w:pPr>
        <w:spacing w:after="0" w:line="240" w:lineRule="auto"/>
        <w:jc w:val="both"/>
        <w:rPr>
          <w:rFonts w:ascii="Book Antiqua" w:eastAsia="Times New Roman" w:hAnsi="Book Antiqua"/>
          <w:sz w:val="24"/>
          <w:szCs w:val="24"/>
          <w:lang w:val="es-ES_tradnl"/>
        </w:rPr>
      </w:pPr>
    </w:p>
    <w:p w14:paraId="5108F28E" w14:textId="77777777" w:rsidR="003E7820" w:rsidRPr="005A7AF4" w:rsidRDefault="003E7820" w:rsidP="003E7820">
      <w:pPr>
        <w:spacing w:after="0" w:line="240" w:lineRule="auto"/>
        <w:jc w:val="both"/>
        <w:rPr>
          <w:rFonts w:ascii="Book Antiqua" w:eastAsia="Times New Roman" w:hAnsi="Book Antiqua"/>
          <w:sz w:val="24"/>
          <w:szCs w:val="24"/>
          <w:highlight w:val="yellow"/>
          <w:lang w:val="es-ES_tradnl"/>
        </w:rPr>
        <w:sectPr w:rsidR="003E7820" w:rsidRPr="005A7AF4" w:rsidSect="003E7820">
          <w:headerReference w:type="even" r:id="rId6"/>
          <w:headerReference w:type="default" r:id="rId7"/>
          <w:pgSz w:w="12240" w:h="15840" w:code="1"/>
          <w:pgMar w:top="1440" w:right="1440" w:bottom="1440" w:left="1440" w:header="720" w:footer="720" w:gutter="0"/>
          <w:cols w:space="720"/>
          <w:titlePg/>
          <w:docGrid w:linePitch="360"/>
        </w:sectPr>
      </w:pPr>
    </w:p>
    <w:p w14:paraId="5F4E1BD5" w14:textId="20239B1D" w:rsidR="003E7820" w:rsidRPr="005140D4" w:rsidRDefault="003E7820" w:rsidP="005140D4">
      <w:pPr>
        <w:widowControl w:val="0"/>
        <w:spacing w:after="0" w:line="480" w:lineRule="auto"/>
        <w:ind w:firstLine="720"/>
        <w:jc w:val="both"/>
        <w:rPr>
          <w:rFonts w:ascii="Book Antiqua" w:eastAsia="MS Mincho" w:hAnsi="Book Antiqua"/>
          <w:sz w:val="24"/>
          <w:szCs w:val="24"/>
          <w:lang w:val="es-PR"/>
        </w:rPr>
      </w:pPr>
      <w:r w:rsidRPr="005140D4">
        <w:rPr>
          <w:rFonts w:ascii="Book Antiqua" w:eastAsia="MS Mincho" w:hAnsi="Book Antiqua"/>
          <w:sz w:val="24"/>
          <w:szCs w:val="24"/>
          <w:lang w:val="es-PR"/>
        </w:rPr>
        <w:t>Sección 1.-Se ordena a</w:t>
      </w:r>
      <w:r w:rsidR="009E182A" w:rsidRPr="005140D4">
        <w:rPr>
          <w:rFonts w:ascii="Book Antiqua" w:eastAsia="MS Mincho" w:hAnsi="Book Antiqua"/>
          <w:sz w:val="24"/>
          <w:szCs w:val="24"/>
          <w:lang w:val="es-PR"/>
        </w:rPr>
        <w:t xml:space="preserve"> la </w:t>
      </w:r>
      <w:r w:rsidR="00A41080" w:rsidRPr="005140D4">
        <w:rPr>
          <w:rFonts w:ascii="Book Antiqua" w:eastAsia="MS Mincho" w:hAnsi="Book Antiqua"/>
          <w:sz w:val="24"/>
          <w:szCs w:val="24"/>
          <w:lang w:val="es-PR"/>
        </w:rPr>
        <w:t xml:space="preserve">Comisión de </w:t>
      </w:r>
      <w:r w:rsidR="008E5AF6" w:rsidRPr="005140D4">
        <w:rPr>
          <w:rFonts w:ascii="Book Antiqua" w:eastAsia="MS Mincho" w:hAnsi="Book Antiqua"/>
          <w:sz w:val="24"/>
          <w:szCs w:val="24"/>
          <w:lang w:val="es-PR"/>
        </w:rPr>
        <w:t>Educac</w:t>
      </w:r>
      <w:r w:rsidR="008E5AF6" w:rsidRPr="005140D4">
        <w:rPr>
          <w:rFonts w:ascii="Book Antiqua" w:eastAsia="MS Mincho" w:hAnsi="Book Antiqua" w:cs="Calibri"/>
          <w:sz w:val="24"/>
          <w:szCs w:val="24"/>
          <w:lang w:val="es-PR"/>
        </w:rPr>
        <w:t>i</w:t>
      </w:r>
      <w:r w:rsidR="008E5AF6" w:rsidRPr="005140D4">
        <w:rPr>
          <w:rFonts w:ascii="Book Antiqua" w:eastAsia="MS Mincho" w:hAnsi="Book Antiqua"/>
          <w:sz w:val="24"/>
          <w:szCs w:val="24"/>
          <w:lang w:val="es-PR"/>
        </w:rPr>
        <w:t>ón</w:t>
      </w:r>
      <w:r w:rsidR="00A41080" w:rsidRPr="005140D4">
        <w:rPr>
          <w:rFonts w:ascii="Book Antiqua" w:eastAsia="MS Mincho" w:hAnsi="Book Antiqua"/>
          <w:sz w:val="24"/>
          <w:szCs w:val="24"/>
          <w:lang w:val="es-PR"/>
        </w:rPr>
        <w:t>, investigar las condiciones de las facilidades educativas y recreativas de la Universidad de Puerto Rico, recinto de Bayamón</w:t>
      </w:r>
      <w:r w:rsidR="008E5AF6" w:rsidRPr="005140D4">
        <w:rPr>
          <w:rFonts w:ascii="Book Antiqua" w:eastAsia="MS Mincho" w:hAnsi="Book Antiqua"/>
          <w:sz w:val="24"/>
          <w:szCs w:val="24"/>
          <w:lang w:val="es-PR"/>
        </w:rPr>
        <w:t>,</w:t>
      </w:r>
      <w:r w:rsidR="00A41080" w:rsidRPr="005140D4">
        <w:rPr>
          <w:rFonts w:ascii="Book Antiqua" w:eastAsia="MS Mincho" w:hAnsi="Book Antiqua"/>
          <w:sz w:val="24"/>
          <w:szCs w:val="24"/>
          <w:lang w:val="es-PR"/>
        </w:rPr>
        <w:t xml:space="preserve"> planes de acondicionamiento</w:t>
      </w:r>
      <w:r w:rsidR="008E5AF6" w:rsidRPr="005140D4">
        <w:rPr>
          <w:rFonts w:ascii="Book Antiqua" w:eastAsia="MS Mincho" w:hAnsi="Book Antiqua"/>
          <w:sz w:val="24"/>
          <w:szCs w:val="24"/>
          <w:lang w:val="es-PR"/>
        </w:rPr>
        <w:t xml:space="preserve"> y </w:t>
      </w:r>
      <w:r w:rsidR="00A41080" w:rsidRPr="005140D4">
        <w:rPr>
          <w:rFonts w:ascii="Book Antiqua" w:eastAsia="MS Mincho" w:hAnsi="Book Antiqua"/>
          <w:sz w:val="24"/>
          <w:szCs w:val="24"/>
          <w:lang w:val="es-PR"/>
        </w:rPr>
        <w:t>utilización de fondos</w:t>
      </w:r>
      <w:r w:rsidR="008E5AF6" w:rsidRPr="005140D4">
        <w:rPr>
          <w:rFonts w:ascii="Book Antiqua" w:eastAsia="MS Mincho" w:hAnsi="Book Antiqua"/>
          <w:sz w:val="24"/>
          <w:szCs w:val="24"/>
          <w:lang w:val="es-PR"/>
        </w:rPr>
        <w:t xml:space="preserve"> </w:t>
      </w:r>
      <w:r w:rsidR="008E5AF6" w:rsidRPr="005140D4">
        <w:rPr>
          <w:rFonts w:ascii="Book Antiqua" w:hAnsi="Book Antiqua"/>
          <w:sz w:val="24"/>
          <w:szCs w:val="24"/>
          <w:lang w:val="es-PR"/>
        </w:rPr>
        <w:t>de recuperación</w:t>
      </w:r>
      <w:r w:rsidR="008E5AF6" w:rsidRPr="005140D4">
        <w:rPr>
          <w:rFonts w:ascii="Book Antiqua" w:eastAsia="MS Mincho" w:hAnsi="Book Antiqua"/>
          <w:sz w:val="24"/>
          <w:szCs w:val="24"/>
          <w:lang w:val="es-PR"/>
        </w:rPr>
        <w:t xml:space="preserve">. </w:t>
      </w:r>
    </w:p>
    <w:p w14:paraId="1397DDD9" w14:textId="27F21176" w:rsidR="0027209A" w:rsidRPr="005140D4" w:rsidRDefault="003E7820" w:rsidP="005140D4">
      <w:pPr>
        <w:spacing w:after="0" w:line="480" w:lineRule="auto"/>
        <w:ind w:firstLine="720"/>
        <w:jc w:val="both"/>
        <w:rPr>
          <w:rFonts w:ascii="Book Antiqua" w:hAnsi="Book Antiqua"/>
          <w:sz w:val="24"/>
          <w:szCs w:val="24"/>
          <w:lang w:val="es-ES_tradnl"/>
        </w:rPr>
      </w:pPr>
      <w:r w:rsidRPr="005140D4">
        <w:rPr>
          <w:rFonts w:ascii="Book Antiqua" w:eastAsia="MS Mincho" w:hAnsi="Book Antiqua"/>
          <w:sz w:val="24"/>
          <w:szCs w:val="24"/>
          <w:lang w:val="es-PR"/>
        </w:rPr>
        <w:t xml:space="preserve"> </w:t>
      </w:r>
      <w:r w:rsidR="0027209A" w:rsidRPr="005140D4">
        <w:rPr>
          <w:rFonts w:ascii="Book Antiqua" w:hAnsi="Book Antiqua"/>
          <w:sz w:val="24"/>
          <w:szCs w:val="24"/>
          <w:lang w:val="es-ES_tradnl"/>
        </w:rPr>
        <w:t xml:space="preserve">Sección 2.-La Comisión, conforme dispone el Reglamento de la Cámara de Representantes, puede citar a cualquier persona natural o jurídica, o entidad gubernamental, organizaciones con o sin fines de lucro, que haya tenido o tenga cualquier clase de relación o conexión en los asuntos especificados en la Sección 1 de esta Resolución.  </w:t>
      </w:r>
    </w:p>
    <w:p w14:paraId="442699E2" w14:textId="30CA023A" w:rsidR="0027209A" w:rsidRPr="005140D4" w:rsidRDefault="0027209A" w:rsidP="005140D4">
      <w:pPr>
        <w:spacing w:after="0" w:line="480" w:lineRule="auto"/>
        <w:ind w:firstLine="720"/>
        <w:jc w:val="both"/>
        <w:rPr>
          <w:rFonts w:ascii="Book Antiqua" w:hAnsi="Book Antiqua"/>
          <w:sz w:val="24"/>
          <w:szCs w:val="24"/>
          <w:lang w:val="es-ES_tradnl"/>
        </w:rPr>
      </w:pPr>
      <w:r w:rsidRPr="005140D4">
        <w:rPr>
          <w:rFonts w:ascii="Book Antiqua" w:hAnsi="Book Antiqua"/>
          <w:sz w:val="24"/>
          <w:szCs w:val="24"/>
          <w:lang w:val="es-ES_tradnl"/>
        </w:rPr>
        <w:t>Sección</w:t>
      </w:r>
      <w:r w:rsidR="005140D4" w:rsidRPr="005140D4">
        <w:rPr>
          <w:rFonts w:ascii="Book Antiqua" w:hAnsi="Book Antiqua"/>
          <w:sz w:val="24"/>
          <w:szCs w:val="24"/>
          <w:lang w:val="es-ES_tradnl"/>
        </w:rPr>
        <w:t xml:space="preserve"> </w:t>
      </w:r>
      <w:r w:rsidRPr="005140D4">
        <w:rPr>
          <w:rFonts w:ascii="Book Antiqua" w:hAnsi="Book Antiqua"/>
          <w:sz w:val="24"/>
          <w:szCs w:val="24"/>
          <w:lang w:val="es-ES_tradnl"/>
        </w:rPr>
        <w:t xml:space="preserve">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17EA5AF4" w14:textId="77777777" w:rsidR="0027209A" w:rsidRPr="005140D4" w:rsidRDefault="0027209A" w:rsidP="005140D4">
      <w:pPr>
        <w:spacing w:after="0" w:line="480" w:lineRule="auto"/>
        <w:ind w:firstLine="720"/>
        <w:jc w:val="both"/>
        <w:rPr>
          <w:rFonts w:ascii="Book Antiqua" w:hAnsi="Book Antiqua"/>
          <w:sz w:val="24"/>
          <w:szCs w:val="24"/>
          <w:lang w:val="es-ES_tradnl"/>
        </w:rPr>
      </w:pPr>
      <w:r w:rsidRPr="005140D4">
        <w:rPr>
          <w:rFonts w:ascii="Book Antiqua" w:hAnsi="Book Antiqua"/>
          <w:sz w:val="24"/>
          <w:szCs w:val="24"/>
          <w:lang w:val="es-ES_tradnl"/>
        </w:rPr>
        <w:lastRenderedPageBreak/>
        <w:t>Sección 4.-</w:t>
      </w:r>
      <w:r w:rsidRPr="005140D4">
        <w:rPr>
          <w:rFonts w:ascii="Book Antiqua" w:hAnsi="Book Antiqua"/>
          <w:sz w:val="24"/>
          <w:szCs w:val="24"/>
          <w:lang w:val="es-PR"/>
        </w:rPr>
        <w:t xml:space="preserve">La Comisión </w:t>
      </w:r>
      <w:r w:rsidRPr="005140D4">
        <w:rPr>
          <w:rFonts w:ascii="Book Antiqua" w:hAnsi="Book Antiqua"/>
          <w:sz w:val="24"/>
          <w:szCs w:val="24"/>
          <w:lang w:val="es-MX"/>
        </w:rPr>
        <w:t xml:space="preserve">rendirá a la Cámara de Representantes de Puerto Rico los informes parciales que estime necesarios o convenientes en los que incluyan sus hallazgos, conclusiones y recomendaciones; asimismo, someterá un informe final, antes de que finalice </w:t>
      </w:r>
      <w:r w:rsidRPr="005140D4">
        <w:rPr>
          <w:rFonts w:ascii="Book Antiqua" w:hAnsi="Book Antiqua"/>
          <w:sz w:val="24"/>
          <w:szCs w:val="24"/>
          <w:lang w:val="es-ES_tradnl"/>
        </w:rPr>
        <w:t xml:space="preserve">la Vigésima Asamblea Legislativa.   </w:t>
      </w:r>
    </w:p>
    <w:p w14:paraId="714746C8" w14:textId="08CB9366" w:rsidR="00D056D7" w:rsidRPr="005140D4" w:rsidRDefault="0027209A" w:rsidP="005140D4">
      <w:pPr>
        <w:spacing w:after="0" w:line="480" w:lineRule="auto"/>
        <w:ind w:firstLine="720"/>
        <w:jc w:val="both"/>
        <w:rPr>
          <w:rFonts w:ascii="Book Antiqua" w:hAnsi="Book Antiqua"/>
          <w:sz w:val="24"/>
          <w:szCs w:val="24"/>
          <w:lang w:val="es-PR"/>
        </w:rPr>
      </w:pPr>
      <w:r w:rsidRPr="005140D4">
        <w:rPr>
          <w:rFonts w:ascii="Book Antiqua" w:hAnsi="Book Antiqua"/>
          <w:sz w:val="24"/>
          <w:szCs w:val="24"/>
          <w:lang w:val="es-ES_tradnl"/>
        </w:rPr>
        <w:t>Sección 5.-Esta Resolución tendrá vigencia al momento de su aprobación.</w:t>
      </w:r>
    </w:p>
    <w:sectPr w:rsidR="00D056D7" w:rsidRPr="005140D4" w:rsidSect="003E7820">
      <w:headerReference w:type="even" r:id="rId8"/>
      <w:headerReference w:type="default" r:id="rId9"/>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CBB7EB" w14:textId="77777777" w:rsidR="003209A4" w:rsidRDefault="003209A4">
      <w:pPr>
        <w:spacing w:after="0" w:line="240" w:lineRule="auto"/>
      </w:pPr>
      <w:r>
        <w:separator/>
      </w:r>
    </w:p>
  </w:endnote>
  <w:endnote w:type="continuationSeparator" w:id="0">
    <w:p w14:paraId="33046400" w14:textId="77777777" w:rsidR="003209A4" w:rsidRDefault="003209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ADB8D0" w14:textId="77777777" w:rsidR="003209A4" w:rsidRDefault="003209A4">
      <w:pPr>
        <w:spacing w:after="0" w:line="240" w:lineRule="auto"/>
      </w:pPr>
      <w:r>
        <w:separator/>
      </w:r>
    </w:p>
  </w:footnote>
  <w:footnote w:type="continuationSeparator" w:id="0">
    <w:p w14:paraId="69D7267C" w14:textId="77777777" w:rsidR="003209A4" w:rsidRDefault="003209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03924" w14:textId="7DE8084E" w:rsidR="00002690" w:rsidRDefault="00002690" w:rsidP="00D03BD5">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7209A">
      <w:rPr>
        <w:rStyle w:val="Nmerodepgina"/>
        <w:noProof/>
      </w:rPr>
      <w:t>3</w:t>
    </w:r>
    <w:r>
      <w:rPr>
        <w:rStyle w:val="Nmerodepgina"/>
      </w:rPr>
      <w:fldChar w:fldCharType="end"/>
    </w:r>
  </w:p>
  <w:p w14:paraId="5D5CBB7F" w14:textId="77777777" w:rsidR="00002690" w:rsidRDefault="0000269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C17B7" w14:textId="77777777" w:rsidR="00002690" w:rsidRDefault="00002690" w:rsidP="009E182A">
    <w:pPr>
      <w:pStyle w:val="Encabezado"/>
      <w:framePr w:wrap="around" w:vAnchor="text" w:hAnchor="page" w:x="6011"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22C6AE82" w14:textId="77777777" w:rsidR="00002690" w:rsidRDefault="0000269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FC759" w14:textId="77777777" w:rsidR="00002690" w:rsidRDefault="00002690">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60DF59C0" w14:textId="77777777" w:rsidR="00002690" w:rsidRDefault="0000269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35A31" w14:textId="77777777" w:rsidR="00002690" w:rsidRDefault="00002690">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w:t>
    </w:r>
    <w:r>
      <w:rPr>
        <w:rStyle w:val="Nmerodepgina"/>
      </w:rPr>
      <w:fldChar w:fldCharType="end"/>
    </w:r>
  </w:p>
  <w:p w14:paraId="2C87C179" w14:textId="68CAA78D" w:rsidR="00002690" w:rsidRDefault="003E7820">
    <w:r>
      <w:rPr>
        <w:noProof/>
      </w:rPr>
      <mc:AlternateContent>
        <mc:Choice Requires="wps">
          <w:drawing>
            <wp:anchor distT="0" distB="0" distL="114300" distR="114300" simplePos="0" relativeHeight="251659264" behindDoc="0" locked="0" layoutInCell="0" allowOverlap="1" wp14:anchorId="0F7C6CE3" wp14:editId="590D282A">
              <wp:simplePos x="0" y="0"/>
              <wp:positionH relativeFrom="margin">
                <wp:posOffset>0</wp:posOffset>
              </wp:positionH>
              <wp:positionV relativeFrom="paragraph">
                <wp:posOffset>-914400</wp:posOffset>
              </wp:positionV>
              <wp:extent cx="5943600" cy="152400"/>
              <wp:effectExtent l="0" t="0" r="0" b="0"/>
              <wp:wrapNone/>
              <wp:docPr id="20971492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7C6CE3" id="_x0000_t202" coordsize="21600,21600" o:spt="202" path="m,l,21600r21600,l21600,xe">
              <v:stroke joinstyle="miter"/>
              <v:path gradientshapeok="t" o:connecttype="rect"/>
            </v:shapetype>
            <v:shape id="Text Box 1" o:spid="_x0000_s1026" type="#_x0000_t202" style="position:absolute;margin-left:0;margin-top:-1in;width:468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FBC"/>
    <w:rsid w:val="00002690"/>
    <w:rsid w:val="00016397"/>
    <w:rsid w:val="000B2BA4"/>
    <w:rsid w:val="000C4202"/>
    <w:rsid w:val="00140BBA"/>
    <w:rsid w:val="001D5AA7"/>
    <w:rsid w:val="001F2CB3"/>
    <w:rsid w:val="0027209A"/>
    <w:rsid w:val="00297D92"/>
    <w:rsid w:val="002A0227"/>
    <w:rsid w:val="002C65CA"/>
    <w:rsid w:val="003209A4"/>
    <w:rsid w:val="003C65C8"/>
    <w:rsid w:val="003E7820"/>
    <w:rsid w:val="004349A5"/>
    <w:rsid w:val="00473257"/>
    <w:rsid w:val="00502B2F"/>
    <w:rsid w:val="005140D4"/>
    <w:rsid w:val="00521E8B"/>
    <w:rsid w:val="005253C3"/>
    <w:rsid w:val="005744B2"/>
    <w:rsid w:val="00592027"/>
    <w:rsid w:val="005C42C3"/>
    <w:rsid w:val="00654548"/>
    <w:rsid w:val="00672984"/>
    <w:rsid w:val="006B58B3"/>
    <w:rsid w:val="006D7F2B"/>
    <w:rsid w:val="006F4A5B"/>
    <w:rsid w:val="00721FBC"/>
    <w:rsid w:val="007440F8"/>
    <w:rsid w:val="007B5889"/>
    <w:rsid w:val="008E5AF6"/>
    <w:rsid w:val="00972869"/>
    <w:rsid w:val="00995861"/>
    <w:rsid w:val="009E182A"/>
    <w:rsid w:val="009E2464"/>
    <w:rsid w:val="00A05582"/>
    <w:rsid w:val="00A41080"/>
    <w:rsid w:val="00A47AFF"/>
    <w:rsid w:val="00A6433F"/>
    <w:rsid w:val="00AF1BEC"/>
    <w:rsid w:val="00B34096"/>
    <w:rsid w:val="00B96B8F"/>
    <w:rsid w:val="00B96E0A"/>
    <w:rsid w:val="00BE0EF2"/>
    <w:rsid w:val="00C47293"/>
    <w:rsid w:val="00C83C8A"/>
    <w:rsid w:val="00C8462E"/>
    <w:rsid w:val="00C912E5"/>
    <w:rsid w:val="00CD6646"/>
    <w:rsid w:val="00D056D7"/>
    <w:rsid w:val="00D923EC"/>
    <w:rsid w:val="00E22078"/>
    <w:rsid w:val="00E84D9F"/>
    <w:rsid w:val="00EC61EE"/>
    <w:rsid w:val="00ED1E51"/>
    <w:rsid w:val="00F0670C"/>
    <w:rsid w:val="00FA257A"/>
    <w:rsid w:val="00FA7DBF"/>
    <w:rsid w:val="00FF30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1511BF"/>
  <w15:chartTrackingRefBased/>
  <w15:docId w15:val="{84AF0D26-0CD3-46A6-BD52-B463C2ED8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820"/>
    <w:rPr>
      <w:rFonts w:ascii="Calibri" w:eastAsia="Calibri" w:hAnsi="Calibri" w:cs="Times New Roman"/>
      <w:kern w:val="0"/>
      <w14:ligatures w14:val="none"/>
    </w:rPr>
  </w:style>
  <w:style w:type="paragraph" w:styleId="Ttulo1">
    <w:name w:val="heading 1"/>
    <w:basedOn w:val="Normal"/>
    <w:next w:val="Normal"/>
    <w:link w:val="Ttulo1Car"/>
    <w:uiPriority w:val="9"/>
    <w:qFormat/>
    <w:rsid w:val="00721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21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21FB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21FB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21FB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21FB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21FB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21FB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21FB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21FB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21FB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21FB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21FB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21FB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21FB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21FB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21FB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21FBC"/>
    <w:rPr>
      <w:rFonts w:eastAsiaTheme="majorEastAsia" w:cstheme="majorBidi"/>
      <w:color w:val="272727" w:themeColor="text1" w:themeTint="D8"/>
    </w:rPr>
  </w:style>
  <w:style w:type="paragraph" w:styleId="Ttulo">
    <w:name w:val="Title"/>
    <w:basedOn w:val="Normal"/>
    <w:next w:val="Normal"/>
    <w:link w:val="TtuloCar"/>
    <w:uiPriority w:val="10"/>
    <w:qFormat/>
    <w:rsid w:val="00721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21FB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21FB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21FB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21FBC"/>
    <w:pPr>
      <w:spacing w:before="160"/>
      <w:jc w:val="center"/>
    </w:pPr>
    <w:rPr>
      <w:i/>
      <w:iCs/>
      <w:color w:val="404040" w:themeColor="text1" w:themeTint="BF"/>
    </w:rPr>
  </w:style>
  <w:style w:type="character" w:customStyle="1" w:styleId="CitaCar">
    <w:name w:val="Cita Car"/>
    <w:basedOn w:val="Fuentedeprrafopredeter"/>
    <w:link w:val="Cita"/>
    <w:uiPriority w:val="29"/>
    <w:rsid w:val="00721FBC"/>
    <w:rPr>
      <w:i/>
      <w:iCs/>
      <w:color w:val="404040" w:themeColor="text1" w:themeTint="BF"/>
    </w:rPr>
  </w:style>
  <w:style w:type="paragraph" w:styleId="Prrafodelista">
    <w:name w:val="List Paragraph"/>
    <w:basedOn w:val="Normal"/>
    <w:uiPriority w:val="34"/>
    <w:qFormat/>
    <w:rsid w:val="00721FBC"/>
    <w:pPr>
      <w:ind w:left="720"/>
      <w:contextualSpacing/>
    </w:pPr>
  </w:style>
  <w:style w:type="character" w:styleId="nfasisintenso">
    <w:name w:val="Intense Emphasis"/>
    <w:basedOn w:val="Fuentedeprrafopredeter"/>
    <w:uiPriority w:val="21"/>
    <w:qFormat/>
    <w:rsid w:val="00721FBC"/>
    <w:rPr>
      <w:i/>
      <w:iCs/>
      <w:color w:val="0F4761" w:themeColor="accent1" w:themeShade="BF"/>
    </w:rPr>
  </w:style>
  <w:style w:type="paragraph" w:styleId="Citadestacada">
    <w:name w:val="Intense Quote"/>
    <w:basedOn w:val="Normal"/>
    <w:next w:val="Normal"/>
    <w:link w:val="CitadestacadaCar"/>
    <w:uiPriority w:val="30"/>
    <w:qFormat/>
    <w:rsid w:val="00721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21FBC"/>
    <w:rPr>
      <w:i/>
      <w:iCs/>
      <w:color w:val="0F4761" w:themeColor="accent1" w:themeShade="BF"/>
    </w:rPr>
  </w:style>
  <w:style w:type="character" w:styleId="Referenciaintensa">
    <w:name w:val="Intense Reference"/>
    <w:basedOn w:val="Fuentedeprrafopredeter"/>
    <w:uiPriority w:val="32"/>
    <w:qFormat/>
    <w:rsid w:val="00721FBC"/>
    <w:rPr>
      <w:b/>
      <w:bCs/>
      <w:smallCaps/>
      <w:color w:val="0F4761" w:themeColor="accent1" w:themeShade="BF"/>
      <w:spacing w:val="5"/>
    </w:rPr>
  </w:style>
  <w:style w:type="paragraph" w:styleId="Encabezado">
    <w:name w:val="header"/>
    <w:basedOn w:val="Normal"/>
    <w:link w:val="EncabezadoCar"/>
    <w:uiPriority w:val="99"/>
    <w:unhideWhenUsed/>
    <w:rsid w:val="003E7820"/>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3E7820"/>
    <w:rPr>
      <w:rFonts w:ascii="Calibri" w:eastAsia="Calibri" w:hAnsi="Calibri" w:cs="Times New Roman"/>
      <w:kern w:val="0"/>
      <w:lang w:val="en-US"/>
      <w14:ligatures w14:val="none"/>
    </w:rPr>
  </w:style>
  <w:style w:type="character" w:styleId="Nmerodepgina">
    <w:name w:val="page number"/>
    <w:basedOn w:val="Fuentedeprrafopredeter"/>
    <w:rsid w:val="003E7820"/>
  </w:style>
  <w:style w:type="paragraph" w:styleId="Sangra2detindependiente">
    <w:name w:val="Body Text Indent 2"/>
    <w:basedOn w:val="Normal"/>
    <w:link w:val="Sangra2detindependienteCar"/>
    <w:uiPriority w:val="99"/>
    <w:rsid w:val="003E7820"/>
    <w:pPr>
      <w:widowControl w:val="0"/>
      <w:spacing w:after="120" w:line="480" w:lineRule="auto"/>
      <w:ind w:left="360"/>
    </w:pPr>
    <w:rPr>
      <w:rFonts w:ascii="Times New Roman" w:eastAsia="MS Mincho" w:hAnsi="Times New Roman"/>
      <w:sz w:val="20"/>
      <w:szCs w:val="20"/>
    </w:rPr>
  </w:style>
  <w:style w:type="character" w:customStyle="1" w:styleId="Sangra2detindependienteCar">
    <w:name w:val="Sangría 2 de t. independiente Car"/>
    <w:basedOn w:val="Fuentedeprrafopredeter"/>
    <w:link w:val="Sangra2detindependiente"/>
    <w:uiPriority w:val="99"/>
    <w:rsid w:val="003E7820"/>
    <w:rPr>
      <w:rFonts w:ascii="Times New Roman" w:eastAsia="MS Mincho" w:hAnsi="Times New Roman" w:cs="Times New Roman"/>
      <w:kern w:val="0"/>
      <w:sz w:val="20"/>
      <w:szCs w:val="20"/>
      <w:lang w:val="en-US"/>
      <w14:ligatures w14:val="none"/>
    </w:rPr>
  </w:style>
  <w:style w:type="character" w:styleId="Nmerodelnea">
    <w:name w:val="line number"/>
    <w:basedOn w:val="Fuentedeprrafopredeter"/>
    <w:uiPriority w:val="99"/>
    <w:semiHidden/>
    <w:unhideWhenUsed/>
    <w:rsid w:val="003E7820"/>
  </w:style>
  <w:style w:type="paragraph" w:styleId="Piedepgina">
    <w:name w:val="footer"/>
    <w:basedOn w:val="Normal"/>
    <w:link w:val="PiedepginaCar"/>
    <w:uiPriority w:val="99"/>
    <w:unhideWhenUsed/>
    <w:rsid w:val="009E182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9E182A"/>
    <w:rPr>
      <w:rFonts w:ascii="Calibri" w:eastAsia="Calibri" w:hAnsi="Calibri"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41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1095</Words>
  <Characters>6586</Characters>
  <Application>Microsoft Office Word</Application>
  <DocSecurity>0</DocSecurity>
  <Lines>54</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JEZER MULERO</dc:creator>
  <cp:keywords/>
  <dc:description/>
  <cp:lastModifiedBy>Rocío Alayón Morell</cp:lastModifiedBy>
  <cp:revision>3</cp:revision>
  <cp:lastPrinted>2025-05-06T15:47:00Z</cp:lastPrinted>
  <dcterms:created xsi:type="dcterms:W3CDTF">2025-05-07T13:17:00Z</dcterms:created>
  <dcterms:modified xsi:type="dcterms:W3CDTF">2025-05-07T15:11:00Z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a227dc49de915c331059888da39a5fbb9b67f65eef6d7327ae78be6a28671bf3</vt:lpwstr>
  </property>
</Properties>
</file>