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2DE90" w14:textId="77777777" w:rsidR="004C4BA1" w:rsidRDefault="004C4BA1" w:rsidP="005B2884">
      <w:pPr>
        <w:jc w:val="center"/>
        <w:rPr>
          <w:rFonts w:ascii="Book Antiqua" w:hAnsi="Book Antiqua"/>
          <w:sz w:val="36"/>
          <w:szCs w:val="36"/>
          <w:lang w:val="es-ES_tradnl"/>
        </w:rPr>
      </w:pPr>
      <w:proofErr w:type="spellStart"/>
      <w:r>
        <w:rPr>
          <w:rFonts w:ascii="Book Antiqua" w:hAnsi="Book Antiqua"/>
          <w:sz w:val="36"/>
          <w:szCs w:val="36"/>
          <w:lang w:val="es-ES_tradnl"/>
        </w:rPr>
        <w:t>Entirillado</w:t>
      </w:r>
      <w:proofErr w:type="spellEnd"/>
      <w:r>
        <w:rPr>
          <w:rFonts w:ascii="Book Antiqua" w:hAnsi="Book Antiqua"/>
          <w:sz w:val="36"/>
          <w:szCs w:val="36"/>
          <w:lang w:val="es-ES_tradnl"/>
        </w:rPr>
        <w:t xml:space="preserve"> electrónico</w:t>
      </w:r>
    </w:p>
    <w:p w14:paraId="05511E58" w14:textId="77777777" w:rsidR="005B2884" w:rsidRPr="00A679C6" w:rsidRDefault="005B2884" w:rsidP="005B2884">
      <w:pPr>
        <w:jc w:val="center"/>
        <w:rPr>
          <w:rFonts w:ascii="Book Antiqua" w:hAnsi="Book Antiqua"/>
          <w:sz w:val="36"/>
          <w:szCs w:val="36"/>
          <w:lang w:val="es-ES_tradnl"/>
        </w:rPr>
      </w:pPr>
      <w:r w:rsidRPr="00A679C6">
        <w:rPr>
          <w:rFonts w:ascii="Book Antiqua" w:hAnsi="Book Antiqua"/>
          <w:sz w:val="36"/>
          <w:szCs w:val="36"/>
          <w:lang w:val="es-ES_tradnl"/>
        </w:rPr>
        <w:t>GOBIERNO DE PUERTO RICO</w:t>
      </w:r>
    </w:p>
    <w:p w14:paraId="1405DC41" w14:textId="77777777" w:rsidR="005B2884" w:rsidRPr="00DD57C6" w:rsidRDefault="005B2884" w:rsidP="005B2884">
      <w:pPr>
        <w:jc w:val="center"/>
        <w:rPr>
          <w:rFonts w:ascii="Book Antiqua" w:hAnsi="Book Antiqua"/>
          <w:sz w:val="44"/>
          <w:szCs w:val="44"/>
          <w:lang w:val="es-ES_tradnl"/>
        </w:rPr>
      </w:pPr>
    </w:p>
    <w:p w14:paraId="3FDF6BA0" w14:textId="77777777" w:rsidR="005B2884" w:rsidRPr="00CE350C" w:rsidRDefault="00981A1F" w:rsidP="005B2884">
      <w:pPr>
        <w:pStyle w:val="Title2"/>
        <w:rPr>
          <w:rFonts w:ascii="Book Antiqua" w:hAnsi="Book Antiqua"/>
          <w:lang w:val="es-ES_tradnl"/>
        </w:rPr>
      </w:pPr>
      <w:r w:rsidRPr="00CE350C">
        <w:rPr>
          <w:rFonts w:ascii="Book Antiqua" w:hAnsi="Book Antiqua"/>
          <w:lang w:val="es-ES_tradnl"/>
        </w:rPr>
        <w:t>20</w:t>
      </w:r>
      <w:r w:rsidR="00107712" w:rsidRPr="00CE350C">
        <w:rPr>
          <w:rFonts w:ascii="Book Antiqua" w:hAnsi="Book Antiqua"/>
          <w:lang w:val="es-ES_tradnl"/>
        </w:rPr>
        <w:t xml:space="preserve"> </w:t>
      </w:r>
      <w:r w:rsidRPr="00CE350C">
        <w:rPr>
          <w:rFonts w:ascii="Book Antiqua" w:hAnsi="Book Antiqua"/>
          <w:vertAlign w:val="superscript"/>
          <w:lang w:val="es-ES_tradnl"/>
        </w:rPr>
        <w:t>m</w:t>
      </w:r>
      <w:r w:rsidR="005B2884" w:rsidRPr="00CE350C">
        <w:rPr>
          <w:rFonts w:ascii="Book Antiqua" w:hAnsi="Book Antiqua"/>
          <w:vertAlign w:val="superscript"/>
          <w:lang w:val="es-ES_tradnl"/>
        </w:rPr>
        <w:t>a</w:t>
      </w:r>
      <w:r w:rsidR="00107712" w:rsidRPr="00CE350C">
        <w:rPr>
          <w:rFonts w:ascii="Book Antiqua" w:hAnsi="Book Antiqua"/>
          <w:vertAlign w:val="superscript"/>
          <w:lang w:val="es-ES_tradnl"/>
        </w:rPr>
        <w:t>.</w:t>
      </w:r>
      <w:r w:rsidR="005B2884" w:rsidRPr="00CE350C">
        <w:rPr>
          <w:rFonts w:ascii="Book Antiqua" w:hAnsi="Book Antiqua"/>
          <w:lang w:val="es-ES_tradnl"/>
        </w:rPr>
        <w:tab/>
        <w:t>Asamblea</w:t>
      </w:r>
      <w:r w:rsidR="005B2884" w:rsidRPr="00CE350C">
        <w:rPr>
          <w:rFonts w:ascii="Book Antiqua" w:hAnsi="Book Antiqua"/>
          <w:lang w:val="es-ES_tradnl"/>
        </w:rPr>
        <w:tab/>
        <w:t xml:space="preserve">1 </w:t>
      </w:r>
      <w:proofErr w:type="spellStart"/>
      <w:r w:rsidR="005B2884" w:rsidRPr="00CE350C">
        <w:rPr>
          <w:rFonts w:ascii="Book Antiqua" w:hAnsi="Book Antiqua"/>
          <w:vertAlign w:val="superscript"/>
          <w:lang w:val="es-ES_tradnl"/>
        </w:rPr>
        <w:t>ra</w:t>
      </w:r>
      <w:proofErr w:type="spellEnd"/>
      <w:r w:rsidR="00841868">
        <w:rPr>
          <w:rFonts w:ascii="Book Antiqua" w:hAnsi="Book Antiqua"/>
          <w:vertAlign w:val="superscript"/>
          <w:lang w:val="es-ES_tradnl"/>
        </w:rPr>
        <w:t>.</w:t>
      </w:r>
      <w:r w:rsidR="005B2884" w:rsidRPr="00CE350C">
        <w:rPr>
          <w:rFonts w:ascii="Book Antiqua" w:hAnsi="Book Antiqua"/>
          <w:lang w:val="es-ES_tradnl"/>
        </w:rPr>
        <w:tab/>
        <w:t>Sesión</w:t>
      </w:r>
    </w:p>
    <w:p w14:paraId="7930B3EF" w14:textId="77777777" w:rsidR="005B2884" w:rsidRPr="00CE350C" w:rsidRDefault="005B2884" w:rsidP="005B2884">
      <w:pPr>
        <w:pStyle w:val="Title2"/>
        <w:rPr>
          <w:rFonts w:ascii="Book Antiqua" w:hAnsi="Book Antiqua"/>
          <w:lang w:val="es-ES_tradnl"/>
        </w:rPr>
      </w:pPr>
      <w:r w:rsidRPr="00CE350C">
        <w:rPr>
          <w:rFonts w:ascii="Book Antiqua" w:hAnsi="Book Antiqua"/>
          <w:lang w:val="es-ES_tradnl"/>
        </w:rPr>
        <w:tab/>
        <w:t>Legislativa</w:t>
      </w:r>
      <w:r w:rsidRPr="00CE350C">
        <w:rPr>
          <w:rFonts w:ascii="Book Antiqua" w:hAnsi="Book Antiqua"/>
          <w:lang w:val="es-ES_tradnl"/>
        </w:rPr>
        <w:tab/>
      </w:r>
      <w:r w:rsidRPr="00CE350C">
        <w:rPr>
          <w:rFonts w:ascii="Book Antiqua" w:hAnsi="Book Antiqua"/>
          <w:lang w:val="es-ES_tradnl"/>
        </w:rPr>
        <w:tab/>
        <w:t>Ordinaria</w:t>
      </w:r>
    </w:p>
    <w:p w14:paraId="5C73DDB8" w14:textId="77777777" w:rsidR="005B2884" w:rsidRPr="00CE350C" w:rsidRDefault="005B2884" w:rsidP="005B2884">
      <w:pPr>
        <w:rPr>
          <w:rFonts w:ascii="Book Antiqua" w:hAnsi="Book Antiqua"/>
          <w:lang w:val="es-ES_tradnl"/>
        </w:rPr>
      </w:pPr>
    </w:p>
    <w:p w14:paraId="640DCC76" w14:textId="77777777" w:rsidR="009E614D" w:rsidRPr="00A679C6" w:rsidRDefault="005B2884" w:rsidP="00853950">
      <w:pPr>
        <w:spacing w:line="360" w:lineRule="auto"/>
        <w:jc w:val="center"/>
        <w:rPr>
          <w:rFonts w:ascii="Book Antiqua" w:hAnsi="Book Antiqua"/>
          <w:b/>
          <w:sz w:val="36"/>
          <w:szCs w:val="36"/>
          <w:lang w:val="es-ES_tradnl"/>
        </w:rPr>
      </w:pPr>
      <w:r w:rsidRPr="00A679C6">
        <w:rPr>
          <w:rFonts w:ascii="Book Antiqua" w:hAnsi="Book Antiqua"/>
          <w:b/>
          <w:sz w:val="36"/>
          <w:szCs w:val="36"/>
          <w:lang w:val="es-ES_tradnl"/>
        </w:rPr>
        <w:t>SENADO DE PUERTO RICO</w:t>
      </w:r>
    </w:p>
    <w:p w14:paraId="0069A4EF" w14:textId="77777777" w:rsidR="005B2884" w:rsidRPr="00A679C6" w:rsidRDefault="000E6B35" w:rsidP="00853950">
      <w:pPr>
        <w:spacing w:line="360" w:lineRule="auto"/>
        <w:jc w:val="center"/>
        <w:rPr>
          <w:rFonts w:ascii="Book Antiqua" w:hAnsi="Book Antiqua"/>
          <w:b/>
          <w:sz w:val="52"/>
          <w:szCs w:val="52"/>
          <w:lang w:val="es-ES_tradnl"/>
        </w:rPr>
      </w:pPr>
      <w:r w:rsidRPr="00A679C6">
        <w:rPr>
          <w:rFonts w:ascii="Book Antiqua" w:hAnsi="Book Antiqua"/>
          <w:b/>
          <w:sz w:val="52"/>
          <w:szCs w:val="52"/>
          <w:lang w:val="es-ES_tradnl"/>
        </w:rPr>
        <w:t>P. del S.</w:t>
      </w:r>
      <w:r w:rsidR="00E31C8D">
        <w:rPr>
          <w:rFonts w:ascii="Book Antiqua" w:hAnsi="Book Antiqua"/>
          <w:b/>
          <w:sz w:val="52"/>
          <w:szCs w:val="52"/>
          <w:lang w:val="es-ES_tradnl"/>
        </w:rPr>
        <w:t xml:space="preserve"> 609</w:t>
      </w:r>
    </w:p>
    <w:p w14:paraId="6FE92509" w14:textId="77777777" w:rsidR="005B2884" w:rsidRPr="00CE350C" w:rsidRDefault="00E31C8D" w:rsidP="00853950">
      <w:pPr>
        <w:spacing w:line="360" w:lineRule="auto"/>
        <w:jc w:val="center"/>
        <w:rPr>
          <w:rFonts w:ascii="Book Antiqua" w:hAnsi="Book Antiqua"/>
          <w:lang w:val="es-ES_tradnl"/>
        </w:rPr>
      </w:pPr>
      <w:r>
        <w:rPr>
          <w:rFonts w:ascii="Book Antiqua" w:hAnsi="Book Antiqua"/>
          <w:lang w:val="es-ES_tradnl"/>
        </w:rPr>
        <w:t>6</w:t>
      </w:r>
      <w:r w:rsidR="00803A23" w:rsidRPr="00CE350C">
        <w:rPr>
          <w:rFonts w:ascii="Book Antiqua" w:hAnsi="Book Antiqua"/>
          <w:lang w:val="es-ES_tradnl"/>
        </w:rPr>
        <w:t xml:space="preserve"> </w:t>
      </w:r>
      <w:r w:rsidR="000E6B35" w:rsidRPr="00CE350C">
        <w:rPr>
          <w:rFonts w:ascii="Book Antiqua" w:hAnsi="Book Antiqua"/>
          <w:lang w:val="es-ES_tradnl"/>
        </w:rPr>
        <w:t xml:space="preserve">de </w:t>
      </w:r>
      <w:r w:rsidR="009E614D">
        <w:rPr>
          <w:rFonts w:ascii="Book Antiqua" w:hAnsi="Book Antiqua"/>
          <w:lang w:val="es-ES_tradnl"/>
        </w:rPr>
        <w:t>mayo</w:t>
      </w:r>
      <w:r w:rsidR="000E6B35" w:rsidRPr="00CE350C">
        <w:rPr>
          <w:rFonts w:ascii="Book Antiqua" w:hAnsi="Book Antiqua"/>
          <w:lang w:val="es-ES_tradnl"/>
        </w:rPr>
        <w:t xml:space="preserve"> de 202</w:t>
      </w:r>
      <w:r w:rsidR="00D87B39" w:rsidRPr="00CE350C">
        <w:rPr>
          <w:rFonts w:ascii="Book Antiqua" w:hAnsi="Book Antiqua"/>
          <w:lang w:val="es-ES_tradnl"/>
        </w:rPr>
        <w:t>5</w:t>
      </w:r>
    </w:p>
    <w:p w14:paraId="5E3EBDA9" w14:textId="77777777" w:rsidR="00BB20A7" w:rsidRDefault="005B2884" w:rsidP="00853950">
      <w:pPr>
        <w:spacing w:line="360" w:lineRule="auto"/>
        <w:jc w:val="center"/>
        <w:rPr>
          <w:rFonts w:ascii="Book Antiqua" w:hAnsi="Book Antiqua"/>
          <w:i/>
          <w:lang w:val="es-ES_tradnl"/>
        </w:rPr>
      </w:pPr>
      <w:r w:rsidRPr="00CE350C">
        <w:rPr>
          <w:rFonts w:ascii="Book Antiqua" w:hAnsi="Book Antiqua"/>
          <w:lang w:val="es-ES_tradnl"/>
        </w:rPr>
        <w:t xml:space="preserve">Presentado por </w:t>
      </w:r>
      <w:r w:rsidR="000E6B35" w:rsidRPr="00CE350C">
        <w:rPr>
          <w:rFonts w:ascii="Book Antiqua" w:hAnsi="Book Antiqua"/>
          <w:lang w:val="es-ES_tradnl"/>
        </w:rPr>
        <w:t>el</w:t>
      </w:r>
      <w:r w:rsidRPr="00CE350C">
        <w:rPr>
          <w:rFonts w:ascii="Book Antiqua" w:hAnsi="Book Antiqua"/>
          <w:lang w:val="es-ES_tradnl"/>
        </w:rPr>
        <w:t xml:space="preserve"> señor</w:t>
      </w:r>
      <w:r w:rsidRPr="00CE350C">
        <w:rPr>
          <w:rFonts w:ascii="Book Antiqua" w:hAnsi="Book Antiqua"/>
          <w:i/>
          <w:lang w:val="es-ES_tradnl"/>
        </w:rPr>
        <w:t xml:space="preserve"> </w:t>
      </w:r>
      <w:r w:rsidR="00D87B39" w:rsidRPr="00CE350C">
        <w:rPr>
          <w:rFonts w:ascii="Book Antiqua" w:hAnsi="Book Antiqua"/>
          <w:i/>
          <w:lang w:val="es-ES_tradnl"/>
        </w:rPr>
        <w:t xml:space="preserve">González </w:t>
      </w:r>
      <w:r w:rsidR="00D70E41" w:rsidRPr="00CE350C">
        <w:rPr>
          <w:rFonts w:ascii="Book Antiqua" w:hAnsi="Book Antiqua"/>
          <w:i/>
          <w:lang w:val="es-ES_tradnl"/>
        </w:rPr>
        <w:t>López</w:t>
      </w:r>
      <w:r w:rsidR="00BB20A7" w:rsidRPr="00CE350C">
        <w:rPr>
          <w:rFonts w:ascii="Book Antiqua" w:hAnsi="Book Antiqua"/>
          <w:i/>
          <w:lang w:val="es-ES_tradnl"/>
        </w:rPr>
        <w:t xml:space="preserve"> </w:t>
      </w:r>
    </w:p>
    <w:p w14:paraId="27FEDA22" w14:textId="77777777" w:rsidR="0021742A" w:rsidRPr="0021742A" w:rsidRDefault="0021742A" w:rsidP="0021742A">
      <w:pPr>
        <w:jc w:val="center"/>
        <w:rPr>
          <w:rFonts w:ascii="Book Antiqua" w:hAnsi="Book Antiqua"/>
          <w:lang w:val="es-ES_tradnl"/>
        </w:rPr>
      </w:pPr>
      <w:r w:rsidRPr="0021742A">
        <w:rPr>
          <w:rFonts w:ascii="Book Antiqua" w:hAnsi="Book Antiqua"/>
          <w:i/>
          <w:lang w:val="es-ES_tradnl"/>
        </w:rPr>
        <w:t>Coautores las señoras Álvarez Conde; Barlucea Rodríguez; el señor Colón La Santa; la señora Pérez Soto; los señores Reyes Berríos</w:t>
      </w:r>
      <w:r>
        <w:rPr>
          <w:rFonts w:ascii="Book Antiqua" w:hAnsi="Book Antiqua"/>
          <w:i/>
          <w:lang w:val="es-ES_tradnl"/>
        </w:rPr>
        <w:t xml:space="preserve">, </w:t>
      </w:r>
      <w:r w:rsidRPr="0021742A">
        <w:rPr>
          <w:rFonts w:ascii="Book Antiqua" w:hAnsi="Book Antiqua"/>
          <w:i/>
          <w:lang w:val="es-ES_tradnl"/>
        </w:rPr>
        <w:t>Sánchez Álvarez</w:t>
      </w:r>
      <w:r>
        <w:rPr>
          <w:rFonts w:ascii="Book Antiqua" w:hAnsi="Book Antiqua"/>
          <w:i/>
          <w:lang w:val="es-ES_tradnl"/>
        </w:rPr>
        <w:t xml:space="preserve"> y</w:t>
      </w:r>
      <w:r w:rsidRPr="0021742A">
        <w:rPr>
          <w:rFonts w:ascii="Book Antiqua" w:hAnsi="Book Antiqua"/>
          <w:i/>
          <w:lang w:val="es-ES_tradnl"/>
        </w:rPr>
        <w:t xml:space="preserve"> Santos Ortiz </w:t>
      </w:r>
    </w:p>
    <w:p w14:paraId="770306BE" w14:textId="77777777" w:rsidR="004C370E" w:rsidRPr="00CE350C" w:rsidRDefault="004C370E" w:rsidP="0021742A">
      <w:pPr>
        <w:spacing w:before="120" w:line="360" w:lineRule="auto"/>
        <w:jc w:val="center"/>
        <w:rPr>
          <w:rFonts w:ascii="Book Antiqua" w:hAnsi="Book Antiqua"/>
          <w:i/>
          <w:lang w:val="es-ES_tradnl"/>
        </w:rPr>
      </w:pPr>
      <w:r w:rsidRPr="0021742A">
        <w:rPr>
          <w:rFonts w:ascii="Book Antiqua" w:hAnsi="Book Antiqua"/>
          <w:i/>
          <w:lang w:val="es-ES_tradnl"/>
        </w:rPr>
        <w:t>Referido a la Comisión de</w:t>
      </w:r>
      <w:r w:rsidR="00841868" w:rsidRPr="0021742A">
        <w:rPr>
          <w:rFonts w:ascii="Book Antiqua" w:hAnsi="Book Antiqua"/>
          <w:i/>
          <w:lang w:val="es-ES_tradnl"/>
        </w:rPr>
        <w:t xml:space="preserve"> lo Jurídico</w:t>
      </w:r>
    </w:p>
    <w:p w14:paraId="4A26904C" w14:textId="77777777" w:rsidR="005B2884" w:rsidRPr="00A679C6" w:rsidRDefault="005B2884" w:rsidP="0067088D">
      <w:pPr>
        <w:tabs>
          <w:tab w:val="left" w:pos="-720"/>
        </w:tabs>
        <w:suppressAutoHyphens/>
        <w:spacing w:before="120" w:line="240" w:lineRule="atLeast"/>
        <w:jc w:val="center"/>
        <w:rPr>
          <w:rFonts w:ascii="Book Antiqua" w:hAnsi="Book Antiqua"/>
          <w:szCs w:val="24"/>
          <w:lang w:val="es-ES_tradnl"/>
        </w:rPr>
      </w:pPr>
      <w:r w:rsidRPr="00A679C6">
        <w:rPr>
          <w:rFonts w:ascii="Book Antiqua" w:hAnsi="Book Antiqua"/>
          <w:b/>
          <w:szCs w:val="24"/>
          <w:lang w:val="es-ES_tradnl"/>
        </w:rPr>
        <w:t>LEY</w:t>
      </w:r>
    </w:p>
    <w:p w14:paraId="447A9564" w14:textId="77777777" w:rsidR="005B2884" w:rsidRPr="0067088D" w:rsidRDefault="005B2884" w:rsidP="005B2884">
      <w:pPr>
        <w:jc w:val="both"/>
        <w:rPr>
          <w:rFonts w:ascii="Book Antiqua" w:hAnsi="Book Antiqua"/>
          <w:sz w:val="16"/>
          <w:szCs w:val="16"/>
          <w:lang w:val="es-ES_tradnl"/>
        </w:rPr>
      </w:pPr>
    </w:p>
    <w:p w14:paraId="2DC1F8BE" w14:textId="77777777" w:rsidR="00D8476B" w:rsidRPr="00D8476B" w:rsidRDefault="00D8476B" w:rsidP="00D8476B">
      <w:pPr>
        <w:ind w:left="360" w:hanging="360"/>
        <w:jc w:val="both"/>
        <w:rPr>
          <w:rFonts w:ascii="Book Antiqua" w:hAnsi="Book Antiqua"/>
          <w:sz w:val="22"/>
          <w:lang w:val="es-PR"/>
        </w:rPr>
      </w:pPr>
      <w:r w:rsidRPr="00D8476B">
        <w:rPr>
          <w:rFonts w:ascii="Book Antiqua" w:hAnsi="Book Antiqua"/>
          <w:lang w:val="es-PR"/>
        </w:rPr>
        <w:t xml:space="preserve">Para </w:t>
      </w:r>
      <w:r w:rsidR="006629B5">
        <w:rPr>
          <w:rFonts w:ascii="Book Antiqua" w:hAnsi="Book Antiqua"/>
          <w:lang w:val="es-PR"/>
        </w:rPr>
        <w:t>añadir un inciso (f)</w:t>
      </w:r>
      <w:r w:rsidRPr="00D8476B">
        <w:rPr>
          <w:rFonts w:ascii="Book Antiqua" w:hAnsi="Book Antiqua"/>
          <w:lang w:val="es-PR"/>
        </w:rPr>
        <w:t xml:space="preserve"> </w:t>
      </w:r>
      <w:r w:rsidR="006629B5">
        <w:rPr>
          <w:rFonts w:ascii="Book Antiqua" w:hAnsi="Book Antiqua"/>
          <w:lang w:val="es-PR"/>
        </w:rPr>
        <w:t>a</w:t>
      </w:r>
      <w:r w:rsidRPr="00D8476B">
        <w:rPr>
          <w:rFonts w:ascii="Book Antiqua" w:hAnsi="Book Antiqua"/>
          <w:lang w:val="es-PR"/>
        </w:rPr>
        <w:t>l Artículo 3.6 de la Ley Núm. 54</w:t>
      </w:r>
      <w:r>
        <w:rPr>
          <w:rFonts w:ascii="Book Antiqua" w:hAnsi="Book Antiqua"/>
          <w:lang w:val="es-PR"/>
        </w:rPr>
        <w:t xml:space="preserve"> de 15 de agosto de </w:t>
      </w:r>
      <w:r w:rsidRPr="00D8476B">
        <w:rPr>
          <w:rFonts w:ascii="Book Antiqua" w:hAnsi="Book Antiqua"/>
          <w:lang w:val="es-PR"/>
        </w:rPr>
        <w:t xml:space="preserve">1989, según enmendada, conocida como “Ley para la Prevención e Intervención con la Violencia Doméstica”, a los fines de disponer que ninguna persona que sea encontrada culpable por el delito de agresión sexual, según tipificado en el Artículo 3.5 de dicha </w:t>
      </w:r>
      <w:r w:rsidR="00052FFC">
        <w:rPr>
          <w:rFonts w:ascii="Book Antiqua" w:hAnsi="Book Antiqua"/>
          <w:lang w:val="es-PR"/>
        </w:rPr>
        <w:t>L</w:t>
      </w:r>
      <w:r w:rsidRPr="00D8476B">
        <w:rPr>
          <w:rFonts w:ascii="Book Antiqua" w:hAnsi="Book Antiqua"/>
          <w:lang w:val="es-PR"/>
        </w:rPr>
        <w:t>ey, pueda beneficiarse del programa de desvío; y para otros fines relacionados.</w:t>
      </w:r>
    </w:p>
    <w:p w14:paraId="05705B95" w14:textId="77777777" w:rsidR="005B2884" w:rsidRPr="00D8476B" w:rsidRDefault="005B2884" w:rsidP="0039037B">
      <w:pPr>
        <w:suppressAutoHyphens/>
        <w:spacing w:line="240" w:lineRule="atLeast"/>
        <w:jc w:val="center"/>
        <w:rPr>
          <w:rFonts w:ascii="Book Antiqua" w:hAnsi="Book Antiqua"/>
          <w:b/>
          <w:bCs/>
          <w:szCs w:val="24"/>
          <w:lang w:val="es-PR"/>
        </w:rPr>
      </w:pPr>
    </w:p>
    <w:p w14:paraId="42760C57" w14:textId="77777777" w:rsidR="00D8476B" w:rsidRPr="00167001" w:rsidRDefault="00107712" w:rsidP="00D8476B">
      <w:pPr>
        <w:tabs>
          <w:tab w:val="left" w:pos="-720"/>
        </w:tabs>
        <w:suppressAutoHyphens/>
        <w:spacing w:after="120"/>
        <w:jc w:val="center"/>
        <w:rPr>
          <w:rFonts w:ascii="Book Antiqua" w:hAnsi="Book Antiqua"/>
          <w:b/>
          <w:bCs/>
          <w:szCs w:val="24"/>
          <w:lang w:val="es-ES_tradnl"/>
        </w:rPr>
      </w:pPr>
      <w:r w:rsidRPr="00167001">
        <w:rPr>
          <w:rFonts w:ascii="Book Antiqua" w:hAnsi="Book Antiqua"/>
          <w:b/>
          <w:bCs/>
          <w:szCs w:val="24"/>
          <w:lang w:val="es-ES_tradnl"/>
        </w:rPr>
        <w:t>EXPOSICIÓ</w:t>
      </w:r>
      <w:r w:rsidR="005B2884" w:rsidRPr="00167001">
        <w:rPr>
          <w:rFonts w:ascii="Book Antiqua" w:hAnsi="Book Antiqua"/>
          <w:b/>
          <w:bCs/>
          <w:szCs w:val="24"/>
          <w:lang w:val="es-ES_tradnl"/>
        </w:rPr>
        <w:t>N DE MOTIVOS</w:t>
      </w:r>
    </w:p>
    <w:p w14:paraId="45C43BB3" w14:textId="77777777" w:rsidR="00D8476B" w:rsidRDefault="00D8476B" w:rsidP="00DD57C6">
      <w:pPr>
        <w:spacing w:before="120" w:after="120" w:line="360" w:lineRule="auto"/>
        <w:ind w:firstLine="720"/>
        <w:jc w:val="both"/>
        <w:rPr>
          <w:rFonts w:ascii="Book Antiqua" w:hAnsi="Book Antiqua"/>
          <w:lang w:val="es-PR"/>
        </w:rPr>
      </w:pPr>
      <w:r w:rsidRPr="00D8476B">
        <w:rPr>
          <w:rFonts w:ascii="Book Antiqua" w:hAnsi="Book Antiqua"/>
          <w:lang w:val="es-PR"/>
        </w:rPr>
        <w:t>La violencia doméstica en Puerto Rico sigue siendo uno de los problemas sociales más urgentes. Según el Observatorio de Equidad de Género de Puerto Rico, entre enero de 2021 y diciembre de 2023 se documentaron más de 2,300 casos de violencia sexual dentro de relaciones de pareja, lo que representa un alarmante incremento del 18% respecto a trienios anteriores. La mayoría de las víctimas son mujeres, muchas de ellas jóvenes o en condiciones de vulnerabilidad económica.</w:t>
      </w:r>
    </w:p>
    <w:p w14:paraId="1433108E" w14:textId="77777777" w:rsidR="00D8476B" w:rsidRDefault="00D8476B" w:rsidP="00DD57C6">
      <w:pPr>
        <w:spacing w:before="120" w:after="120" w:line="360" w:lineRule="auto"/>
        <w:ind w:firstLine="720"/>
        <w:jc w:val="both"/>
        <w:rPr>
          <w:rFonts w:ascii="Book Antiqua" w:hAnsi="Book Antiqua"/>
          <w:lang w:val="es-PR"/>
        </w:rPr>
      </w:pPr>
      <w:r w:rsidRPr="00DD57C6">
        <w:rPr>
          <w:rFonts w:ascii="Book Antiqua" w:hAnsi="Book Antiqua"/>
          <w:lang w:val="es-PR"/>
        </w:rPr>
        <w:t xml:space="preserve">En este contexto, el Artículo 3.5 de la </w:t>
      </w:r>
      <w:r w:rsidR="0091284A" w:rsidRPr="00DD57C6">
        <w:rPr>
          <w:rFonts w:ascii="Book Antiqua" w:hAnsi="Book Antiqua"/>
          <w:lang w:val="es-PR"/>
        </w:rPr>
        <w:t xml:space="preserve">Ley Núm. 54 de 15 de agosto de 1989, según enmendada, conocida como “Ley para la Prevención e Intervención con la Violencia </w:t>
      </w:r>
      <w:r w:rsidR="0091284A" w:rsidRPr="00DD57C6">
        <w:rPr>
          <w:rFonts w:ascii="Book Antiqua" w:hAnsi="Book Antiqua"/>
          <w:lang w:val="es-PR"/>
        </w:rPr>
        <w:lastRenderedPageBreak/>
        <w:t xml:space="preserve">Doméstica” </w:t>
      </w:r>
      <w:r w:rsidRPr="00DD57C6">
        <w:rPr>
          <w:rFonts w:ascii="Book Antiqua" w:hAnsi="Book Antiqua"/>
          <w:lang w:val="es-PR"/>
        </w:rPr>
        <w:t>penaliza la agresión sexual cometida dentro del marco de una</w:t>
      </w:r>
      <w:r w:rsidRPr="00D8476B">
        <w:rPr>
          <w:rFonts w:ascii="Book Antiqua" w:hAnsi="Book Antiqua"/>
          <w:lang w:val="es-PR"/>
        </w:rPr>
        <w:t xml:space="preserve"> relación de pareja, ya sea actual o pasada. Este delito no solo atenta contra la integridad física de la víctima, sino que también deja secuelas emocionales, psicológicas y sociales profundas.</w:t>
      </w:r>
    </w:p>
    <w:p w14:paraId="060ED8DA" w14:textId="77777777" w:rsidR="00D8476B" w:rsidRDefault="00D8476B" w:rsidP="00DD57C6">
      <w:pPr>
        <w:spacing w:before="120" w:after="120" w:line="360" w:lineRule="auto"/>
        <w:ind w:firstLine="720"/>
        <w:jc w:val="both"/>
        <w:rPr>
          <w:rFonts w:ascii="Book Antiqua" w:hAnsi="Book Antiqua"/>
          <w:lang w:val="es-PR"/>
        </w:rPr>
      </w:pPr>
      <w:r w:rsidRPr="00D8476B">
        <w:rPr>
          <w:rFonts w:ascii="Book Antiqua" w:hAnsi="Book Antiqua"/>
          <w:lang w:val="es-PR"/>
        </w:rPr>
        <w:t>Sin embargo, el Artículo 3.6 de esa misma ley aún permite, bajo ciertas condiciones, que un acusado por este delito pueda beneficiarse de un programa de desvío. Esta alternativa resulta incongruente y peligrosamente permisiva cuando se trata de delitos de agresión sexual, que conllevan una violencia de carácter íntimo y sistemático.</w:t>
      </w:r>
    </w:p>
    <w:p w14:paraId="02A1DEB1" w14:textId="11A3CF8B" w:rsidR="00D8476B" w:rsidRPr="00AA4855" w:rsidRDefault="00D8476B" w:rsidP="00DD57C6">
      <w:pPr>
        <w:spacing w:before="120" w:after="120" w:line="360" w:lineRule="auto"/>
        <w:ind w:firstLine="720"/>
        <w:jc w:val="both"/>
        <w:rPr>
          <w:rFonts w:ascii="Book Antiqua" w:hAnsi="Book Antiqua"/>
          <w:lang w:val="es-PR"/>
        </w:rPr>
      </w:pPr>
      <w:r w:rsidRPr="00D8476B">
        <w:rPr>
          <w:rFonts w:ascii="Book Antiqua" w:hAnsi="Book Antiqua"/>
          <w:lang w:val="es-PR"/>
        </w:rPr>
        <w:t>La jurisprudencia del Tribunal Supremo de Puerto Rico ha reiterado la especial naturaleza de la Ley 54</w:t>
      </w:r>
      <w:r>
        <w:rPr>
          <w:rFonts w:ascii="Book Antiqua" w:hAnsi="Book Antiqua"/>
          <w:lang w:val="es-PR"/>
        </w:rPr>
        <w:t xml:space="preserve">, </w:t>
      </w:r>
      <w:r w:rsidRPr="00D8476B">
        <w:rPr>
          <w:rFonts w:ascii="Book Antiqua" w:hAnsi="Book Antiqua"/>
          <w:i/>
          <w:iCs/>
          <w:lang w:val="es-PR"/>
        </w:rPr>
        <w:t>supra</w:t>
      </w:r>
      <w:r>
        <w:rPr>
          <w:rFonts w:ascii="Book Antiqua" w:hAnsi="Book Antiqua"/>
          <w:lang w:val="es-PR"/>
        </w:rPr>
        <w:t>,</w:t>
      </w:r>
      <w:r w:rsidRPr="00D8476B">
        <w:rPr>
          <w:rFonts w:ascii="Book Antiqua" w:hAnsi="Book Antiqua"/>
          <w:lang w:val="es-PR"/>
        </w:rPr>
        <w:t xml:space="preserve"> y la necesidad de tratar estos casos con especial sensibilidad y rigor. </w:t>
      </w:r>
      <w:r w:rsidRPr="00AA4855">
        <w:rPr>
          <w:rFonts w:ascii="Book Antiqua" w:hAnsi="Book Antiqua"/>
          <w:strike/>
          <w:lang w:val="es-PR"/>
        </w:rPr>
        <w:t>En Pueblo v. Calderón, 157 DPR 1 (2002), el Tribunal destacó que:</w:t>
      </w:r>
      <w:r w:rsidRPr="00AA4855">
        <w:rPr>
          <w:rFonts w:ascii="Book Antiqua" w:hAnsi="Book Antiqua"/>
          <w:strike/>
          <w:lang w:val="es-PR"/>
        </w:rPr>
        <w:br/>
        <w:t xml:space="preserve">“El propósito fundamental de la Ley 54 es prevenir y castigar conductas que constituyen violencia en el entorno de relaciones íntimas. No puede, </w:t>
      </w:r>
      <w:proofErr w:type="gramStart"/>
      <w:r w:rsidRPr="00AA4855">
        <w:rPr>
          <w:rFonts w:ascii="Book Antiqua" w:hAnsi="Book Antiqua"/>
          <w:strike/>
          <w:lang w:val="es-PR"/>
        </w:rPr>
        <w:t>bajo ninguna circunstancia</w:t>
      </w:r>
      <w:proofErr w:type="gramEnd"/>
      <w:r w:rsidRPr="00AA4855">
        <w:rPr>
          <w:rFonts w:ascii="Book Antiqua" w:hAnsi="Book Antiqua"/>
          <w:strike/>
          <w:lang w:val="es-PR"/>
        </w:rPr>
        <w:t>, entenderse como una ley de tratamiento liviano o conciliatorio ante delitos de naturaleza seria.”</w:t>
      </w:r>
      <w:r w:rsidR="00AA4855" w:rsidRPr="00AA4855">
        <w:rPr>
          <w:rFonts w:ascii="Book Antiqua" w:hAnsi="Book Antiqua"/>
          <w:lang w:val="es-PR"/>
        </w:rPr>
        <w:t xml:space="preserve"> </w:t>
      </w:r>
      <w:r w:rsidR="00AA4855">
        <w:rPr>
          <w:rFonts w:ascii="Book Antiqua" w:hAnsi="Book Antiqua"/>
          <w:i/>
          <w:iCs/>
          <w:u w:val="single"/>
          <w:lang w:val="es-PR"/>
        </w:rPr>
        <w:t>Así, se dijo lo siguiente en Pueblo v. Lugo López, 2024 TSPR 83: “</w:t>
      </w:r>
      <w:r w:rsidR="00AA4855" w:rsidRPr="00FC6B85">
        <w:rPr>
          <w:rFonts w:ascii="Book Antiqua" w:hAnsi="Book Antiqua"/>
          <w:i/>
          <w:iCs/>
          <w:u w:val="single"/>
          <w:lang w:val="es-PR"/>
        </w:rPr>
        <w:t>El recurso ante nos exige la mayor sensibilidad para su resolución pues requiere necesariamente sopesar dos intereses cardinales en la tramitación de los encausamientos criminales. A saber, el derecho de un ciudadano a confrontar a quienes le acusen de la comisión de un delito y, por otro lado, el importante interés de reivindicar la dignidad de las víctimas de los repugnantes delitos contra la indemnidad sexual.</w:t>
      </w:r>
      <w:r w:rsidR="00AA4855">
        <w:rPr>
          <w:rFonts w:ascii="Book Antiqua" w:hAnsi="Book Antiqua"/>
          <w:i/>
          <w:iCs/>
          <w:u w:val="single"/>
          <w:lang w:val="es-PR"/>
        </w:rPr>
        <w:t>”</w:t>
      </w:r>
    </w:p>
    <w:p w14:paraId="16E8E852" w14:textId="77777777" w:rsidR="00D8476B" w:rsidRPr="00AA4855" w:rsidRDefault="00D8476B" w:rsidP="00DD57C6">
      <w:pPr>
        <w:spacing w:before="120" w:after="120" w:line="360" w:lineRule="auto"/>
        <w:ind w:firstLine="720"/>
        <w:jc w:val="both"/>
        <w:rPr>
          <w:rFonts w:ascii="Book Antiqua" w:hAnsi="Book Antiqua"/>
          <w:strike/>
          <w:lang w:val="es-PR"/>
        </w:rPr>
      </w:pPr>
      <w:r w:rsidRPr="00AA4855">
        <w:rPr>
          <w:rFonts w:ascii="Book Antiqua" w:hAnsi="Book Antiqua"/>
          <w:strike/>
          <w:lang w:val="es-PR"/>
        </w:rPr>
        <w:t>Del mismo modo, en Pueblo v. Ojeda O’Neill, 170 DPR 105 (2007), se enfatizó que los delitos sexuales dentro de relaciones íntimas no deben recibir tratamiento distinto al que se le daría fuera de ese contexto, reafirmando que el vínculo emocional no puede ser causa de atenuación.</w:t>
      </w:r>
    </w:p>
    <w:p w14:paraId="0025583A" w14:textId="77777777" w:rsidR="00D8476B" w:rsidRPr="00D8476B" w:rsidRDefault="00D8476B" w:rsidP="00DD57C6">
      <w:pPr>
        <w:spacing w:before="120" w:line="360" w:lineRule="auto"/>
        <w:ind w:firstLine="720"/>
        <w:jc w:val="both"/>
        <w:rPr>
          <w:rFonts w:ascii="Book Antiqua" w:hAnsi="Book Antiqua"/>
          <w:lang w:val="es-PR"/>
        </w:rPr>
      </w:pPr>
      <w:r w:rsidRPr="00D8476B">
        <w:rPr>
          <w:rFonts w:ascii="Book Antiqua" w:hAnsi="Book Antiqua"/>
          <w:lang w:val="es-PR"/>
        </w:rPr>
        <w:t>Ante esta realidad, resulta imperativo enmendar la Ley 54</w:t>
      </w:r>
      <w:r>
        <w:rPr>
          <w:rFonts w:ascii="Book Antiqua" w:hAnsi="Book Antiqua"/>
          <w:lang w:val="es-PR"/>
        </w:rPr>
        <w:t xml:space="preserve">, </w:t>
      </w:r>
      <w:r w:rsidRPr="00D8476B">
        <w:rPr>
          <w:rFonts w:ascii="Book Antiqua" w:hAnsi="Book Antiqua"/>
          <w:i/>
          <w:iCs/>
          <w:lang w:val="es-PR"/>
        </w:rPr>
        <w:t>supra</w:t>
      </w:r>
      <w:r>
        <w:rPr>
          <w:rFonts w:ascii="Book Antiqua" w:hAnsi="Book Antiqua"/>
          <w:lang w:val="es-PR"/>
        </w:rPr>
        <w:t>,</w:t>
      </w:r>
      <w:r w:rsidRPr="00D8476B">
        <w:rPr>
          <w:rFonts w:ascii="Book Antiqua" w:hAnsi="Book Antiqua"/>
          <w:lang w:val="es-PR"/>
        </w:rPr>
        <w:t xml:space="preserve"> para excluir expresamente de los programas de desvío a aquellas personas encontradas culpables de agresión sexual. Este cambio reafirma el compromiso del Estado con las víctimas </w:t>
      </w:r>
      <w:r>
        <w:rPr>
          <w:rFonts w:ascii="Book Antiqua" w:hAnsi="Book Antiqua"/>
          <w:lang w:val="es-PR"/>
        </w:rPr>
        <w:t xml:space="preserve">sobrevivientes </w:t>
      </w:r>
      <w:r w:rsidRPr="00D8476B">
        <w:rPr>
          <w:rFonts w:ascii="Book Antiqua" w:hAnsi="Book Antiqua"/>
          <w:lang w:val="es-PR"/>
        </w:rPr>
        <w:t>y la integridad del sistema de justicia.</w:t>
      </w:r>
    </w:p>
    <w:p w14:paraId="780041E6" w14:textId="56D39FD7" w:rsidR="005B2884" w:rsidRPr="00CE350C" w:rsidRDefault="00107712" w:rsidP="00803A23">
      <w:pPr>
        <w:suppressAutoHyphens/>
        <w:spacing w:line="480" w:lineRule="auto"/>
        <w:jc w:val="both"/>
        <w:rPr>
          <w:rFonts w:ascii="Book Antiqua" w:hAnsi="Book Antiqua"/>
          <w:b/>
          <w:iCs/>
          <w:spacing w:val="-3"/>
          <w:lang w:val="es-ES_tradnl"/>
        </w:rPr>
      </w:pPr>
      <w:r w:rsidRPr="00CE350C">
        <w:rPr>
          <w:rFonts w:ascii="Book Antiqua" w:hAnsi="Book Antiqua"/>
          <w:b/>
          <w:iCs/>
          <w:spacing w:val="-3"/>
          <w:lang w:val="es-ES_tradnl"/>
        </w:rPr>
        <w:lastRenderedPageBreak/>
        <w:t>DECRÉ</w:t>
      </w:r>
      <w:r w:rsidR="005B2884" w:rsidRPr="00CE350C">
        <w:rPr>
          <w:rFonts w:ascii="Book Antiqua" w:hAnsi="Book Antiqua"/>
          <w:b/>
          <w:iCs/>
          <w:spacing w:val="-3"/>
          <w:lang w:val="es-ES_tradnl"/>
        </w:rPr>
        <w:t>TASE POR LA ASAMBLEA LEGISLATIVA DE PUERTO RICO:</w:t>
      </w:r>
    </w:p>
    <w:p w14:paraId="3CED040C" w14:textId="77777777" w:rsidR="00CC4859" w:rsidRPr="00CE350C" w:rsidRDefault="00CC4859" w:rsidP="00803A23">
      <w:pPr>
        <w:suppressAutoHyphens/>
        <w:spacing w:line="480" w:lineRule="auto"/>
        <w:jc w:val="both"/>
        <w:rPr>
          <w:rFonts w:ascii="Book Antiqua" w:hAnsi="Book Antiqua"/>
          <w:b/>
          <w:iCs/>
          <w:spacing w:val="-3"/>
          <w:lang w:val="es-ES_tradnl"/>
        </w:rPr>
        <w:sectPr w:rsidR="00CC4859" w:rsidRPr="00CE350C" w:rsidSect="00DD57C6">
          <w:headerReference w:type="default" r:id="rId11"/>
          <w:headerReference w:type="first" r:id="rId12"/>
          <w:type w:val="continuous"/>
          <w:pgSz w:w="12240" w:h="15840" w:code="1"/>
          <w:pgMar w:top="1440" w:right="1440" w:bottom="1440" w:left="1440" w:header="720" w:footer="720" w:gutter="0"/>
          <w:cols w:space="720"/>
          <w:titlePg/>
        </w:sectPr>
      </w:pPr>
    </w:p>
    <w:p w14:paraId="6BC124FC" w14:textId="77777777" w:rsidR="002B291E" w:rsidRDefault="00A81D8F" w:rsidP="00FC5861">
      <w:pPr>
        <w:suppressAutoHyphens/>
        <w:spacing w:line="480" w:lineRule="auto"/>
        <w:ind w:firstLine="360"/>
        <w:jc w:val="both"/>
        <w:rPr>
          <w:rFonts w:ascii="Book Antiqua" w:hAnsi="Book Antiqua"/>
          <w:lang w:val="es-PR"/>
        </w:rPr>
      </w:pPr>
      <w:r w:rsidRPr="00FC5861">
        <w:rPr>
          <w:rFonts w:ascii="Book Antiqua" w:hAnsi="Book Antiqua"/>
          <w:spacing w:val="-3"/>
          <w:lang w:val="es-ES_tradnl"/>
        </w:rPr>
        <w:t>Sección 1.</w:t>
      </w:r>
      <w:r w:rsidR="00853950">
        <w:rPr>
          <w:rFonts w:ascii="Book Antiqua" w:hAnsi="Book Antiqua"/>
          <w:spacing w:val="-3"/>
          <w:lang w:val="es-ES_tradnl"/>
        </w:rPr>
        <w:t>-</w:t>
      </w:r>
      <w:r w:rsidRPr="00FC5861">
        <w:rPr>
          <w:rFonts w:ascii="Book Antiqua" w:hAnsi="Book Antiqua"/>
          <w:spacing w:val="-3"/>
          <w:lang w:val="es-ES_tradnl"/>
        </w:rPr>
        <w:t xml:space="preserve"> </w:t>
      </w:r>
      <w:r w:rsidR="006629B5">
        <w:rPr>
          <w:rFonts w:ascii="Book Antiqua" w:hAnsi="Book Antiqua"/>
          <w:spacing w:val="-3"/>
          <w:lang w:val="es-ES_tradnl"/>
        </w:rPr>
        <w:t xml:space="preserve">Se añade un inciso (f) al Artículo 3.6 de la </w:t>
      </w:r>
      <w:r w:rsidR="006629B5" w:rsidRPr="00FC5861">
        <w:rPr>
          <w:rFonts w:ascii="Book Antiqua" w:hAnsi="Book Antiqua"/>
          <w:spacing w:val="-3"/>
          <w:lang w:val="es-ES_tradnl"/>
        </w:rPr>
        <w:t>Ley</w:t>
      </w:r>
      <w:r w:rsidR="006629B5" w:rsidRPr="00D8476B">
        <w:rPr>
          <w:rFonts w:ascii="Book Antiqua" w:hAnsi="Book Antiqua"/>
          <w:lang w:val="es-PR"/>
        </w:rPr>
        <w:t xml:space="preserve"> Núm. 54</w:t>
      </w:r>
      <w:r w:rsidR="006629B5">
        <w:rPr>
          <w:rFonts w:ascii="Book Antiqua" w:hAnsi="Book Antiqua"/>
          <w:lang w:val="es-PR"/>
        </w:rPr>
        <w:t xml:space="preserve"> de 15 de agosto de </w:t>
      </w:r>
      <w:r w:rsidR="006629B5" w:rsidRPr="00D8476B">
        <w:rPr>
          <w:rFonts w:ascii="Book Antiqua" w:hAnsi="Book Antiqua"/>
          <w:lang w:val="es-PR"/>
        </w:rPr>
        <w:t xml:space="preserve">1989, según enmendada, </w:t>
      </w:r>
      <w:r w:rsidR="006629B5" w:rsidRPr="004C4BA1">
        <w:rPr>
          <w:rFonts w:ascii="Book Antiqua" w:hAnsi="Book Antiqua"/>
          <w:strike/>
          <w:lang w:val="es-PR"/>
        </w:rPr>
        <w:t>conocida como “Ley para la Prevención e Intervención con la Violencia Doméstica”,</w:t>
      </w:r>
      <w:r w:rsidR="006629B5">
        <w:rPr>
          <w:rFonts w:ascii="Book Antiqua" w:hAnsi="Book Antiqua"/>
          <w:lang w:val="es-PR"/>
        </w:rPr>
        <w:t xml:space="preserve"> para que lea como sigue: </w:t>
      </w:r>
    </w:p>
    <w:p w14:paraId="6BB4D593" w14:textId="77777777" w:rsidR="002E2F07" w:rsidRPr="00FC5861" w:rsidRDefault="002E2F07" w:rsidP="00FC5861">
      <w:pPr>
        <w:suppressAutoHyphens/>
        <w:spacing w:line="480" w:lineRule="auto"/>
        <w:ind w:firstLine="360"/>
        <w:jc w:val="both"/>
        <w:rPr>
          <w:rFonts w:ascii="Book Antiqua" w:hAnsi="Book Antiqua"/>
          <w:spacing w:val="-3"/>
          <w:lang w:val="es-PR"/>
        </w:rPr>
      </w:pPr>
      <w:r>
        <w:rPr>
          <w:rFonts w:ascii="Book Antiqua" w:hAnsi="Book Antiqua"/>
          <w:lang w:val="es-PR"/>
        </w:rPr>
        <w:t>“Artículo 3.6.- Desvío del Procedimiento</w:t>
      </w:r>
    </w:p>
    <w:p w14:paraId="13725653" w14:textId="77777777" w:rsidR="006629B5" w:rsidRDefault="002B291E" w:rsidP="006629B5">
      <w:pPr>
        <w:suppressAutoHyphens/>
        <w:spacing w:line="480" w:lineRule="auto"/>
        <w:ind w:left="540"/>
        <w:jc w:val="both"/>
        <w:rPr>
          <w:rFonts w:ascii="Book Antiqua" w:hAnsi="Book Antiqua"/>
          <w:lang w:val="es-PR"/>
        </w:rPr>
      </w:pPr>
      <w:r w:rsidRPr="00FC5861">
        <w:rPr>
          <w:rFonts w:ascii="Book Antiqua" w:hAnsi="Book Antiqua"/>
          <w:szCs w:val="24"/>
          <w:lang w:val="es-ES"/>
        </w:rPr>
        <w:t xml:space="preserve">     </w:t>
      </w:r>
      <w:r w:rsidR="006629B5" w:rsidRPr="006629B5">
        <w:rPr>
          <w:rFonts w:ascii="Book Antiqua" w:hAnsi="Book Antiqua"/>
          <w:lang w:val="es-PR"/>
        </w:rPr>
        <w:t xml:space="preserve">Una vez celebrado el juicio y, convicto que fuere, o que el acusado haga alegación de culpabilidad por cualesquiera de los delitos tipificados en esta Ley, el Tribunal podrá </w:t>
      </w:r>
      <w:r w:rsidR="006629B5" w:rsidRPr="006A6E63">
        <w:rPr>
          <w:rFonts w:ascii="Book Antiqua" w:hAnsi="Book Antiqua"/>
          <w:i/>
          <w:iCs/>
          <w:lang w:val="es-PR"/>
        </w:rPr>
        <w:t>motu proprio</w:t>
      </w:r>
      <w:r w:rsidR="006629B5" w:rsidRPr="006629B5">
        <w:rPr>
          <w:rFonts w:ascii="Book Antiqua" w:hAnsi="Book Antiqua"/>
          <w:lang w:val="es-PR"/>
        </w:rPr>
        <w:t xml:space="preserve"> o mediante solicitud del Ministerio Fiscal o de la defensa, suspender todo procedimiento y someter a la persona convicta a libertad a prueba, sujeto a que </w:t>
      </w:r>
      <w:r w:rsidR="00052FFC">
        <w:rPr>
          <w:rFonts w:ascii="Book Antiqua" w:hAnsi="Book Antiqua"/>
          <w:lang w:val="es-PR"/>
        </w:rPr>
        <w:t>e</w:t>
      </w:r>
      <w:r w:rsidR="006629B5" w:rsidRPr="006629B5">
        <w:rPr>
          <w:rFonts w:ascii="Book Antiqua" w:hAnsi="Book Antiqua"/>
          <w:lang w:val="es-PR"/>
        </w:rPr>
        <w:t xml:space="preserve">sta participe en un programa de reeducación y readiestramiento para personas que incurren en conducta maltratante en la relación de pareja, según definida por el inciso (q) del Artículo 1.3 de esta Ley. Únicamente cualificarán para este programa de desvío, los delitos sancionados en esta Ley. Antes de hacer cualquier determinación al respecto, el Tribunal deberá escuchar al Ministerio Fiscal. </w:t>
      </w:r>
    </w:p>
    <w:p w14:paraId="2466739D" w14:textId="77777777" w:rsidR="00FC5A05" w:rsidRDefault="006629B5" w:rsidP="006629B5">
      <w:pPr>
        <w:suppressAutoHyphens/>
        <w:spacing w:line="480" w:lineRule="auto"/>
        <w:ind w:left="540" w:firstLine="180"/>
        <w:jc w:val="both"/>
        <w:rPr>
          <w:rFonts w:ascii="Book Antiqua" w:hAnsi="Book Antiqua"/>
          <w:lang w:val="es-PR"/>
        </w:rPr>
      </w:pPr>
      <w:r w:rsidRPr="006629B5">
        <w:rPr>
          <w:rFonts w:ascii="Book Antiqua" w:hAnsi="Book Antiqua"/>
          <w:lang w:val="es-PR"/>
        </w:rPr>
        <w:t>Esta alternativa de desvío solamente estará disponible cuando existan las circunstancias siguientes:</w:t>
      </w:r>
    </w:p>
    <w:p w14:paraId="096E1020" w14:textId="77777777" w:rsidR="006629B5" w:rsidRPr="006629B5" w:rsidRDefault="006629B5" w:rsidP="006629B5">
      <w:pPr>
        <w:numPr>
          <w:ilvl w:val="0"/>
          <w:numId w:val="11"/>
        </w:numPr>
        <w:suppressAutoHyphens/>
        <w:spacing w:line="480" w:lineRule="auto"/>
        <w:jc w:val="both"/>
        <w:rPr>
          <w:rFonts w:ascii="Book Antiqua" w:hAnsi="Book Antiqua"/>
          <w:szCs w:val="24"/>
          <w:lang w:val="es-PR"/>
        </w:rPr>
      </w:pPr>
      <w:r>
        <w:rPr>
          <w:rFonts w:ascii="Book Antiqua" w:hAnsi="Book Antiqua"/>
          <w:lang w:val="es-PR"/>
        </w:rPr>
        <w:t xml:space="preserve">… </w:t>
      </w:r>
    </w:p>
    <w:p w14:paraId="5E6D570B" w14:textId="77777777" w:rsidR="006629B5" w:rsidRPr="006629B5" w:rsidRDefault="006629B5" w:rsidP="006629B5">
      <w:pPr>
        <w:numPr>
          <w:ilvl w:val="0"/>
          <w:numId w:val="11"/>
        </w:numPr>
        <w:suppressAutoHyphens/>
        <w:spacing w:line="480" w:lineRule="auto"/>
        <w:jc w:val="both"/>
        <w:rPr>
          <w:rFonts w:ascii="Book Antiqua" w:hAnsi="Book Antiqua"/>
          <w:szCs w:val="24"/>
          <w:lang w:val="es-PR"/>
        </w:rPr>
      </w:pPr>
      <w:r>
        <w:rPr>
          <w:rFonts w:ascii="Book Antiqua" w:hAnsi="Book Antiqua"/>
          <w:lang w:val="es-PR"/>
        </w:rPr>
        <w:t>…</w:t>
      </w:r>
    </w:p>
    <w:p w14:paraId="23B11C69" w14:textId="77777777" w:rsidR="006629B5" w:rsidRPr="00DD57C6" w:rsidRDefault="006629B5" w:rsidP="006629B5">
      <w:pPr>
        <w:suppressAutoHyphens/>
        <w:spacing w:line="480" w:lineRule="auto"/>
        <w:ind w:left="540"/>
        <w:jc w:val="both"/>
        <w:rPr>
          <w:rFonts w:ascii="Book Antiqua" w:hAnsi="Book Antiqua"/>
          <w:lang w:val="es-PR"/>
        </w:rPr>
      </w:pPr>
      <w:r w:rsidRPr="00DD57C6">
        <w:rPr>
          <w:rFonts w:ascii="Book Antiqua" w:hAnsi="Book Antiqua"/>
          <w:lang w:val="es-PR"/>
        </w:rPr>
        <w:t>…</w:t>
      </w:r>
    </w:p>
    <w:p w14:paraId="5C9BB2B2" w14:textId="77777777" w:rsidR="006629B5" w:rsidRPr="00DD57C6" w:rsidRDefault="006629B5" w:rsidP="006629B5">
      <w:pPr>
        <w:suppressAutoHyphens/>
        <w:spacing w:line="480" w:lineRule="auto"/>
        <w:ind w:left="540"/>
        <w:jc w:val="both"/>
        <w:rPr>
          <w:rFonts w:ascii="Book Antiqua" w:hAnsi="Book Antiqua"/>
          <w:lang w:val="es-PR"/>
        </w:rPr>
      </w:pPr>
      <w:r w:rsidRPr="00DD57C6">
        <w:rPr>
          <w:rFonts w:ascii="Book Antiqua" w:hAnsi="Book Antiqua"/>
          <w:lang w:val="es-PR"/>
        </w:rPr>
        <w:t>(f) Se trate de una persona que no haya sido convicta por violación al Artículo 3.5 de esta Ley incluyendo su tentativa.</w:t>
      </w:r>
    </w:p>
    <w:p w14:paraId="5C234C9A" w14:textId="77777777" w:rsidR="00A960C2" w:rsidRPr="00DD57C6" w:rsidRDefault="00A960C2" w:rsidP="00A960C2">
      <w:pPr>
        <w:suppressAutoHyphens/>
        <w:spacing w:line="480" w:lineRule="auto"/>
        <w:ind w:left="540"/>
        <w:jc w:val="both"/>
        <w:rPr>
          <w:rFonts w:ascii="Book Antiqua" w:hAnsi="Book Antiqua"/>
          <w:szCs w:val="24"/>
          <w:lang w:val="es-PR"/>
        </w:rPr>
      </w:pPr>
      <w:r w:rsidRPr="00DD57C6">
        <w:rPr>
          <w:rFonts w:ascii="Book Antiqua" w:hAnsi="Book Antiqua"/>
          <w:szCs w:val="24"/>
          <w:lang w:val="es-PR"/>
        </w:rPr>
        <w:lastRenderedPageBreak/>
        <w:t>El Tribunal tomará en consideración la opinión de la víctima sobre si se le debe conceder o no este beneficio e impondrá los términos y condiciones que estime razonables y el período de duración de la libertad a prueba que tenga a bien requerir, previo acuerdo con la entidad que prestará los servicios, cuyo término nunca será menor de un (1) año ni mayor de tres (3).</w:t>
      </w:r>
    </w:p>
    <w:p w14:paraId="513E860A" w14:textId="01B4FFF9" w:rsidR="00A960C2" w:rsidRPr="00DD57C6" w:rsidRDefault="00A960C2" w:rsidP="00A960C2">
      <w:pPr>
        <w:suppressAutoHyphens/>
        <w:spacing w:line="480" w:lineRule="auto"/>
        <w:ind w:left="540"/>
        <w:jc w:val="both"/>
        <w:rPr>
          <w:rFonts w:ascii="Book Antiqua" w:hAnsi="Book Antiqua"/>
          <w:szCs w:val="24"/>
          <w:lang w:val="es-PR"/>
        </w:rPr>
      </w:pPr>
      <w:r w:rsidRPr="00DD57C6">
        <w:rPr>
          <w:rFonts w:ascii="Book Antiqua" w:hAnsi="Book Antiqua"/>
          <w:szCs w:val="24"/>
          <w:lang w:val="es-PR"/>
        </w:rPr>
        <w:t xml:space="preserve">Si la persona beneficiada con la libertad a prueba que establece este </w:t>
      </w:r>
      <w:proofErr w:type="gramStart"/>
      <w:r w:rsidRPr="00DD57C6">
        <w:rPr>
          <w:rFonts w:ascii="Book Antiqua" w:hAnsi="Book Antiqua"/>
          <w:szCs w:val="24"/>
          <w:lang w:val="es-PR"/>
        </w:rPr>
        <w:t>Artículo</w:t>
      </w:r>
      <w:r w:rsidRPr="00AA4855">
        <w:rPr>
          <w:rFonts w:ascii="Book Antiqua" w:hAnsi="Book Antiqua"/>
          <w:strike/>
          <w:szCs w:val="24"/>
          <w:lang w:val="es-PR"/>
        </w:rPr>
        <w:t>,</w:t>
      </w:r>
      <w:proofErr w:type="gramEnd"/>
      <w:r w:rsidRPr="00DD57C6">
        <w:rPr>
          <w:rFonts w:ascii="Book Antiqua" w:hAnsi="Book Antiqua"/>
          <w:szCs w:val="24"/>
          <w:lang w:val="es-PR"/>
        </w:rPr>
        <w:t xml:space="preserve"> incumpliere con las condiciones de </w:t>
      </w:r>
      <w:proofErr w:type="gramStart"/>
      <w:r w:rsidRPr="00AA4855">
        <w:rPr>
          <w:rFonts w:ascii="Book Antiqua" w:hAnsi="Book Antiqua"/>
          <w:strike/>
          <w:szCs w:val="24"/>
          <w:lang w:val="es-PR"/>
        </w:rPr>
        <w:t>la misma</w:t>
      </w:r>
      <w:proofErr w:type="gramEnd"/>
      <w:r w:rsidR="00AA4855">
        <w:rPr>
          <w:rFonts w:ascii="Book Antiqua" w:hAnsi="Book Antiqua"/>
          <w:szCs w:val="24"/>
          <w:lang w:val="es-PR"/>
        </w:rPr>
        <w:t xml:space="preserve"> </w:t>
      </w:r>
      <w:r w:rsidR="00AA4855">
        <w:rPr>
          <w:rFonts w:ascii="Book Antiqua" w:hAnsi="Book Antiqua"/>
          <w:i/>
          <w:iCs/>
          <w:szCs w:val="24"/>
          <w:u w:val="single"/>
          <w:lang w:val="es-PR"/>
        </w:rPr>
        <w:t>esta</w:t>
      </w:r>
      <w:r w:rsidRPr="00DD57C6">
        <w:rPr>
          <w:rFonts w:ascii="Book Antiqua" w:hAnsi="Book Antiqua"/>
          <w:szCs w:val="24"/>
          <w:lang w:val="es-PR"/>
        </w:rPr>
        <w:t xml:space="preserve">, el Tribunal, </w:t>
      </w:r>
      <w:r w:rsidRPr="004C4BA1">
        <w:rPr>
          <w:rFonts w:ascii="Book Antiqua" w:hAnsi="Book Antiqua"/>
          <w:strike/>
          <w:szCs w:val="24"/>
          <w:lang w:val="es-PR"/>
        </w:rPr>
        <w:t>previo</w:t>
      </w:r>
      <w:r w:rsidRPr="00DD57C6">
        <w:rPr>
          <w:rFonts w:ascii="Book Antiqua" w:hAnsi="Book Antiqua"/>
          <w:szCs w:val="24"/>
          <w:lang w:val="es-PR"/>
        </w:rPr>
        <w:t xml:space="preserve"> </w:t>
      </w:r>
      <w:r w:rsidR="004C4BA1">
        <w:rPr>
          <w:rFonts w:ascii="Book Antiqua" w:hAnsi="Book Antiqua"/>
          <w:i/>
          <w:iCs/>
          <w:szCs w:val="24"/>
          <w:u w:val="single"/>
          <w:lang w:val="es-PR"/>
        </w:rPr>
        <w:t xml:space="preserve">previa </w:t>
      </w:r>
      <w:r w:rsidRPr="00DD57C6">
        <w:rPr>
          <w:rFonts w:ascii="Book Antiqua" w:hAnsi="Book Antiqua"/>
          <w:szCs w:val="24"/>
          <w:lang w:val="es-PR"/>
        </w:rPr>
        <w:t>celebración de vista, podrá dejar sin efecto la libertad a prueba y procederá a dictar sentencia.</w:t>
      </w:r>
    </w:p>
    <w:p w14:paraId="66A8FC28" w14:textId="28B58CE7" w:rsidR="00A960C2" w:rsidRPr="0086041B" w:rsidRDefault="00A960C2" w:rsidP="00A960C2">
      <w:pPr>
        <w:suppressAutoHyphens/>
        <w:spacing w:line="480" w:lineRule="auto"/>
        <w:ind w:left="540"/>
        <w:jc w:val="both"/>
        <w:rPr>
          <w:rFonts w:ascii="Book Antiqua" w:hAnsi="Book Antiqua"/>
          <w:strike/>
          <w:szCs w:val="24"/>
          <w:lang w:val="es-PR"/>
        </w:rPr>
      </w:pPr>
      <w:r w:rsidRPr="0086041B">
        <w:rPr>
          <w:rFonts w:ascii="Book Antiqua" w:hAnsi="Book Antiqua"/>
          <w:strike/>
          <w:szCs w:val="24"/>
          <w:lang w:val="es-PR"/>
        </w:rPr>
        <w:t xml:space="preserve">Si la persona beneficiada por la libertad a prueba que establece este Artículo no viola ninguna de las condiciones de </w:t>
      </w:r>
      <w:proofErr w:type="gramStart"/>
      <w:r w:rsidRPr="0086041B">
        <w:rPr>
          <w:rFonts w:ascii="Book Antiqua" w:hAnsi="Book Antiqua"/>
          <w:strike/>
          <w:szCs w:val="24"/>
          <w:lang w:val="es-PR"/>
        </w:rPr>
        <w:t>la misma</w:t>
      </w:r>
      <w:proofErr w:type="gramEnd"/>
      <w:r w:rsidRPr="0086041B">
        <w:rPr>
          <w:rFonts w:ascii="Book Antiqua" w:hAnsi="Book Antiqua"/>
          <w:strike/>
          <w:szCs w:val="24"/>
          <w:lang w:val="es-PR"/>
        </w:rPr>
        <w:t xml:space="preserve">, el Tribunal, </w:t>
      </w:r>
      <w:proofErr w:type="gramStart"/>
      <w:r w:rsidRPr="0086041B">
        <w:rPr>
          <w:rFonts w:ascii="Book Antiqua" w:hAnsi="Book Antiqua"/>
          <w:strike/>
          <w:szCs w:val="24"/>
          <w:lang w:val="es-PR"/>
        </w:rPr>
        <w:t>previo celebración</w:t>
      </w:r>
      <w:proofErr w:type="gramEnd"/>
      <w:r w:rsidRPr="0086041B">
        <w:rPr>
          <w:rFonts w:ascii="Book Antiqua" w:hAnsi="Book Antiqua"/>
          <w:strike/>
          <w:szCs w:val="24"/>
          <w:lang w:val="es-PR"/>
        </w:rPr>
        <w:t xml:space="preserve"> de vista, podrá dejar sin efecto la libertad a prueba y procederá a dictar sentencia.</w:t>
      </w:r>
    </w:p>
    <w:p w14:paraId="7BDE7227" w14:textId="77777777" w:rsidR="00A960C2" w:rsidRPr="00DD57C6" w:rsidRDefault="00A960C2" w:rsidP="00A960C2">
      <w:pPr>
        <w:suppressAutoHyphens/>
        <w:spacing w:line="480" w:lineRule="auto"/>
        <w:ind w:left="540"/>
        <w:jc w:val="both"/>
        <w:rPr>
          <w:rFonts w:ascii="Book Antiqua" w:hAnsi="Book Antiqua"/>
          <w:szCs w:val="24"/>
          <w:lang w:val="es-PR"/>
        </w:rPr>
      </w:pPr>
      <w:r w:rsidRPr="00DD57C6">
        <w:rPr>
          <w:rFonts w:ascii="Book Antiqua" w:hAnsi="Book Antiqua"/>
          <w:szCs w:val="24"/>
          <w:lang w:val="es-PR"/>
        </w:rPr>
        <w:t xml:space="preserve">Si la persona beneficiada por la libertad a prueba que establece este Artículo no viola ninguna de las condiciones de </w:t>
      </w:r>
      <w:proofErr w:type="gramStart"/>
      <w:r w:rsidRPr="004C4BA1">
        <w:rPr>
          <w:rFonts w:ascii="Book Antiqua" w:hAnsi="Book Antiqua"/>
          <w:strike/>
          <w:szCs w:val="24"/>
          <w:lang w:val="es-PR"/>
        </w:rPr>
        <w:t>la misma</w:t>
      </w:r>
      <w:proofErr w:type="gramEnd"/>
      <w:r w:rsidR="00800AF2" w:rsidRPr="00800AF2">
        <w:rPr>
          <w:rFonts w:ascii="Book Antiqua" w:hAnsi="Book Antiqua"/>
          <w:szCs w:val="24"/>
          <w:lang w:val="es-PR"/>
        </w:rPr>
        <w:t xml:space="preserve"> </w:t>
      </w:r>
      <w:r w:rsidR="00800AF2">
        <w:rPr>
          <w:rFonts w:ascii="Book Antiqua" w:hAnsi="Book Antiqua"/>
          <w:i/>
          <w:iCs/>
          <w:szCs w:val="24"/>
          <w:u w:val="single"/>
          <w:lang w:val="es-PR"/>
        </w:rPr>
        <w:t>esta</w:t>
      </w:r>
      <w:r w:rsidRPr="00DD57C6">
        <w:rPr>
          <w:rFonts w:ascii="Book Antiqua" w:hAnsi="Book Antiqua"/>
          <w:szCs w:val="24"/>
          <w:lang w:val="es-PR"/>
        </w:rPr>
        <w:t xml:space="preserve">, el Tribunal, previa recomendación del personal competente a cargo del programa al que fuere referido el acusado, en el ejercicio de su discreción y previa celebración de vista, podrá sobreseer el caso en su contra. </w:t>
      </w:r>
    </w:p>
    <w:p w14:paraId="48089A7F" w14:textId="371D52A1" w:rsidR="00A960C2" w:rsidRPr="00DD57C6" w:rsidRDefault="00A960C2" w:rsidP="00A960C2">
      <w:pPr>
        <w:suppressAutoHyphens/>
        <w:spacing w:line="480" w:lineRule="auto"/>
        <w:ind w:left="540"/>
        <w:jc w:val="both"/>
        <w:rPr>
          <w:rFonts w:ascii="Book Antiqua" w:hAnsi="Book Antiqua"/>
          <w:szCs w:val="24"/>
          <w:lang w:val="es-PR"/>
        </w:rPr>
      </w:pPr>
      <w:r w:rsidRPr="00DD57C6">
        <w:rPr>
          <w:rFonts w:ascii="Book Antiqua" w:hAnsi="Book Antiqua"/>
          <w:szCs w:val="24"/>
          <w:lang w:val="es-PR"/>
        </w:rPr>
        <w:t xml:space="preserve">La sentencia sobreseída bajo este Artículo se llevará a cabo sin pronunciamiento de sentencia por el Tribunal, pero se conservará el expediente del caso en el Tribunal, con carácter confidencial, no accesible al público y separado de otros </w:t>
      </w:r>
      <w:proofErr w:type="gramStart"/>
      <w:r w:rsidRPr="00DD57C6">
        <w:rPr>
          <w:rFonts w:ascii="Book Antiqua" w:hAnsi="Book Antiqua"/>
          <w:szCs w:val="24"/>
          <w:lang w:val="es-PR"/>
        </w:rPr>
        <w:t>récords</w:t>
      </w:r>
      <w:r w:rsidRPr="00CA389D">
        <w:rPr>
          <w:rFonts w:ascii="Book Antiqua" w:hAnsi="Book Antiqua"/>
          <w:strike/>
          <w:szCs w:val="24"/>
          <w:lang w:val="es-PR"/>
        </w:rPr>
        <w:t>,</w:t>
      </w:r>
      <w:r w:rsidR="00D270B0">
        <w:rPr>
          <w:rFonts w:ascii="Book Antiqua" w:hAnsi="Book Antiqua"/>
          <w:i/>
          <w:iCs/>
          <w:szCs w:val="24"/>
          <w:u w:val="single"/>
          <w:lang w:val="es-PR"/>
        </w:rPr>
        <w:t>.</w:t>
      </w:r>
      <w:proofErr w:type="gramEnd"/>
      <w:r w:rsidR="00D270B0">
        <w:rPr>
          <w:rFonts w:ascii="Book Antiqua" w:hAnsi="Book Antiqua"/>
          <w:i/>
          <w:iCs/>
          <w:szCs w:val="24"/>
          <w:u w:val="single"/>
          <w:lang w:val="es-PR"/>
        </w:rPr>
        <w:t xml:space="preserve"> Esto,</w:t>
      </w:r>
      <w:r w:rsidRPr="00DD57C6">
        <w:rPr>
          <w:rFonts w:ascii="Book Antiqua" w:hAnsi="Book Antiqua"/>
          <w:szCs w:val="24"/>
          <w:lang w:val="es-PR"/>
        </w:rPr>
        <w:t xml:space="preserve"> a los fines de ser utilizados por los tribunales al determinar, en procesos subsiguientes, si la persona cualifica para acogerse a los beneficios de</w:t>
      </w:r>
      <w:r w:rsidR="00D206EE">
        <w:rPr>
          <w:rFonts w:ascii="Book Antiqua" w:hAnsi="Book Antiqua"/>
          <w:szCs w:val="24"/>
          <w:lang w:val="es-PR"/>
        </w:rPr>
        <w:t xml:space="preserve"> </w:t>
      </w:r>
      <w:r w:rsidRPr="00DD57C6">
        <w:rPr>
          <w:rFonts w:ascii="Book Antiqua" w:hAnsi="Book Antiqua"/>
          <w:szCs w:val="24"/>
          <w:lang w:val="es-PR"/>
        </w:rPr>
        <w:lastRenderedPageBreak/>
        <w:t>este Artículo y para ser considerado a los efectos de reincidencia, si la persona comete subsiguientemente cualquiera de los delitos tipificados en esta Ley. En estos casos, será responsabilidad del fiscal presentar siempre la alegación de reincidencia.</w:t>
      </w:r>
    </w:p>
    <w:p w14:paraId="0D1BCE82" w14:textId="2183FE79" w:rsidR="00A960C2" w:rsidRPr="00DD57C6" w:rsidRDefault="00A960C2" w:rsidP="00773699">
      <w:pPr>
        <w:suppressAutoHyphens/>
        <w:spacing w:line="480" w:lineRule="auto"/>
        <w:ind w:left="540"/>
        <w:jc w:val="both"/>
        <w:rPr>
          <w:rFonts w:ascii="Book Antiqua" w:hAnsi="Book Antiqua"/>
          <w:szCs w:val="24"/>
          <w:lang w:val="es-PR"/>
        </w:rPr>
      </w:pPr>
      <w:r w:rsidRPr="00DD57C6">
        <w:rPr>
          <w:rFonts w:ascii="Book Antiqua" w:hAnsi="Book Antiqua"/>
          <w:szCs w:val="24"/>
          <w:lang w:val="es-PR"/>
        </w:rPr>
        <w:t>La sentencia sobreseída del caso no se considerará como una convicción a los fines de las descualificaciones o incapacidades impuestas por ley a los convictos por la comisión de algún delito</w:t>
      </w:r>
      <w:r w:rsidRPr="002C7F86">
        <w:rPr>
          <w:rFonts w:ascii="Book Antiqua" w:hAnsi="Book Antiqua"/>
          <w:strike/>
          <w:szCs w:val="24"/>
          <w:lang w:val="es-PR"/>
        </w:rPr>
        <w:t>, y la</w:t>
      </w:r>
      <w:r w:rsidR="002C7F86">
        <w:rPr>
          <w:rFonts w:ascii="Book Antiqua" w:hAnsi="Book Antiqua"/>
          <w:i/>
          <w:iCs/>
          <w:szCs w:val="24"/>
          <w:u w:val="single"/>
          <w:lang w:val="es-PR"/>
        </w:rPr>
        <w:t>. La</w:t>
      </w:r>
      <w:r w:rsidRPr="00DD57C6">
        <w:rPr>
          <w:rFonts w:ascii="Book Antiqua" w:hAnsi="Book Antiqua"/>
          <w:szCs w:val="24"/>
          <w:lang w:val="es-PR"/>
        </w:rPr>
        <w:t xml:space="preserve"> persona exonerada tendrá derecho, luego de sobreseído el caso, a que el </w:t>
      </w:r>
      <w:r w:rsidR="002E2F07">
        <w:rPr>
          <w:rFonts w:ascii="Book Antiqua" w:hAnsi="Book Antiqua"/>
          <w:szCs w:val="24"/>
          <w:lang w:val="es-PR"/>
        </w:rPr>
        <w:t xml:space="preserve">Superintendente </w:t>
      </w:r>
      <w:r w:rsidRPr="00DD57C6">
        <w:rPr>
          <w:rFonts w:ascii="Book Antiqua" w:hAnsi="Book Antiqua"/>
          <w:szCs w:val="24"/>
          <w:lang w:val="es-PR"/>
        </w:rPr>
        <w:t xml:space="preserve">de la Policía de Puerto Rico le devuelva </w:t>
      </w:r>
      <w:proofErr w:type="gramStart"/>
      <w:r w:rsidRPr="00DD57C6">
        <w:rPr>
          <w:rFonts w:ascii="Book Antiqua" w:hAnsi="Book Antiqua"/>
          <w:szCs w:val="24"/>
          <w:lang w:val="es-PR"/>
        </w:rPr>
        <w:t xml:space="preserve">cualesquiera </w:t>
      </w:r>
      <w:r w:rsidRPr="00CC2AC6">
        <w:rPr>
          <w:rFonts w:ascii="Book Antiqua" w:hAnsi="Book Antiqua"/>
          <w:strike/>
          <w:szCs w:val="24"/>
          <w:lang w:val="es-PR"/>
        </w:rPr>
        <w:t>expediente</w:t>
      </w:r>
      <w:proofErr w:type="gramEnd"/>
      <w:r w:rsidRPr="00DD57C6">
        <w:rPr>
          <w:rFonts w:ascii="Book Antiqua" w:hAnsi="Book Antiqua"/>
          <w:szCs w:val="24"/>
          <w:lang w:val="es-PR"/>
        </w:rPr>
        <w:t xml:space="preserve"> </w:t>
      </w:r>
      <w:r w:rsidR="00CC2AC6">
        <w:rPr>
          <w:rFonts w:ascii="Book Antiqua" w:hAnsi="Book Antiqua"/>
          <w:i/>
          <w:iCs/>
          <w:szCs w:val="24"/>
          <w:u w:val="single"/>
          <w:lang w:val="es-PR"/>
        </w:rPr>
        <w:t>expedientes</w:t>
      </w:r>
      <w:r w:rsidR="00CC2AC6" w:rsidRPr="00CC2AC6">
        <w:rPr>
          <w:rFonts w:ascii="Book Antiqua" w:hAnsi="Book Antiqua"/>
          <w:i/>
          <w:iCs/>
          <w:szCs w:val="24"/>
          <w:lang w:val="es-PR"/>
        </w:rPr>
        <w:t xml:space="preserve"> </w:t>
      </w:r>
      <w:r w:rsidRPr="00DD57C6">
        <w:rPr>
          <w:rFonts w:ascii="Book Antiqua" w:hAnsi="Book Antiqua"/>
          <w:szCs w:val="24"/>
          <w:lang w:val="es-PR"/>
        </w:rPr>
        <w:t>de huellas digitales y fotografía que obren en poder de la Policía de Puerto Rico, tomadas en relación con la</w:t>
      </w:r>
      <w:r w:rsidR="00773699">
        <w:rPr>
          <w:rFonts w:ascii="Book Antiqua" w:hAnsi="Book Antiqua"/>
          <w:szCs w:val="24"/>
          <w:lang w:val="es-PR"/>
        </w:rPr>
        <w:t xml:space="preserve"> </w:t>
      </w:r>
      <w:r w:rsidRPr="00DD57C6">
        <w:rPr>
          <w:rFonts w:ascii="Book Antiqua" w:hAnsi="Book Antiqua"/>
          <w:szCs w:val="24"/>
          <w:lang w:val="es-PR"/>
        </w:rPr>
        <w:t>violación de los delitos que dieron lugar a la acusación.</w:t>
      </w:r>
    </w:p>
    <w:p w14:paraId="7ECE18EE" w14:textId="77777777" w:rsidR="00A960C2" w:rsidRPr="00DD57C6" w:rsidRDefault="00A960C2" w:rsidP="00A960C2">
      <w:pPr>
        <w:suppressAutoHyphens/>
        <w:spacing w:line="480" w:lineRule="auto"/>
        <w:ind w:left="540"/>
        <w:jc w:val="both"/>
        <w:rPr>
          <w:rFonts w:ascii="Book Antiqua" w:hAnsi="Book Antiqua"/>
          <w:szCs w:val="24"/>
          <w:lang w:val="es-PR"/>
        </w:rPr>
      </w:pPr>
      <w:r w:rsidRPr="00DD57C6">
        <w:rPr>
          <w:rFonts w:ascii="Book Antiqua" w:hAnsi="Book Antiqua"/>
          <w:szCs w:val="24"/>
          <w:lang w:val="es-PR"/>
        </w:rPr>
        <w:t xml:space="preserve">El sobreseimiento de que trata esta </w:t>
      </w:r>
      <w:r w:rsidR="00052FFC">
        <w:rPr>
          <w:rFonts w:ascii="Book Antiqua" w:hAnsi="Book Antiqua"/>
          <w:szCs w:val="24"/>
          <w:lang w:val="es-PR"/>
        </w:rPr>
        <w:t>S</w:t>
      </w:r>
      <w:r w:rsidRPr="00DD57C6">
        <w:rPr>
          <w:rFonts w:ascii="Book Antiqua" w:hAnsi="Book Antiqua"/>
          <w:szCs w:val="24"/>
          <w:lang w:val="es-PR"/>
        </w:rPr>
        <w:t>ección s</w:t>
      </w:r>
      <w:r w:rsidR="00052FFC">
        <w:rPr>
          <w:rFonts w:ascii="Book Antiqua" w:hAnsi="Book Antiqua"/>
          <w:szCs w:val="24"/>
          <w:lang w:val="es-PR"/>
        </w:rPr>
        <w:t>o</w:t>
      </w:r>
      <w:r w:rsidRPr="00DD57C6">
        <w:rPr>
          <w:rFonts w:ascii="Book Antiqua" w:hAnsi="Book Antiqua"/>
          <w:szCs w:val="24"/>
          <w:lang w:val="es-PR"/>
        </w:rPr>
        <w:t>lo podrá concederse en una ocasión a cualquier persona.”</w:t>
      </w:r>
    </w:p>
    <w:p w14:paraId="439F5C25" w14:textId="77777777" w:rsidR="009E13B6" w:rsidRPr="00DD57C6" w:rsidRDefault="006629B5" w:rsidP="009E13B6">
      <w:pPr>
        <w:suppressAutoHyphens/>
        <w:spacing w:line="480" w:lineRule="auto"/>
        <w:ind w:firstLine="360"/>
        <w:jc w:val="both"/>
        <w:rPr>
          <w:rFonts w:ascii="Book Antiqua" w:hAnsi="Book Antiqua"/>
          <w:szCs w:val="24"/>
          <w:lang w:val="es-ES"/>
        </w:rPr>
      </w:pPr>
      <w:r w:rsidRPr="00DD57C6">
        <w:rPr>
          <w:rFonts w:ascii="Book Antiqua" w:hAnsi="Book Antiqua"/>
          <w:szCs w:val="24"/>
          <w:lang w:val="es-ES"/>
        </w:rPr>
        <w:t>Sección</w:t>
      </w:r>
      <w:r w:rsidR="00FC5A05" w:rsidRPr="00DD57C6">
        <w:rPr>
          <w:rFonts w:ascii="Book Antiqua" w:hAnsi="Book Antiqua"/>
          <w:szCs w:val="24"/>
          <w:lang w:val="es-ES"/>
        </w:rPr>
        <w:t xml:space="preserve"> 2</w:t>
      </w:r>
      <w:r w:rsidR="00853950" w:rsidRPr="00DD57C6">
        <w:rPr>
          <w:rFonts w:ascii="Book Antiqua" w:hAnsi="Book Antiqua"/>
          <w:szCs w:val="24"/>
          <w:lang w:val="es-ES"/>
        </w:rPr>
        <w:t>.</w:t>
      </w:r>
      <w:r w:rsidR="00FC5A05" w:rsidRPr="00DD57C6">
        <w:rPr>
          <w:rFonts w:ascii="Book Antiqua" w:hAnsi="Book Antiqua"/>
          <w:szCs w:val="24"/>
          <w:lang w:val="es-ES"/>
        </w:rPr>
        <w:t xml:space="preserve">- </w:t>
      </w:r>
      <w:r w:rsidR="009E13B6" w:rsidRPr="00DD57C6">
        <w:rPr>
          <w:rFonts w:ascii="Book Antiqua" w:hAnsi="Book Antiqua"/>
          <w:szCs w:val="24"/>
          <w:lang w:val="es-ES"/>
        </w:rPr>
        <w:t>Vigencia</w:t>
      </w:r>
    </w:p>
    <w:p w14:paraId="539ED0AE" w14:textId="77777777" w:rsidR="00E35171" w:rsidRPr="00DD57C6" w:rsidRDefault="00773699" w:rsidP="009E13B6">
      <w:pPr>
        <w:suppressAutoHyphens/>
        <w:spacing w:line="480" w:lineRule="auto"/>
        <w:ind w:firstLine="360"/>
        <w:jc w:val="both"/>
        <w:rPr>
          <w:rFonts w:ascii="Book Antiqua" w:hAnsi="Book Antiqua"/>
          <w:szCs w:val="24"/>
          <w:lang w:val="es-ES"/>
        </w:rPr>
      </w:pPr>
      <w:r>
        <w:rPr>
          <w:rFonts w:ascii="Book Antiqua" w:hAnsi="Book Antiqua"/>
          <w:szCs w:val="24"/>
          <w:lang w:val="es-ES"/>
        </w:rPr>
        <w:t xml:space="preserve">   </w:t>
      </w:r>
      <w:r w:rsidR="009E13B6" w:rsidRPr="00DD57C6">
        <w:rPr>
          <w:rFonts w:ascii="Book Antiqua" w:hAnsi="Book Antiqua"/>
          <w:szCs w:val="24"/>
          <w:lang w:val="es-ES"/>
        </w:rPr>
        <w:t xml:space="preserve">Esta </w:t>
      </w:r>
      <w:r w:rsidR="00052FFC">
        <w:rPr>
          <w:rFonts w:ascii="Book Antiqua" w:hAnsi="Book Antiqua"/>
          <w:szCs w:val="24"/>
          <w:lang w:val="es-ES"/>
        </w:rPr>
        <w:t>L</w:t>
      </w:r>
      <w:r w:rsidR="009E13B6" w:rsidRPr="00DD57C6">
        <w:rPr>
          <w:rFonts w:ascii="Book Antiqua" w:hAnsi="Book Antiqua"/>
          <w:szCs w:val="24"/>
          <w:lang w:val="es-ES"/>
        </w:rPr>
        <w:t xml:space="preserve">ey comenzará a regir </w:t>
      </w:r>
      <w:r w:rsidR="006629B5" w:rsidRPr="00DD57C6">
        <w:rPr>
          <w:rFonts w:ascii="Book Antiqua" w:hAnsi="Book Antiqua"/>
          <w:szCs w:val="24"/>
          <w:lang w:val="es-ES"/>
        </w:rPr>
        <w:t xml:space="preserve">inmediatamente después </w:t>
      </w:r>
      <w:r w:rsidR="009E13B6" w:rsidRPr="00DD57C6">
        <w:rPr>
          <w:rFonts w:ascii="Book Antiqua" w:hAnsi="Book Antiqua"/>
          <w:szCs w:val="24"/>
          <w:lang w:val="es-ES"/>
        </w:rPr>
        <w:t>de su aprobación.</w:t>
      </w:r>
    </w:p>
    <w:p w14:paraId="0EB889DE" w14:textId="77777777" w:rsidR="00841868" w:rsidRDefault="00841868" w:rsidP="00CE7A05">
      <w:pPr>
        <w:suppressLineNumbers/>
        <w:suppressAutoHyphens/>
        <w:spacing w:line="480" w:lineRule="auto"/>
        <w:ind w:firstLine="360"/>
        <w:jc w:val="both"/>
        <w:rPr>
          <w:rFonts w:ascii="Book Antiqua" w:hAnsi="Book Antiqua"/>
          <w:spacing w:val="-3"/>
          <w:lang w:val="es-PR"/>
        </w:rPr>
      </w:pPr>
    </w:p>
    <w:sectPr w:rsidR="00841868" w:rsidSect="004425E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98181" w14:textId="77777777" w:rsidR="00947429" w:rsidRDefault="00947429">
      <w:r>
        <w:separator/>
      </w:r>
    </w:p>
  </w:endnote>
  <w:endnote w:type="continuationSeparator" w:id="0">
    <w:p w14:paraId="179037CA" w14:textId="77777777" w:rsidR="00947429" w:rsidRDefault="00947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B1494" w14:textId="77777777" w:rsidR="00947429" w:rsidRDefault="00947429">
      <w:r>
        <w:separator/>
      </w:r>
    </w:p>
  </w:footnote>
  <w:footnote w:type="continuationSeparator" w:id="0">
    <w:p w14:paraId="773BA72C" w14:textId="77777777" w:rsidR="00947429" w:rsidRDefault="00947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66038" w14:textId="77777777" w:rsidR="00865634" w:rsidRDefault="00865634">
    <w:pPr>
      <w:pStyle w:val="Header"/>
      <w:jc w:val="center"/>
    </w:pPr>
    <w:r>
      <w:rPr>
        <w:rStyle w:val="PageNumber"/>
      </w:rPr>
      <w:fldChar w:fldCharType="begin"/>
    </w:r>
    <w:r>
      <w:rPr>
        <w:rStyle w:val="PageNumber"/>
      </w:rPr>
      <w:instrText xml:space="preserve"> PAGE </w:instrText>
    </w:r>
    <w:r>
      <w:rPr>
        <w:rStyle w:val="PageNumber"/>
      </w:rPr>
      <w:fldChar w:fldCharType="separate"/>
    </w:r>
    <w:r w:rsidR="004B0082">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423A" w14:textId="77777777" w:rsidR="00DD57C6" w:rsidRDefault="00DD57C6" w:rsidP="00DD57C6">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0" w:name="_Hlk36034857"/>
    <w:r>
      <w:rPr>
        <w:rFonts w:ascii="Book Antiqua" w:eastAsia="MS Mincho" w:hAnsi="Book Antiqua"/>
        <w:b/>
        <w:szCs w:val="24"/>
        <w:lang w:val="es-PR"/>
      </w:rPr>
      <w:t>TEXTO APROBADO EN VOTACIÓN FINAL POR EL SENADO</w:t>
    </w:r>
  </w:p>
  <w:p w14:paraId="27B59A7E" w14:textId="77777777" w:rsidR="00DD57C6" w:rsidRDefault="00DD57C6" w:rsidP="00DD57C6">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(18 DE AGOSTO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C60F65"/>
    <w:multiLevelType w:val="hybridMultilevel"/>
    <w:tmpl w:val="86D6516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EE71B6"/>
    <w:multiLevelType w:val="hybridMultilevel"/>
    <w:tmpl w:val="228C984E"/>
    <w:lvl w:ilvl="0" w:tplc="97B698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7E7A38"/>
    <w:multiLevelType w:val="hybridMultilevel"/>
    <w:tmpl w:val="F2A2C78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C921CC"/>
    <w:multiLevelType w:val="multilevel"/>
    <w:tmpl w:val="69E274B4"/>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BD5A5D"/>
    <w:multiLevelType w:val="hybridMultilevel"/>
    <w:tmpl w:val="0F2A3D48"/>
    <w:lvl w:ilvl="0" w:tplc="BCE66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7D3561"/>
    <w:multiLevelType w:val="hybridMultilevel"/>
    <w:tmpl w:val="00FE4C76"/>
    <w:lvl w:ilvl="0" w:tplc="73D65D04">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7B7C1721"/>
    <w:multiLevelType w:val="hybridMultilevel"/>
    <w:tmpl w:val="1C08B01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C866492"/>
    <w:multiLevelType w:val="hybridMultilevel"/>
    <w:tmpl w:val="A9802BA4"/>
    <w:lvl w:ilvl="0" w:tplc="50CE3DA8">
      <w:start w:val="4"/>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0055086">
    <w:abstractNumId w:val="0"/>
  </w:num>
  <w:num w:numId="2" w16cid:durableId="564336270">
    <w:abstractNumId w:val="1"/>
  </w:num>
  <w:num w:numId="3" w16cid:durableId="54283922">
    <w:abstractNumId w:val="2"/>
  </w:num>
  <w:num w:numId="4" w16cid:durableId="1837377818">
    <w:abstractNumId w:val="6"/>
  </w:num>
  <w:num w:numId="5" w16cid:durableId="93061379">
    <w:abstractNumId w:val="9"/>
  </w:num>
  <w:num w:numId="6" w16cid:durableId="66349528">
    <w:abstractNumId w:val="4"/>
  </w:num>
  <w:num w:numId="7" w16cid:durableId="1206412446">
    <w:abstractNumId w:val="5"/>
  </w:num>
  <w:num w:numId="8" w16cid:durableId="1573200413">
    <w:abstractNumId w:val="7"/>
  </w:num>
  <w:num w:numId="9" w16cid:durableId="1608847260">
    <w:abstractNumId w:val="3"/>
  </w:num>
  <w:num w:numId="10" w16cid:durableId="139081301">
    <w:abstractNumId w:val="10"/>
  </w:num>
  <w:num w:numId="11" w16cid:durableId="2788067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57B7"/>
    <w:rsid w:val="00016D64"/>
    <w:rsid w:val="000230E7"/>
    <w:rsid w:val="000355EC"/>
    <w:rsid w:val="00045442"/>
    <w:rsid w:val="00050326"/>
    <w:rsid w:val="00052FFC"/>
    <w:rsid w:val="000533CB"/>
    <w:rsid w:val="00066916"/>
    <w:rsid w:val="00076398"/>
    <w:rsid w:val="000879BC"/>
    <w:rsid w:val="000945D3"/>
    <w:rsid w:val="00096516"/>
    <w:rsid w:val="000A0CEF"/>
    <w:rsid w:val="000A135C"/>
    <w:rsid w:val="000B3411"/>
    <w:rsid w:val="000B39C5"/>
    <w:rsid w:val="000C18B9"/>
    <w:rsid w:val="000D029B"/>
    <w:rsid w:val="000E0D6C"/>
    <w:rsid w:val="000E6B35"/>
    <w:rsid w:val="000F7538"/>
    <w:rsid w:val="00107712"/>
    <w:rsid w:val="00111E71"/>
    <w:rsid w:val="00133877"/>
    <w:rsid w:val="00157503"/>
    <w:rsid w:val="00167001"/>
    <w:rsid w:val="00177186"/>
    <w:rsid w:val="00187D07"/>
    <w:rsid w:val="001A7434"/>
    <w:rsid w:val="001B1EDE"/>
    <w:rsid w:val="001B5584"/>
    <w:rsid w:val="001B77D6"/>
    <w:rsid w:val="001C5DEB"/>
    <w:rsid w:val="001E78B4"/>
    <w:rsid w:val="00212949"/>
    <w:rsid w:val="00213CAD"/>
    <w:rsid w:val="0021742A"/>
    <w:rsid w:val="002214F8"/>
    <w:rsid w:val="0022642B"/>
    <w:rsid w:val="0024131E"/>
    <w:rsid w:val="00243FD8"/>
    <w:rsid w:val="0025270C"/>
    <w:rsid w:val="00254B92"/>
    <w:rsid w:val="00266EEC"/>
    <w:rsid w:val="002671BE"/>
    <w:rsid w:val="002779B7"/>
    <w:rsid w:val="0029190B"/>
    <w:rsid w:val="002A4957"/>
    <w:rsid w:val="002B291E"/>
    <w:rsid w:val="002C7F86"/>
    <w:rsid w:val="002D4AC8"/>
    <w:rsid w:val="002E1CE9"/>
    <w:rsid w:val="002E2F07"/>
    <w:rsid w:val="002E3F48"/>
    <w:rsid w:val="002E66F9"/>
    <w:rsid w:val="002F0440"/>
    <w:rsid w:val="003239C5"/>
    <w:rsid w:val="0034389C"/>
    <w:rsid w:val="003465C8"/>
    <w:rsid w:val="00364C93"/>
    <w:rsid w:val="00380069"/>
    <w:rsid w:val="00381781"/>
    <w:rsid w:val="003857EC"/>
    <w:rsid w:val="00385F7B"/>
    <w:rsid w:val="00386D32"/>
    <w:rsid w:val="0039037B"/>
    <w:rsid w:val="003906D8"/>
    <w:rsid w:val="003907F6"/>
    <w:rsid w:val="00393258"/>
    <w:rsid w:val="003C3BDC"/>
    <w:rsid w:val="003E1B1A"/>
    <w:rsid w:val="003F5B1A"/>
    <w:rsid w:val="00405631"/>
    <w:rsid w:val="00412A61"/>
    <w:rsid w:val="00412EA0"/>
    <w:rsid w:val="00413F9B"/>
    <w:rsid w:val="004278D1"/>
    <w:rsid w:val="00441EF3"/>
    <w:rsid w:val="004425EB"/>
    <w:rsid w:val="004440CB"/>
    <w:rsid w:val="00444FD2"/>
    <w:rsid w:val="00445E69"/>
    <w:rsid w:val="0045359B"/>
    <w:rsid w:val="004664E2"/>
    <w:rsid w:val="004713D2"/>
    <w:rsid w:val="004918F1"/>
    <w:rsid w:val="00496093"/>
    <w:rsid w:val="004A05FC"/>
    <w:rsid w:val="004A18C6"/>
    <w:rsid w:val="004B0082"/>
    <w:rsid w:val="004C370E"/>
    <w:rsid w:val="004C4BA1"/>
    <w:rsid w:val="004D2264"/>
    <w:rsid w:val="004D2501"/>
    <w:rsid w:val="004F7173"/>
    <w:rsid w:val="005006DF"/>
    <w:rsid w:val="00506F5C"/>
    <w:rsid w:val="0051050B"/>
    <w:rsid w:val="00540B6A"/>
    <w:rsid w:val="00541C49"/>
    <w:rsid w:val="00541FE3"/>
    <w:rsid w:val="005478C9"/>
    <w:rsid w:val="00550023"/>
    <w:rsid w:val="00550412"/>
    <w:rsid w:val="00553094"/>
    <w:rsid w:val="00555018"/>
    <w:rsid w:val="00571789"/>
    <w:rsid w:val="005741F6"/>
    <w:rsid w:val="00580EC6"/>
    <w:rsid w:val="00595B7E"/>
    <w:rsid w:val="005A176F"/>
    <w:rsid w:val="005A24EF"/>
    <w:rsid w:val="005A4787"/>
    <w:rsid w:val="005A7195"/>
    <w:rsid w:val="005B2884"/>
    <w:rsid w:val="005C5E81"/>
    <w:rsid w:val="005D6166"/>
    <w:rsid w:val="005F22DC"/>
    <w:rsid w:val="00613A3F"/>
    <w:rsid w:val="00615E64"/>
    <w:rsid w:val="00622333"/>
    <w:rsid w:val="00635AA6"/>
    <w:rsid w:val="00650D8E"/>
    <w:rsid w:val="006629B5"/>
    <w:rsid w:val="0067088D"/>
    <w:rsid w:val="006A6E63"/>
    <w:rsid w:val="006B3D07"/>
    <w:rsid w:val="006C4A5A"/>
    <w:rsid w:val="006D01F6"/>
    <w:rsid w:val="006E5B7A"/>
    <w:rsid w:val="00714102"/>
    <w:rsid w:val="00720B6F"/>
    <w:rsid w:val="007229E9"/>
    <w:rsid w:val="00725174"/>
    <w:rsid w:val="0073675F"/>
    <w:rsid w:val="007472C1"/>
    <w:rsid w:val="007611FE"/>
    <w:rsid w:val="0076337B"/>
    <w:rsid w:val="00773699"/>
    <w:rsid w:val="00777E1D"/>
    <w:rsid w:val="00785050"/>
    <w:rsid w:val="007A604A"/>
    <w:rsid w:val="007C04E5"/>
    <w:rsid w:val="007C592E"/>
    <w:rsid w:val="007F386B"/>
    <w:rsid w:val="00800AF2"/>
    <w:rsid w:val="00803A23"/>
    <w:rsid w:val="008061C2"/>
    <w:rsid w:val="00815BF2"/>
    <w:rsid w:val="00820C41"/>
    <w:rsid w:val="008235BE"/>
    <w:rsid w:val="00826B88"/>
    <w:rsid w:val="00832022"/>
    <w:rsid w:val="00841868"/>
    <w:rsid w:val="00843C63"/>
    <w:rsid w:val="0085141B"/>
    <w:rsid w:val="00853950"/>
    <w:rsid w:val="0086041B"/>
    <w:rsid w:val="00861853"/>
    <w:rsid w:val="00865634"/>
    <w:rsid w:val="008738C3"/>
    <w:rsid w:val="00876EB5"/>
    <w:rsid w:val="008A154B"/>
    <w:rsid w:val="008A40E0"/>
    <w:rsid w:val="008C5CB6"/>
    <w:rsid w:val="00904165"/>
    <w:rsid w:val="00907E93"/>
    <w:rsid w:val="0091284A"/>
    <w:rsid w:val="00917CD0"/>
    <w:rsid w:val="00935CCC"/>
    <w:rsid w:val="009374E4"/>
    <w:rsid w:val="00946E55"/>
    <w:rsid w:val="00947429"/>
    <w:rsid w:val="009645CD"/>
    <w:rsid w:val="00966822"/>
    <w:rsid w:val="0097131A"/>
    <w:rsid w:val="00981A1F"/>
    <w:rsid w:val="00987325"/>
    <w:rsid w:val="009A4FB3"/>
    <w:rsid w:val="009C5E59"/>
    <w:rsid w:val="009E13B6"/>
    <w:rsid w:val="009E614D"/>
    <w:rsid w:val="009F68F4"/>
    <w:rsid w:val="00A05EDB"/>
    <w:rsid w:val="00A11BDC"/>
    <w:rsid w:val="00A15144"/>
    <w:rsid w:val="00A3182D"/>
    <w:rsid w:val="00A52A66"/>
    <w:rsid w:val="00A6445C"/>
    <w:rsid w:val="00A679C6"/>
    <w:rsid w:val="00A81D8F"/>
    <w:rsid w:val="00A870EF"/>
    <w:rsid w:val="00A93C47"/>
    <w:rsid w:val="00A960C2"/>
    <w:rsid w:val="00AA0006"/>
    <w:rsid w:val="00AA4855"/>
    <w:rsid w:val="00AA6FFB"/>
    <w:rsid w:val="00AC3813"/>
    <w:rsid w:val="00AC5673"/>
    <w:rsid w:val="00AE555C"/>
    <w:rsid w:val="00AF56F5"/>
    <w:rsid w:val="00B03E1C"/>
    <w:rsid w:val="00B24B05"/>
    <w:rsid w:val="00B27E6D"/>
    <w:rsid w:val="00B316DC"/>
    <w:rsid w:val="00B36F9D"/>
    <w:rsid w:val="00B57335"/>
    <w:rsid w:val="00B6135D"/>
    <w:rsid w:val="00B61958"/>
    <w:rsid w:val="00B737CC"/>
    <w:rsid w:val="00BA0953"/>
    <w:rsid w:val="00BA0F95"/>
    <w:rsid w:val="00BB20A7"/>
    <w:rsid w:val="00BC53E0"/>
    <w:rsid w:val="00C0210B"/>
    <w:rsid w:val="00C22AFC"/>
    <w:rsid w:val="00C6071A"/>
    <w:rsid w:val="00C83FD9"/>
    <w:rsid w:val="00C869B3"/>
    <w:rsid w:val="00C9772C"/>
    <w:rsid w:val="00CA389D"/>
    <w:rsid w:val="00CB5806"/>
    <w:rsid w:val="00CC2AC6"/>
    <w:rsid w:val="00CC4859"/>
    <w:rsid w:val="00CE350C"/>
    <w:rsid w:val="00CE532D"/>
    <w:rsid w:val="00CE5BA7"/>
    <w:rsid w:val="00CE7A05"/>
    <w:rsid w:val="00CE7DA0"/>
    <w:rsid w:val="00CF2130"/>
    <w:rsid w:val="00CF32AA"/>
    <w:rsid w:val="00D0004D"/>
    <w:rsid w:val="00D16947"/>
    <w:rsid w:val="00D206EE"/>
    <w:rsid w:val="00D23850"/>
    <w:rsid w:val="00D270B0"/>
    <w:rsid w:val="00D5351E"/>
    <w:rsid w:val="00D61B6F"/>
    <w:rsid w:val="00D70E41"/>
    <w:rsid w:val="00D759DB"/>
    <w:rsid w:val="00D8476B"/>
    <w:rsid w:val="00D87B39"/>
    <w:rsid w:val="00D9263A"/>
    <w:rsid w:val="00DA1E64"/>
    <w:rsid w:val="00DB25BF"/>
    <w:rsid w:val="00DB3451"/>
    <w:rsid w:val="00DC2909"/>
    <w:rsid w:val="00DC7D84"/>
    <w:rsid w:val="00DD122E"/>
    <w:rsid w:val="00DD1380"/>
    <w:rsid w:val="00DD57C6"/>
    <w:rsid w:val="00DD58BD"/>
    <w:rsid w:val="00DE189A"/>
    <w:rsid w:val="00DF0352"/>
    <w:rsid w:val="00E20C62"/>
    <w:rsid w:val="00E230C4"/>
    <w:rsid w:val="00E251EA"/>
    <w:rsid w:val="00E259B6"/>
    <w:rsid w:val="00E31C8D"/>
    <w:rsid w:val="00E35157"/>
    <w:rsid w:val="00E35171"/>
    <w:rsid w:val="00E36FA6"/>
    <w:rsid w:val="00E722CA"/>
    <w:rsid w:val="00E73DB1"/>
    <w:rsid w:val="00E75F2D"/>
    <w:rsid w:val="00E930DD"/>
    <w:rsid w:val="00E9570B"/>
    <w:rsid w:val="00EB1664"/>
    <w:rsid w:val="00EC56E8"/>
    <w:rsid w:val="00EE6CD4"/>
    <w:rsid w:val="00EF62F7"/>
    <w:rsid w:val="00F042CB"/>
    <w:rsid w:val="00F3003D"/>
    <w:rsid w:val="00F65FAA"/>
    <w:rsid w:val="00F816B8"/>
    <w:rsid w:val="00F90AAD"/>
    <w:rsid w:val="00F969D4"/>
    <w:rsid w:val="00FB5817"/>
    <w:rsid w:val="00FC28BE"/>
    <w:rsid w:val="00FC5861"/>
    <w:rsid w:val="00FC5A05"/>
    <w:rsid w:val="00FC5FDD"/>
    <w:rsid w:val="00FE6283"/>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BA0F"/>
  <w15:chartTrackingRefBased/>
  <w15:docId w15:val="{91923FCB-F870-4E69-BA90-F0F3CDAF3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E36FA6"/>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412EA0"/>
    <w:pPr>
      <w:keepNext/>
      <w:spacing w:before="240" w:after="60"/>
      <w:outlineLvl w:val="1"/>
    </w:pPr>
    <w:rPr>
      <w:rFonts w:ascii="Aptos Display" w:hAnsi="Aptos Display"/>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character" w:customStyle="1" w:styleId="Heading2Char">
    <w:name w:val="Heading 2 Char"/>
    <w:link w:val="Heading2"/>
    <w:uiPriority w:val="9"/>
    <w:semiHidden/>
    <w:rsid w:val="00412EA0"/>
    <w:rPr>
      <w:rFonts w:ascii="Aptos Display" w:eastAsia="Times New Roman" w:hAnsi="Aptos Display" w:cs="Times New Roman"/>
      <w:b/>
      <w:bCs/>
      <w:i/>
      <w:i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51940916">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74096">
      <w:bodyDiv w:val="1"/>
      <w:marLeft w:val="0"/>
      <w:marRight w:val="0"/>
      <w:marTop w:val="0"/>
      <w:marBottom w:val="0"/>
      <w:divBdr>
        <w:top w:val="none" w:sz="0" w:space="0" w:color="auto"/>
        <w:left w:val="none" w:sz="0" w:space="0" w:color="auto"/>
        <w:bottom w:val="none" w:sz="0" w:space="0" w:color="auto"/>
        <w:right w:val="none" w:sz="0" w:space="0" w:color="auto"/>
      </w:divBdr>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089998">
      <w:bodyDiv w:val="1"/>
      <w:marLeft w:val="0"/>
      <w:marRight w:val="0"/>
      <w:marTop w:val="0"/>
      <w:marBottom w:val="0"/>
      <w:divBdr>
        <w:top w:val="none" w:sz="0" w:space="0" w:color="auto"/>
        <w:left w:val="none" w:sz="0" w:space="0" w:color="auto"/>
        <w:bottom w:val="none" w:sz="0" w:space="0" w:color="auto"/>
        <w:right w:val="none" w:sz="0" w:space="0" w:color="auto"/>
      </w:divBdr>
    </w:div>
    <w:div w:id="559053155">
      <w:bodyDiv w:val="1"/>
      <w:marLeft w:val="0"/>
      <w:marRight w:val="0"/>
      <w:marTop w:val="0"/>
      <w:marBottom w:val="0"/>
      <w:divBdr>
        <w:top w:val="none" w:sz="0" w:space="0" w:color="auto"/>
        <w:left w:val="none" w:sz="0" w:space="0" w:color="auto"/>
        <w:bottom w:val="none" w:sz="0" w:space="0" w:color="auto"/>
        <w:right w:val="none" w:sz="0" w:space="0" w:color="auto"/>
      </w:divBdr>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54041">
      <w:bodyDiv w:val="1"/>
      <w:marLeft w:val="0"/>
      <w:marRight w:val="0"/>
      <w:marTop w:val="0"/>
      <w:marBottom w:val="0"/>
      <w:divBdr>
        <w:top w:val="none" w:sz="0" w:space="0" w:color="auto"/>
        <w:left w:val="none" w:sz="0" w:space="0" w:color="auto"/>
        <w:bottom w:val="none" w:sz="0" w:space="0" w:color="auto"/>
        <w:right w:val="none" w:sz="0" w:space="0" w:color="auto"/>
      </w:divBdr>
      <w:divsChild>
        <w:div w:id="2049522026">
          <w:marLeft w:val="0"/>
          <w:marRight w:val="0"/>
          <w:marTop w:val="0"/>
          <w:marBottom w:val="0"/>
          <w:divBdr>
            <w:top w:val="none" w:sz="0" w:space="0" w:color="auto"/>
            <w:left w:val="none" w:sz="0" w:space="0" w:color="auto"/>
            <w:bottom w:val="none" w:sz="0" w:space="0" w:color="auto"/>
            <w:right w:val="none" w:sz="0" w:space="0" w:color="auto"/>
          </w:divBdr>
          <w:divsChild>
            <w:div w:id="1822963782">
              <w:marLeft w:val="0"/>
              <w:marRight w:val="0"/>
              <w:marTop w:val="0"/>
              <w:marBottom w:val="0"/>
              <w:divBdr>
                <w:top w:val="none" w:sz="0" w:space="0" w:color="auto"/>
                <w:left w:val="none" w:sz="0" w:space="0" w:color="auto"/>
                <w:bottom w:val="none" w:sz="0" w:space="0" w:color="auto"/>
                <w:right w:val="none" w:sz="0" w:space="0" w:color="auto"/>
              </w:divBdr>
              <w:divsChild>
                <w:div w:id="206367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395026">
      <w:bodyDiv w:val="1"/>
      <w:marLeft w:val="0"/>
      <w:marRight w:val="0"/>
      <w:marTop w:val="0"/>
      <w:marBottom w:val="0"/>
      <w:divBdr>
        <w:top w:val="none" w:sz="0" w:space="0" w:color="auto"/>
        <w:left w:val="none" w:sz="0" w:space="0" w:color="auto"/>
        <w:bottom w:val="none" w:sz="0" w:space="0" w:color="auto"/>
        <w:right w:val="none" w:sz="0" w:space="0" w:color="auto"/>
      </w:divBdr>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425972">
      <w:bodyDiv w:val="1"/>
      <w:marLeft w:val="0"/>
      <w:marRight w:val="0"/>
      <w:marTop w:val="0"/>
      <w:marBottom w:val="0"/>
      <w:divBdr>
        <w:top w:val="none" w:sz="0" w:space="0" w:color="auto"/>
        <w:left w:val="none" w:sz="0" w:space="0" w:color="auto"/>
        <w:bottom w:val="none" w:sz="0" w:space="0" w:color="auto"/>
        <w:right w:val="none" w:sz="0" w:space="0" w:color="auto"/>
      </w:divBdr>
      <w:divsChild>
        <w:div w:id="1625841971">
          <w:marLeft w:val="0"/>
          <w:marRight w:val="0"/>
          <w:marTop w:val="0"/>
          <w:marBottom w:val="0"/>
          <w:divBdr>
            <w:top w:val="none" w:sz="0" w:space="0" w:color="auto"/>
            <w:left w:val="none" w:sz="0" w:space="0" w:color="auto"/>
            <w:bottom w:val="none" w:sz="0" w:space="0" w:color="auto"/>
            <w:right w:val="none" w:sz="0" w:space="0" w:color="auto"/>
          </w:divBdr>
          <w:divsChild>
            <w:div w:id="1521123203">
              <w:marLeft w:val="0"/>
              <w:marRight w:val="0"/>
              <w:marTop w:val="0"/>
              <w:marBottom w:val="0"/>
              <w:divBdr>
                <w:top w:val="none" w:sz="0" w:space="0" w:color="auto"/>
                <w:left w:val="none" w:sz="0" w:space="0" w:color="auto"/>
                <w:bottom w:val="none" w:sz="0" w:space="0" w:color="auto"/>
                <w:right w:val="none" w:sz="0" w:space="0" w:color="auto"/>
              </w:divBdr>
              <w:divsChild>
                <w:div w:id="53235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298109-6EA7-41AF-901A-CB610F67F53B}">
  <ds:schemaRefs>
    <ds:schemaRef ds:uri="http://schemas.microsoft.com/sharepoint/v3/contenttype/forms"/>
  </ds:schemaRefs>
</ds:datastoreItem>
</file>

<file path=customXml/itemProps2.xml><?xml version="1.0" encoding="utf-8"?>
<ds:datastoreItem xmlns:ds="http://schemas.openxmlformats.org/officeDocument/2006/customXml" ds:itemID="{A298F409-9031-456F-AAD0-FBCC1808B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9C5FA4-A60B-4847-B581-FFA6A2D6A3CA}">
  <ds:schemaRefs>
    <ds:schemaRef ds:uri="http://schemas.openxmlformats.org/officeDocument/2006/bibliography"/>
  </ds:schemaRefs>
</ds:datastoreItem>
</file>

<file path=customXml/itemProps4.xml><?xml version="1.0" encoding="utf-8"?>
<ds:datastoreItem xmlns:ds="http://schemas.openxmlformats.org/officeDocument/2006/customXml" ds:itemID="{0C437E5A-3D21-4BF4-9E10-C8B1650C12E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Medida-V2009</Template>
  <TotalTime>0</TotalTime>
  <Pages>5</Pages>
  <Words>1224</Words>
  <Characters>6324</Characters>
  <Application>Microsoft Office Word</Application>
  <DocSecurity>4</DocSecurity>
  <Lines>117</Lines>
  <Paragraphs>37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matorres</dc:creator>
  <cp:keywords/>
  <cp:lastModifiedBy>Carlos Y. Rosado Cruz</cp:lastModifiedBy>
  <cp:revision>2</cp:revision>
  <cp:lastPrinted>2026-04-06T18:35:00Z</cp:lastPrinted>
  <dcterms:created xsi:type="dcterms:W3CDTF">2026-04-08T16:20:00Z</dcterms:created>
  <dcterms:modified xsi:type="dcterms:W3CDTF">2026-04-08T16:20:00Z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ies>
</file>