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EB66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EB66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EB66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EB66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EB66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>20m</w:t>
      </w:r>
      <w:r w:rsidR="002670C1" w:rsidRPr="00EB66D5">
        <w:rPr>
          <w:rFonts w:ascii="Book Antiqua" w:hAnsi="Book Antiqua"/>
          <w:szCs w:val="24"/>
          <w:lang w:val="es-ES_tradnl"/>
        </w:rPr>
        <w:t>a. Asamblea</w:t>
      </w:r>
      <w:r w:rsidR="002670C1" w:rsidRPr="00EB66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EB66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</w:t>
      </w:r>
      <w:r w:rsidR="003D1498" w:rsidRPr="00EB66D5">
        <w:rPr>
          <w:rFonts w:ascii="Book Antiqua" w:hAnsi="Book Antiqua"/>
          <w:szCs w:val="24"/>
          <w:lang w:val="es-ES_tradnl"/>
        </w:rPr>
        <w:t>2d</w:t>
      </w:r>
      <w:r w:rsidR="002670C1" w:rsidRPr="00EB66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EB66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EB66D5">
        <w:rPr>
          <w:rFonts w:ascii="Book Antiqua" w:hAnsi="Book Antiqua"/>
          <w:szCs w:val="24"/>
          <w:lang w:val="es-ES_tradnl"/>
        </w:rPr>
        <w:tab/>
        <w:t>Legislativa</w:t>
      </w:r>
      <w:r w:rsidRPr="00EB66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      </w:t>
      </w:r>
      <w:r w:rsidRPr="00EB66D5">
        <w:rPr>
          <w:rFonts w:ascii="Book Antiqua" w:hAnsi="Book Antiqua"/>
          <w:szCs w:val="24"/>
          <w:lang w:val="es-ES_tradnl"/>
        </w:rPr>
        <w:t xml:space="preserve"> </w:t>
      </w:r>
      <w:r w:rsidR="00632DBA" w:rsidRPr="00EB66D5">
        <w:rPr>
          <w:rFonts w:ascii="Book Antiqua" w:hAnsi="Book Antiqua"/>
          <w:szCs w:val="24"/>
          <w:lang w:val="es-ES_tradnl"/>
        </w:rPr>
        <w:t xml:space="preserve"> </w:t>
      </w:r>
      <w:r w:rsidRPr="00EB66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EB66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EB66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EB66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26098DF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EB66D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C3FD0">
        <w:rPr>
          <w:rFonts w:ascii="Book Antiqua" w:hAnsi="Book Antiqua" w:cs="Tahoma"/>
          <w:b/>
          <w:sz w:val="52"/>
          <w:szCs w:val="52"/>
          <w:lang w:val="es-ES_tradnl"/>
        </w:rPr>
        <w:t>306</w:t>
      </w:r>
    </w:p>
    <w:p w14:paraId="2AB71EBC" w14:textId="77777777" w:rsidR="001A14B6" w:rsidRPr="00EB66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EB66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EB66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EB66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EB66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A38AD23" w:rsidR="002670C1" w:rsidRPr="00EB66D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CC3FD0">
        <w:rPr>
          <w:rFonts w:ascii="Book Antiqua" w:hAnsi="Book Antiqua" w:cs="Tahoma"/>
          <w:lang w:val="es-ES_tradnl"/>
        </w:rPr>
        <w:t>2</w:t>
      </w:r>
      <w:r w:rsidR="00AE15AF">
        <w:rPr>
          <w:rFonts w:ascii="Book Antiqua" w:hAnsi="Book Antiqua" w:cs="Tahoma"/>
          <w:lang w:val="es-ES_tradnl"/>
        </w:rPr>
        <w:t>4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812C0F" w:rsidRPr="00EB66D5">
        <w:rPr>
          <w:rFonts w:ascii="Book Antiqua" w:hAnsi="Book Antiqua" w:cs="Tahoma"/>
          <w:lang w:val="es-ES_tradnl"/>
        </w:rPr>
        <w:t>julio</w:t>
      </w:r>
      <w:r w:rsidRPr="00EB66D5">
        <w:rPr>
          <w:rFonts w:ascii="Book Antiqua" w:hAnsi="Book Antiqua" w:cs="Tahoma"/>
          <w:lang w:val="es-ES_tradnl"/>
        </w:rPr>
        <w:t xml:space="preserve"> de </w:t>
      </w:r>
      <w:r w:rsidR="00333864" w:rsidRPr="00EB66D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EB66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EB66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EB66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EB66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EB66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242A4FD" w:rsidR="00682883" w:rsidRPr="00EB66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EB66D5">
        <w:rPr>
          <w:rFonts w:ascii="Book Antiqua" w:hAnsi="Book Antiqua" w:cs="Tahoma"/>
          <w:lang w:val="es-ES_tradnl"/>
        </w:rPr>
        <w:tab/>
      </w:r>
      <w:r w:rsidR="008A4022" w:rsidRPr="00EB66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EB66D5">
        <w:rPr>
          <w:rFonts w:ascii="Book Antiqua" w:hAnsi="Book Antiqua" w:cs="Tahoma"/>
          <w:lang w:val="es-ES_tradnl"/>
        </w:rPr>
        <w:t>sideración de la R. de la C.</w:t>
      </w:r>
      <w:r w:rsidR="00EB66D5" w:rsidRPr="00EB66D5">
        <w:rPr>
          <w:rFonts w:ascii="Book Antiqua" w:hAnsi="Book Antiqua" w:cs="Tahoma"/>
          <w:lang w:val="es-ES_tradnl"/>
        </w:rPr>
        <w:t xml:space="preserve"> </w:t>
      </w:r>
      <w:r w:rsidR="00CC3FD0">
        <w:rPr>
          <w:rFonts w:ascii="Book Antiqua" w:hAnsi="Book Antiqua" w:cs="Tahoma"/>
          <w:lang w:val="es-ES_tradnl"/>
        </w:rPr>
        <w:t>306</w:t>
      </w:r>
      <w:r w:rsidR="00FA5F29" w:rsidRPr="00EB66D5">
        <w:rPr>
          <w:rFonts w:ascii="Book Antiqua" w:hAnsi="Book Antiqua" w:cs="Tahoma"/>
          <w:lang w:val="es-ES_tradnl"/>
        </w:rPr>
        <w:t xml:space="preserve">, </w:t>
      </w:r>
      <w:r w:rsidR="00682883" w:rsidRPr="00EB66D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EB66D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EB66D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EB66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92EEA03" w:rsidR="008D4A0A" w:rsidRPr="00EB66D5" w:rsidRDefault="00BC1CB2" w:rsidP="00EB66D5">
      <w:pPr>
        <w:ind w:left="567" w:hanging="567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 w:cs="Tahoma"/>
          <w:lang w:val="es-ES_tradnl"/>
        </w:rPr>
        <w:t xml:space="preserve"> </w:t>
      </w:r>
      <w:r w:rsidR="00E86FF9" w:rsidRPr="00EB66D5">
        <w:rPr>
          <w:rFonts w:ascii="Book Antiqua" w:hAnsi="Book Antiqua" w:cs="Tahoma"/>
          <w:lang w:val="es-ES_tradnl"/>
        </w:rPr>
        <w:t>“</w:t>
      </w:r>
      <w:r w:rsidR="00E86FF9" w:rsidRPr="00EB66D5">
        <w:rPr>
          <w:rFonts w:ascii="Book Antiqua" w:hAnsi="Book Antiqua"/>
          <w:lang w:val="es-ES_tradnl"/>
        </w:rPr>
        <w:t>Para</w:t>
      </w:r>
      <w:r w:rsidR="00E86FF9" w:rsidRPr="00EB66D5">
        <w:rPr>
          <w:lang w:val="es-ES_tradnl"/>
        </w:rPr>
        <w:t xml:space="preserve"> </w:t>
      </w:r>
      <w:bookmarkStart w:id="0" w:name="_Hlk197434861"/>
      <w:r w:rsidR="00BB4DF7" w:rsidRPr="00ED1E2F">
        <w:rPr>
          <w:rFonts w:ascii="Book Antiqua" w:hAnsi="Book Antiqua"/>
          <w:lang w:val="es-ES_tradnl"/>
        </w:rPr>
        <w:t xml:space="preserve">ordenar a la Comisión </w:t>
      </w:r>
      <w:r w:rsidR="00BB4DF7" w:rsidRPr="00CE7585">
        <w:rPr>
          <w:rFonts w:ascii="Book Antiqua" w:hAnsi="Book Antiqua"/>
          <w:lang w:val="es-ES_tradnl"/>
        </w:rPr>
        <w:t>de Transportación e Infraestructura</w:t>
      </w:r>
      <w:r w:rsidR="00BB4DF7">
        <w:rPr>
          <w:rFonts w:ascii="Book Antiqua" w:hAnsi="Book Antiqua"/>
          <w:lang w:val="es-ES_tradnl"/>
        </w:rPr>
        <w:t xml:space="preserve"> de la Cámara de Representantes realizar una investigación exhaustiva sobre la implementación de la Carta de Derechos del Ciclista contenida en el Artículo 11.4 de la </w:t>
      </w:r>
      <w:r w:rsidR="00BB4DF7">
        <w:rPr>
          <w:rFonts w:ascii="Book Antiqua" w:hAnsi="Book Antiqua"/>
          <w:lang w:val="es-PR"/>
        </w:rPr>
        <w:t xml:space="preserve">Ley 22-2000, según enmendada, </w:t>
      </w:r>
      <w:r w:rsidR="00BB4DF7" w:rsidRPr="008B4908">
        <w:rPr>
          <w:rFonts w:ascii="Book Antiqua" w:hAnsi="Book Antiqua"/>
          <w:lang w:val="es-PR"/>
        </w:rPr>
        <w:t>“Ley de Vehículos y Tránsito de Puerto Rico”</w:t>
      </w:r>
      <w:r w:rsidR="00BB4DF7">
        <w:rPr>
          <w:rFonts w:ascii="Book Antiqua" w:hAnsi="Book Antiqua"/>
          <w:lang w:val="es-PR"/>
        </w:rPr>
        <w:t>, específicamente en aquello relacionado a la campaña educativa requerida en el mencionado Artículo</w:t>
      </w:r>
      <w:bookmarkEnd w:id="0"/>
      <w:r w:rsidR="00BB4DF7">
        <w:rPr>
          <w:rFonts w:ascii="Book Antiqua" w:hAnsi="Book Antiqua"/>
          <w:lang w:val="es-PR"/>
        </w:rPr>
        <w:t xml:space="preserve">; </w:t>
      </w:r>
      <w:r w:rsidR="00BB4DF7" w:rsidRPr="002C272F">
        <w:rPr>
          <w:rFonts w:ascii="Book Antiqua" w:hAnsi="Book Antiqua"/>
          <w:lang w:val="es-ES_tradnl"/>
        </w:rPr>
        <w:t>y para otros fines relacionados</w:t>
      </w:r>
      <w:r w:rsidR="00EB66D5" w:rsidRPr="00EB66D5">
        <w:rPr>
          <w:rFonts w:ascii="Book Antiqua" w:hAnsi="Book Antiqua" w:cs="Tahoma"/>
          <w:lang w:val="es-ES_tradnl"/>
        </w:rPr>
        <w:t>.</w:t>
      </w:r>
      <w:r w:rsidR="00FA5F29" w:rsidRPr="00EB66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EB66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EB66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EB66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EB66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152E331" w14:textId="5DE39299" w:rsidR="00EB66D5" w:rsidRPr="00EB66D5" w:rsidRDefault="00DE02EB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</w:t>
      </w:r>
      <w:r w:rsidR="00194744" w:rsidRPr="00EB66D5">
        <w:rPr>
          <w:rFonts w:ascii="Book Antiqua" w:hAnsi="Book Antiqua"/>
          <w:lang w:val="es-ES_tradnl"/>
        </w:rPr>
        <w:t xml:space="preserve"> Resolución de la Cámara Núm.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CC3FD0">
        <w:rPr>
          <w:rFonts w:ascii="Book Antiqua" w:hAnsi="Book Antiqua"/>
          <w:lang w:val="es-ES_tradnl"/>
        </w:rPr>
        <w:t>306</w:t>
      </w:r>
      <w:r w:rsidR="00EB66D5" w:rsidRPr="00EB66D5">
        <w:rPr>
          <w:rFonts w:ascii="Book Antiqua" w:hAnsi="Book Antiqua"/>
          <w:lang w:val="es-ES_tradnl"/>
        </w:rPr>
        <w:t xml:space="preserve"> </w:t>
      </w:r>
      <w:r w:rsidR="00DF3E6F" w:rsidRPr="00EB66D5">
        <w:rPr>
          <w:rFonts w:ascii="Book Antiqua" w:hAnsi="Book Antiqua"/>
          <w:lang w:val="es-ES_tradnl"/>
        </w:rPr>
        <w:t xml:space="preserve">tiene el propósito de </w:t>
      </w:r>
      <w:r w:rsidR="0036191B">
        <w:rPr>
          <w:rFonts w:ascii="Book Antiqua" w:hAnsi="Book Antiqua"/>
          <w:lang w:val="es-ES_tradnl"/>
        </w:rPr>
        <w:t xml:space="preserve">realizar una investigación exhaustiva sobre la implementación de la Carta de Derechos del Ciclista contenida en el Artículo 11.4 de la </w:t>
      </w:r>
      <w:r w:rsidR="0036191B">
        <w:rPr>
          <w:rFonts w:ascii="Book Antiqua" w:hAnsi="Book Antiqua"/>
          <w:lang w:val="es-PR"/>
        </w:rPr>
        <w:t xml:space="preserve">Ley 22-2000, según enmendada, </w:t>
      </w:r>
      <w:r w:rsidR="0036191B" w:rsidRPr="008B4908">
        <w:rPr>
          <w:rFonts w:ascii="Book Antiqua" w:hAnsi="Book Antiqua"/>
          <w:lang w:val="es-PR"/>
        </w:rPr>
        <w:t>“Ley de Vehículos y Tránsito de Puerto Rico”</w:t>
      </w:r>
      <w:r w:rsidR="0036191B">
        <w:rPr>
          <w:rFonts w:ascii="Book Antiqua" w:hAnsi="Book Antiqua"/>
          <w:lang w:val="es-PR"/>
        </w:rPr>
        <w:t xml:space="preserve">, específicamente en aquello relacionado a la campaña educativa requerida en el mencionado Artículo; </w:t>
      </w:r>
      <w:r w:rsidR="0036191B" w:rsidRPr="002C272F">
        <w:rPr>
          <w:rFonts w:ascii="Book Antiqua" w:hAnsi="Book Antiqua"/>
          <w:lang w:val="es-ES_tradnl"/>
        </w:rPr>
        <w:t>y para otros fines relacionados</w:t>
      </w:r>
      <w:r w:rsidR="00EB66D5" w:rsidRPr="00EB66D5">
        <w:rPr>
          <w:rFonts w:ascii="Book Antiqua" w:hAnsi="Book Antiqua"/>
          <w:lang w:val="es-ES_tradnl"/>
        </w:rPr>
        <w:t>.</w:t>
      </w:r>
    </w:p>
    <w:p w14:paraId="5FF44728" w14:textId="77777777" w:rsidR="00EB66D5" w:rsidRPr="00EB66D5" w:rsidRDefault="00EB66D5" w:rsidP="00EB66D5">
      <w:pPr>
        <w:jc w:val="both"/>
        <w:rPr>
          <w:rFonts w:ascii="Book Antiqua" w:hAnsi="Book Antiqua"/>
          <w:lang w:val="es-ES_tradnl"/>
        </w:rPr>
      </w:pPr>
    </w:p>
    <w:p w14:paraId="23E29D8D" w14:textId="08415CAB" w:rsidR="00EB66D5" w:rsidRDefault="00EB66D5" w:rsidP="00CE3203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En la Exposición de Motivos se </w:t>
      </w:r>
      <w:r w:rsidR="004B4AF9">
        <w:rPr>
          <w:rFonts w:ascii="Book Antiqua" w:hAnsi="Book Antiqua"/>
          <w:lang w:val="es-ES_tradnl"/>
        </w:rPr>
        <w:t xml:space="preserve">indica </w:t>
      </w:r>
      <w:r w:rsidR="00F618BC">
        <w:rPr>
          <w:rFonts w:ascii="Book Antiqua" w:hAnsi="Book Antiqua"/>
          <w:lang w:val="es-ES_tradnl"/>
        </w:rPr>
        <w:t>que</w:t>
      </w:r>
      <w:r w:rsidR="004B4AF9">
        <w:rPr>
          <w:rFonts w:ascii="Book Antiqua" w:hAnsi="Book Antiqua"/>
          <w:lang w:val="es-ES_tradnl"/>
        </w:rPr>
        <w:t xml:space="preserve"> </w:t>
      </w:r>
      <w:r w:rsidR="00F10FD9">
        <w:rPr>
          <w:rFonts w:ascii="Book Antiqua" w:hAnsi="Book Antiqua"/>
          <w:lang w:val="es-PR"/>
        </w:rPr>
        <w:t xml:space="preserve">la Ley 22-2000, según enmendada, </w:t>
      </w:r>
      <w:r w:rsidR="00F10FD9" w:rsidRPr="008B4908">
        <w:rPr>
          <w:rFonts w:ascii="Book Antiqua" w:hAnsi="Book Antiqua"/>
          <w:lang w:val="es-PR"/>
        </w:rPr>
        <w:t>“Ley de Vehículos y Tránsito de Puerto Rico”</w:t>
      </w:r>
      <w:r w:rsidR="00F10FD9">
        <w:rPr>
          <w:rFonts w:ascii="Book Antiqua" w:hAnsi="Book Antiqua"/>
          <w:lang w:val="es-PR"/>
        </w:rPr>
        <w:t xml:space="preserve">, contiene las </w:t>
      </w:r>
      <w:r w:rsidR="00F10FD9" w:rsidRPr="008B4908">
        <w:rPr>
          <w:rFonts w:ascii="Book Antiqua" w:hAnsi="Book Antiqua"/>
          <w:lang w:val="es-PR"/>
        </w:rPr>
        <w:t>disposiciones relativas al uso de bicicletas</w:t>
      </w:r>
      <w:r w:rsidR="00F10FD9">
        <w:rPr>
          <w:rFonts w:ascii="Book Antiqua" w:hAnsi="Book Antiqua"/>
          <w:lang w:val="es-PR"/>
        </w:rPr>
        <w:t>, y establece</w:t>
      </w:r>
      <w:r w:rsidR="00F10FD9" w:rsidRPr="008B4908">
        <w:rPr>
          <w:rFonts w:ascii="Book Antiqua" w:hAnsi="Book Antiqua"/>
          <w:lang w:val="es-PR"/>
        </w:rPr>
        <w:t xml:space="preserve"> como política pública del </w:t>
      </w:r>
      <w:r w:rsidR="00F10FD9" w:rsidRPr="00F339AD">
        <w:rPr>
          <w:rFonts w:ascii="Book Antiqua" w:hAnsi="Book Antiqua"/>
          <w:lang w:val="es-PR"/>
        </w:rPr>
        <w:t>Gobierno</w:t>
      </w:r>
      <w:r w:rsidR="00F10FD9">
        <w:rPr>
          <w:rFonts w:ascii="Book Antiqua" w:hAnsi="Book Antiqua"/>
          <w:lang w:val="es-PR"/>
        </w:rPr>
        <w:t xml:space="preserve"> </w:t>
      </w:r>
      <w:r w:rsidR="00F10FD9" w:rsidRPr="008B4908">
        <w:rPr>
          <w:rFonts w:ascii="Book Antiqua" w:hAnsi="Book Antiqua"/>
          <w:lang w:val="es-PR"/>
        </w:rPr>
        <w:t xml:space="preserve">de Puerto Rico proveer las condiciones que permitan y promuevan el uso y disfrute de la bicicleta como medio de </w:t>
      </w:r>
      <w:r w:rsidR="00F10FD9" w:rsidRPr="008B4908">
        <w:rPr>
          <w:rFonts w:ascii="Book Antiqua" w:hAnsi="Book Antiqua"/>
          <w:lang w:val="es-PR"/>
        </w:rPr>
        <w:lastRenderedPageBreak/>
        <w:t xml:space="preserve">transporte o recreación. </w:t>
      </w:r>
      <w:r w:rsidR="00F10FD9">
        <w:rPr>
          <w:rFonts w:ascii="Book Antiqua" w:hAnsi="Book Antiqua"/>
          <w:lang w:val="es-PR"/>
        </w:rPr>
        <w:t xml:space="preserve">Además, </w:t>
      </w:r>
      <w:r w:rsidR="00522059">
        <w:rPr>
          <w:rFonts w:ascii="Book Antiqua" w:hAnsi="Book Antiqua"/>
          <w:lang w:val="es-PR"/>
        </w:rPr>
        <w:t>se hace referencia a</w:t>
      </w:r>
      <w:r w:rsidR="00F10FD9">
        <w:rPr>
          <w:rFonts w:ascii="Book Antiqua" w:hAnsi="Book Antiqua"/>
          <w:lang w:val="es-PR"/>
        </w:rPr>
        <w:t xml:space="preserve"> la </w:t>
      </w:r>
      <w:r w:rsidR="00522059">
        <w:rPr>
          <w:rFonts w:ascii="Book Antiqua" w:hAnsi="Book Antiqua"/>
          <w:lang w:val="es-PR"/>
        </w:rPr>
        <w:t>S</w:t>
      </w:r>
      <w:r w:rsidR="00F10FD9">
        <w:rPr>
          <w:rFonts w:ascii="Book Antiqua" w:hAnsi="Book Antiqua"/>
          <w:lang w:val="es-PR"/>
        </w:rPr>
        <w:t>ección 11.04 se encuentra la Carta de Derechos de los Ciclista</w:t>
      </w:r>
      <w:r w:rsidR="00D97B5B">
        <w:rPr>
          <w:rFonts w:ascii="Book Antiqua" w:hAnsi="Book Antiqua"/>
          <w:lang w:val="es-PR"/>
        </w:rPr>
        <w:t>s; estableciendo</w:t>
      </w:r>
      <w:r w:rsidR="00F10FD9">
        <w:rPr>
          <w:rFonts w:ascii="Book Antiqua" w:hAnsi="Book Antiqua"/>
          <w:lang w:val="es-PR"/>
        </w:rPr>
        <w:t xml:space="preserve"> los derechos y obligaciones de los ciclistas y de los conductores con relación a los ciclistas. </w:t>
      </w:r>
      <w:r w:rsidR="00D97B5B">
        <w:rPr>
          <w:rFonts w:ascii="Book Antiqua" w:hAnsi="Book Antiqua"/>
          <w:lang w:val="es-PR"/>
        </w:rPr>
        <w:t>Dicho</w:t>
      </w:r>
      <w:r w:rsidR="00F10FD9">
        <w:rPr>
          <w:rFonts w:ascii="Book Antiqua" w:hAnsi="Book Antiqua"/>
          <w:lang w:val="es-PR"/>
        </w:rPr>
        <w:t xml:space="preserve"> Artículo</w:t>
      </w:r>
      <w:r w:rsidR="00D97B5B">
        <w:rPr>
          <w:rFonts w:ascii="Book Antiqua" w:hAnsi="Book Antiqua"/>
          <w:lang w:val="es-PR"/>
        </w:rPr>
        <w:t>,</w:t>
      </w:r>
      <w:r w:rsidR="00F10FD9">
        <w:rPr>
          <w:rFonts w:ascii="Book Antiqua" w:hAnsi="Book Antiqua"/>
          <w:lang w:val="es-PR"/>
        </w:rPr>
        <w:t xml:space="preserve"> a su vez, ordena que se lleve a cabo una campaña educativa sobre el contenido de este Capítulo</w:t>
      </w:r>
      <w:r w:rsidRPr="00EB66D5">
        <w:rPr>
          <w:rFonts w:ascii="Book Antiqua" w:hAnsi="Book Antiqua"/>
          <w:lang w:val="es-ES_tradnl"/>
        </w:rPr>
        <w:t>.</w:t>
      </w:r>
    </w:p>
    <w:p w14:paraId="2C73C71E" w14:textId="2C54A375" w:rsidR="00F10FD9" w:rsidRDefault="00CE3203" w:rsidP="00F10FD9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</w:p>
    <w:p w14:paraId="05E78832" w14:textId="6AFC0116" w:rsidR="00DF3E6F" w:rsidRPr="00EB66D5" w:rsidRDefault="00EB66D5" w:rsidP="007A342F">
      <w:pPr>
        <w:ind w:firstLine="708"/>
        <w:jc w:val="both"/>
        <w:rPr>
          <w:rFonts w:ascii="Book Antiqua" w:hAnsi="Book Antiqua"/>
          <w:lang w:val="es-ES_tradnl"/>
        </w:rPr>
      </w:pPr>
      <w:r w:rsidRPr="00EB66D5">
        <w:rPr>
          <w:rFonts w:ascii="Book Antiqua" w:hAnsi="Book Antiqua"/>
          <w:lang w:val="es-ES_tradnl"/>
        </w:rPr>
        <w:t>La medida responde al interés legítimo de velar por el cumplimiento de las disposiciones legales aplicables,</w:t>
      </w:r>
      <w:r w:rsidR="00555B12">
        <w:rPr>
          <w:rFonts w:ascii="Book Antiqua" w:hAnsi="Book Antiqua"/>
          <w:lang w:val="es-ES_tradnl"/>
        </w:rPr>
        <w:t xml:space="preserve"> y</w:t>
      </w:r>
      <w:r w:rsidRPr="00EB66D5">
        <w:rPr>
          <w:rFonts w:ascii="Book Antiqua" w:hAnsi="Book Antiqua"/>
          <w:lang w:val="es-ES_tradnl"/>
        </w:rPr>
        <w:t xml:space="preserve"> la protección </w:t>
      </w:r>
      <w:r w:rsidR="007A342F">
        <w:rPr>
          <w:rFonts w:ascii="Book Antiqua" w:hAnsi="Book Antiqua"/>
          <w:lang w:val="es-ES_tradnl"/>
        </w:rPr>
        <w:t>de los derechos de los ciclistas.</w:t>
      </w:r>
    </w:p>
    <w:p w14:paraId="7645A4CC" w14:textId="77777777" w:rsidR="006150BB" w:rsidRPr="00EB66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EB66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6FD67262" w:rsidR="001A02E8" w:rsidRPr="00EB66D5" w:rsidRDefault="001A02E8" w:rsidP="00555B1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EB66D5" w:rsidRPr="00EB66D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CC3FD0">
        <w:rPr>
          <w:rFonts w:ascii="Book Antiqua" w:hAnsi="Book Antiqua"/>
          <w:sz w:val="24"/>
          <w:szCs w:val="24"/>
          <w:lang w:val="es-ES_tradnl"/>
        </w:rPr>
        <w:t>306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, con las enmiendas </w:t>
      </w:r>
      <w:r w:rsidR="00555B12">
        <w:rPr>
          <w:rFonts w:ascii="Book Antiqua" w:hAnsi="Book Antiqua"/>
          <w:sz w:val="24"/>
          <w:szCs w:val="24"/>
          <w:lang w:val="es-ES_tradnl"/>
        </w:rPr>
        <w:t>incluidas</w:t>
      </w:r>
      <w:r w:rsidRPr="00EB66D5">
        <w:rPr>
          <w:rFonts w:ascii="Book Antiqua" w:hAnsi="Book Antiqua"/>
          <w:sz w:val="24"/>
          <w:szCs w:val="24"/>
          <w:lang w:val="es-ES_tradnl"/>
        </w:rPr>
        <w:t xml:space="preserve"> en el </w:t>
      </w:r>
      <w:proofErr w:type="spellStart"/>
      <w:r w:rsidRPr="00EB66D5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EB66D5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1D44C8E2" w:rsidR="006150BB" w:rsidRPr="00EB66D5" w:rsidRDefault="006150BB" w:rsidP="00EB66D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EB66D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EB66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6A09A075" w:rsidR="003F3D8D" w:rsidRPr="00F1466B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EB66D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EB66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EB66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EB66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EB66D5">
        <w:rPr>
          <w:rFonts w:ascii="Book Antiqua" w:hAnsi="Book Antiqua" w:cs="Tahoma"/>
          <w:lang w:val="es-ES_tradnl"/>
        </w:rPr>
        <w:br/>
      </w:r>
      <w:proofErr w:type="gramStart"/>
      <w:r w:rsidRPr="00EB66D5">
        <w:rPr>
          <w:rFonts w:ascii="Book Antiqua" w:hAnsi="Book Antiqua" w:cs="Tahoma"/>
          <w:lang w:val="es-ES_tradnl"/>
        </w:rPr>
        <w:t>Presidente</w:t>
      </w:r>
      <w:proofErr w:type="gramEnd"/>
      <w:r w:rsidRPr="00EB66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EB66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6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8980443">
    <w:abstractNumId w:val="6"/>
  </w:num>
  <w:num w:numId="2" w16cid:durableId="1855999475">
    <w:abstractNumId w:val="12"/>
  </w:num>
  <w:num w:numId="3" w16cid:durableId="1384256607">
    <w:abstractNumId w:val="3"/>
  </w:num>
  <w:num w:numId="4" w16cid:durableId="993291474">
    <w:abstractNumId w:val="1"/>
  </w:num>
  <w:num w:numId="5" w16cid:durableId="2014914003">
    <w:abstractNumId w:val="7"/>
  </w:num>
  <w:num w:numId="6" w16cid:durableId="1770810230">
    <w:abstractNumId w:val="4"/>
  </w:num>
  <w:num w:numId="7" w16cid:durableId="1165511502">
    <w:abstractNumId w:val="5"/>
  </w:num>
  <w:num w:numId="8" w16cid:durableId="1757555150">
    <w:abstractNumId w:val="8"/>
  </w:num>
  <w:num w:numId="9" w16cid:durableId="1584417663">
    <w:abstractNumId w:val="9"/>
  </w:num>
  <w:num w:numId="10" w16cid:durableId="1694919114">
    <w:abstractNumId w:val="0"/>
  </w:num>
  <w:num w:numId="11" w16cid:durableId="1485394271">
    <w:abstractNumId w:val="2"/>
  </w:num>
  <w:num w:numId="12" w16cid:durableId="144320806">
    <w:abstractNumId w:val="11"/>
  </w:num>
  <w:num w:numId="13" w16cid:durableId="1279681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6F67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023C2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3C0A"/>
    <w:rsid w:val="002A5F77"/>
    <w:rsid w:val="002C39FD"/>
    <w:rsid w:val="002E3557"/>
    <w:rsid w:val="00307416"/>
    <w:rsid w:val="003139DC"/>
    <w:rsid w:val="003222AE"/>
    <w:rsid w:val="00323444"/>
    <w:rsid w:val="00333864"/>
    <w:rsid w:val="00334D8A"/>
    <w:rsid w:val="003474D4"/>
    <w:rsid w:val="00350550"/>
    <w:rsid w:val="0036191B"/>
    <w:rsid w:val="0037030F"/>
    <w:rsid w:val="00373892"/>
    <w:rsid w:val="00377037"/>
    <w:rsid w:val="00382273"/>
    <w:rsid w:val="0038556D"/>
    <w:rsid w:val="003976DE"/>
    <w:rsid w:val="003B03D6"/>
    <w:rsid w:val="003C4B70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B4AF9"/>
    <w:rsid w:val="004C1BC6"/>
    <w:rsid w:val="004C217E"/>
    <w:rsid w:val="004C29A4"/>
    <w:rsid w:val="004C5BCE"/>
    <w:rsid w:val="004D42C2"/>
    <w:rsid w:val="004E3952"/>
    <w:rsid w:val="00506C85"/>
    <w:rsid w:val="00522059"/>
    <w:rsid w:val="00525E8D"/>
    <w:rsid w:val="0053434B"/>
    <w:rsid w:val="00555B12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A342F"/>
    <w:rsid w:val="007B31DC"/>
    <w:rsid w:val="007B6091"/>
    <w:rsid w:val="007C5A2C"/>
    <w:rsid w:val="007D7209"/>
    <w:rsid w:val="007F0E20"/>
    <w:rsid w:val="007F3B99"/>
    <w:rsid w:val="00812C0F"/>
    <w:rsid w:val="008171E8"/>
    <w:rsid w:val="008362B9"/>
    <w:rsid w:val="00846B7C"/>
    <w:rsid w:val="00851127"/>
    <w:rsid w:val="008854E8"/>
    <w:rsid w:val="008A194F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35857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1ABA"/>
    <w:rsid w:val="00A53279"/>
    <w:rsid w:val="00A55420"/>
    <w:rsid w:val="00A84A3B"/>
    <w:rsid w:val="00AB0555"/>
    <w:rsid w:val="00AB099D"/>
    <w:rsid w:val="00AC06D5"/>
    <w:rsid w:val="00AC35C0"/>
    <w:rsid w:val="00AD4702"/>
    <w:rsid w:val="00AE15AF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4DF7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17CD"/>
    <w:rsid w:val="00CC3FD0"/>
    <w:rsid w:val="00CC4336"/>
    <w:rsid w:val="00CC5AB6"/>
    <w:rsid w:val="00CD5EE6"/>
    <w:rsid w:val="00CD69DB"/>
    <w:rsid w:val="00CE3203"/>
    <w:rsid w:val="00D42962"/>
    <w:rsid w:val="00D42AEC"/>
    <w:rsid w:val="00D73B0E"/>
    <w:rsid w:val="00D77659"/>
    <w:rsid w:val="00D97B5B"/>
    <w:rsid w:val="00DA12F5"/>
    <w:rsid w:val="00DA3200"/>
    <w:rsid w:val="00DA5CFA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B66D5"/>
    <w:rsid w:val="00ED37CF"/>
    <w:rsid w:val="00EF143E"/>
    <w:rsid w:val="00EF4A8F"/>
    <w:rsid w:val="00F059A3"/>
    <w:rsid w:val="00F06902"/>
    <w:rsid w:val="00F10FD9"/>
    <w:rsid w:val="00F1466B"/>
    <w:rsid w:val="00F21532"/>
    <w:rsid w:val="00F226DF"/>
    <w:rsid w:val="00F27289"/>
    <w:rsid w:val="00F339AD"/>
    <w:rsid w:val="00F36705"/>
    <w:rsid w:val="00F533D4"/>
    <w:rsid w:val="00F618BC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138344E-183B-4E33-BA3A-F9984B9CE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2025-07-24T13:40:00Z</dcterms:created>
  <dcterms:modified xsi:type="dcterms:W3CDTF">2025-07-24T13:40:00Z</dcterms:modified>
</cp:coreProperties>
</file>