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5FCC3" w14:textId="4B06E9EF" w:rsidR="004B7857" w:rsidRPr="00121739" w:rsidRDefault="00BF385C" w:rsidP="004B7857">
      <w:pPr>
        <w:suppressLineNumbers/>
        <w:tabs>
          <w:tab w:val="center" w:pos="4680"/>
        </w:tabs>
        <w:spacing w:after="0" w:line="480" w:lineRule="auto"/>
        <w:jc w:val="center"/>
        <w:rPr>
          <w:rFonts w:ascii="Book Antiqua" w:eastAsia="Times New Roman" w:hAnsi="Book Antiqua" w:cs="Times New Roman"/>
          <w:sz w:val="28"/>
          <w:szCs w:val="28"/>
          <w:lang w:val="es-US"/>
        </w:rPr>
      </w:pPr>
      <w:r>
        <w:rPr>
          <w:rFonts w:ascii="Book Antiqua" w:eastAsia="Times New Roman" w:hAnsi="Book Antiqua" w:cs="Times New Roman"/>
          <w:sz w:val="28"/>
          <w:szCs w:val="28"/>
          <w:lang w:val="es-US"/>
        </w:rPr>
        <w:t>GOBIERNO</w:t>
      </w:r>
      <w:r w:rsidR="004B7857" w:rsidRPr="00121739">
        <w:rPr>
          <w:rFonts w:ascii="Book Antiqua" w:eastAsia="Times New Roman" w:hAnsi="Book Antiqua" w:cs="Times New Roman"/>
          <w:sz w:val="28"/>
          <w:szCs w:val="28"/>
          <w:lang w:val="es-US"/>
        </w:rPr>
        <w:t xml:space="preserve"> DE PUERTO RICO</w:t>
      </w:r>
    </w:p>
    <w:p w14:paraId="26DE8342" w14:textId="15B21322" w:rsidR="004B7857" w:rsidRPr="00121739" w:rsidRDefault="00BF385C" w:rsidP="004B7857">
      <w:pPr>
        <w:suppressLineNumbers/>
        <w:tabs>
          <w:tab w:val="left" w:pos="7560"/>
        </w:tabs>
        <w:spacing w:after="0" w:line="240" w:lineRule="auto"/>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20m</w:t>
      </w:r>
      <w:r w:rsidR="000A4AD2" w:rsidRPr="00121739">
        <w:rPr>
          <w:rFonts w:ascii="Book Antiqua" w:eastAsia="Times New Roman" w:hAnsi="Book Antiqua" w:cs="Times New Roman"/>
          <w:sz w:val="24"/>
          <w:szCs w:val="24"/>
          <w:lang w:val="es-US"/>
        </w:rPr>
        <w:t>a</w:t>
      </w:r>
      <w:r w:rsidR="004B7857" w:rsidRPr="00121739">
        <w:rPr>
          <w:rFonts w:ascii="Book Antiqua" w:eastAsia="Times New Roman" w:hAnsi="Book Antiqua" w:cs="Times New Roman"/>
          <w:sz w:val="24"/>
          <w:szCs w:val="24"/>
          <w:lang w:val="es-US"/>
        </w:rPr>
        <w:t>. Asamblea</w:t>
      </w:r>
      <w:r w:rsidR="004B7857" w:rsidRPr="00121739">
        <w:rPr>
          <w:rFonts w:ascii="Book Antiqua" w:eastAsia="Times New Roman" w:hAnsi="Book Antiqua" w:cs="Times New Roman"/>
          <w:sz w:val="24"/>
          <w:szCs w:val="24"/>
          <w:lang w:val="es-US"/>
        </w:rPr>
        <w:tab/>
        <w:t xml:space="preserve">     1ra. Sesión </w:t>
      </w:r>
    </w:p>
    <w:p w14:paraId="415E3A37" w14:textId="77777777" w:rsidR="004B7857" w:rsidRPr="00121739" w:rsidRDefault="004B7857" w:rsidP="004B7857">
      <w:pPr>
        <w:suppressLineNumbers/>
        <w:tabs>
          <w:tab w:val="left" w:pos="8100"/>
        </w:tabs>
        <w:spacing w:after="0" w:line="240" w:lineRule="auto"/>
        <w:rPr>
          <w:rFonts w:ascii="Book Antiqua" w:eastAsia="Times New Roman" w:hAnsi="Book Antiqua" w:cs="Times New Roman"/>
          <w:sz w:val="24"/>
          <w:szCs w:val="24"/>
          <w:lang w:val="es-US"/>
        </w:rPr>
      </w:pPr>
      <w:r w:rsidRPr="00121739">
        <w:rPr>
          <w:rFonts w:ascii="Book Antiqua" w:eastAsia="Times New Roman" w:hAnsi="Book Antiqua" w:cs="Times New Roman"/>
          <w:sz w:val="24"/>
          <w:szCs w:val="24"/>
          <w:lang w:val="es-US"/>
        </w:rPr>
        <w:t xml:space="preserve">          Legislativa</w:t>
      </w:r>
      <w:r w:rsidRPr="00121739">
        <w:rPr>
          <w:rFonts w:ascii="Book Antiqua" w:eastAsia="Times New Roman" w:hAnsi="Book Antiqua" w:cs="Times New Roman"/>
          <w:sz w:val="24"/>
          <w:szCs w:val="24"/>
          <w:lang w:val="es-US"/>
        </w:rPr>
        <w:tab/>
        <w:t xml:space="preserve">   Ordinaria</w:t>
      </w:r>
    </w:p>
    <w:p w14:paraId="56EC3582" w14:textId="77777777" w:rsidR="004B7857" w:rsidRPr="00121739" w:rsidRDefault="004B7857" w:rsidP="004B7857">
      <w:pPr>
        <w:suppressLineNumbers/>
        <w:spacing w:after="0" w:line="240" w:lineRule="auto"/>
        <w:rPr>
          <w:rFonts w:ascii="Book Antiqua" w:eastAsia="Times New Roman" w:hAnsi="Book Antiqua" w:cs="Times New Roman"/>
          <w:sz w:val="24"/>
          <w:szCs w:val="24"/>
          <w:lang w:val="es-US"/>
        </w:rPr>
      </w:pPr>
      <w:r w:rsidRPr="00121739">
        <w:rPr>
          <w:rFonts w:ascii="Book Antiqua" w:eastAsia="Times New Roman" w:hAnsi="Book Antiqua" w:cs="Times New Roman"/>
          <w:sz w:val="24"/>
          <w:szCs w:val="24"/>
          <w:lang w:val="es-US"/>
        </w:rPr>
        <w:t xml:space="preserve">       </w:t>
      </w:r>
    </w:p>
    <w:p w14:paraId="3ECD9AC9" w14:textId="77777777" w:rsidR="004B7857" w:rsidRPr="00121739" w:rsidRDefault="004B7857" w:rsidP="004B7857">
      <w:pPr>
        <w:suppressLineNumbers/>
        <w:spacing w:after="0" w:line="240" w:lineRule="auto"/>
        <w:jc w:val="center"/>
        <w:rPr>
          <w:rFonts w:ascii="Book Antiqua" w:eastAsia="Calibri" w:hAnsi="Book Antiqua" w:cs="Times New Roman"/>
          <w:b/>
          <w:sz w:val="36"/>
          <w:szCs w:val="36"/>
          <w:lang w:val="es-PR"/>
        </w:rPr>
      </w:pPr>
      <w:r w:rsidRPr="00121739">
        <w:rPr>
          <w:rFonts w:ascii="Book Antiqua" w:eastAsia="Calibri" w:hAnsi="Book Antiqua" w:cs="Times New Roman"/>
          <w:b/>
          <w:sz w:val="36"/>
          <w:szCs w:val="36"/>
          <w:lang w:val="es-PR"/>
        </w:rPr>
        <w:t>CÁMARA DE REPRESENTANTES</w:t>
      </w:r>
    </w:p>
    <w:p w14:paraId="70B7F3B3" w14:textId="77777777" w:rsidR="004B7857" w:rsidRPr="00215C0F" w:rsidRDefault="004B7857" w:rsidP="004B7857">
      <w:pPr>
        <w:suppressLineNumbers/>
        <w:spacing w:after="0" w:line="240" w:lineRule="auto"/>
        <w:jc w:val="center"/>
        <w:rPr>
          <w:rFonts w:ascii="Book Antiqua" w:eastAsia="Calibri" w:hAnsi="Book Antiqua" w:cs="Times New Roman"/>
          <w:sz w:val="24"/>
          <w:szCs w:val="24"/>
          <w:lang w:val="es-PR"/>
        </w:rPr>
      </w:pPr>
    </w:p>
    <w:p w14:paraId="5C0CFC55" w14:textId="742ADC4D" w:rsidR="004B7857" w:rsidRPr="00512984" w:rsidRDefault="004267CE" w:rsidP="004B7857">
      <w:pPr>
        <w:suppressLineNumbers/>
        <w:spacing w:after="0" w:line="240" w:lineRule="auto"/>
        <w:jc w:val="center"/>
        <w:rPr>
          <w:rFonts w:ascii="Book Antiqua" w:eastAsia="Calibri" w:hAnsi="Book Antiqua" w:cs="Times New Roman"/>
          <w:b/>
          <w:sz w:val="52"/>
          <w:szCs w:val="52"/>
          <w:lang w:val="es-PR"/>
        </w:rPr>
      </w:pPr>
      <w:r w:rsidRPr="00512984">
        <w:rPr>
          <w:rFonts w:ascii="Book Antiqua" w:eastAsia="Calibri" w:hAnsi="Book Antiqua" w:cs="Times New Roman"/>
          <w:b/>
          <w:sz w:val="52"/>
          <w:szCs w:val="52"/>
          <w:lang w:val="es-PR"/>
        </w:rPr>
        <w:t>R</w:t>
      </w:r>
      <w:r w:rsidR="004B7857" w:rsidRPr="00512984">
        <w:rPr>
          <w:rFonts w:ascii="Book Antiqua" w:eastAsia="Calibri" w:hAnsi="Book Antiqua" w:cs="Times New Roman"/>
          <w:b/>
          <w:sz w:val="52"/>
          <w:szCs w:val="52"/>
          <w:lang w:val="es-PR"/>
        </w:rPr>
        <w:t xml:space="preserve">. </w:t>
      </w:r>
      <w:r w:rsidR="005F72C8">
        <w:rPr>
          <w:rFonts w:ascii="Book Antiqua" w:eastAsia="Calibri" w:hAnsi="Book Antiqua" w:cs="Times New Roman"/>
          <w:b/>
          <w:sz w:val="52"/>
          <w:szCs w:val="52"/>
          <w:lang w:val="es-PR"/>
        </w:rPr>
        <w:t>Conc</w:t>
      </w:r>
      <w:r w:rsidR="004B7857" w:rsidRPr="00512984">
        <w:rPr>
          <w:rFonts w:ascii="Book Antiqua" w:eastAsia="Calibri" w:hAnsi="Book Antiqua" w:cs="Times New Roman"/>
          <w:b/>
          <w:sz w:val="52"/>
          <w:szCs w:val="52"/>
          <w:lang w:val="es-PR"/>
        </w:rPr>
        <w:t>.</w:t>
      </w:r>
      <w:r w:rsidR="00DF4D20" w:rsidRPr="00512984">
        <w:rPr>
          <w:rFonts w:ascii="Book Antiqua" w:eastAsia="Calibri" w:hAnsi="Book Antiqua" w:cs="Times New Roman"/>
          <w:b/>
          <w:sz w:val="52"/>
          <w:szCs w:val="52"/>
          <w:lang w:val="es-PR"/>
        </w:rPr>
        <w:t xml:space="preserve"> de la C.</w:t>
      </w:r>
      <w:r w:rsidR="003A6EED">
        <w:rPr>
          <w:rFonts w:ascii="Book Antiqua" w:eastAsia="Calibri" w:hAnsi="Book Antiqua" w:cs="Times New Roman"/>
          <w:b/>
          <w:sz w:val="52"/>
          <w:szCs w:val="52"/>
          <w:lang w:val="es-PR"/>
        </w:rPr>
        <w:t xml:space="preserve"> </w:t>
      </w:r>
      <w:r w:rsidR="004976CA">
        <w:rPr>
          <w:rFonts w:ascii="Book Antiqua" w:eastAsia="Calibri" w:hAnsi="Book Antiqua" w:cs="Times New Roman"/>
          <w:b/>
          <w:sz w:val="52"/>
          <w:szCs w:val="52"/>
          <w:lang w:val="es-PR"/>
        </w:rPr>
        <w:t>18</w:t>
      </w:r>
    </w:p>
    <w:p w14:paraId="79392EB4" w14:textId="77777777" w:rsidR="004B7857" w:rsidRPr="00121739" w:rsidRDefault="004B7857" w:rsidP="004B7857">
      <w:pPr>
        <w:suppressLineNumbers/>
        <w:spacing w:after="0" w:line="240" w:lineRule="auto"/>
        <w:jc w:val="center"/>
        <w:rPr>
          <w:rFonts w:ascii="Book Antiqua" w:eastAsia="Calibri" w:hAnsi="Book Antiqua" w:cs="Times New Roman"/>
          <w:sz w:val="24"/>
          <w:szCs w:val="24"/>
          <w:lang w:val="es-PR"/>
        </w:rPr>
      </w:pPr>
    </w:p>
    <w:p w14:paraId="21C1A9D3" w14:textId="5B35C7B1" w:rsidR="004B7857" w:rsidRPr="00121739" w:rsidRDefault="00FA0EAD" w:rsidP="004B7857">
      <w:pPr>
        <w:suppressLineNumbers/>
        <w:spacing w:after="0" w:line="240" w:lineRule="auto"/>
        <w:jc w:val="center"/>
        <w:rPr>
          <w:rFonts w:ascii="Book Antiqua" w:eastAsia="Calibri" w:hAnsi="Book Antiqua" w:cs="Times New Roman"/>
          <w:sz w:val="24"/>
          <w:szCs w:val="24"/>
          <w:lang w:val="es-PR"/>
        </w:rPr>
      </w:pPr>
      <w:r>
        <w:rPr>
          <w:rFonts w:ascii="Book Antiqua" w:eastAsia="Calibri" w:hAnsi="Book Antiqua" w:cs="Times New Roman"/>
          <w:sz w:val="24"/>
          <w:szCs w:val="24"/>
          <w:lang w:val="es-PR"/>
        </w:rPr>
        <w:t>9</w:t>
      </w:r>
      <w:r w:rsidR="00121739" w:rsidRPr="00121739">
        <w:rPr>
          <w:rFonts w:ascii="Book Antiqua" w:eastAsia="Calibri" w:hAnsi="Book Antiqua" w:cs="Times New Roman"/>
          <w:sz w:val="24"/>
          <w:szCs w:val="24"/>
          <w:lang w:val="es-PR"/>
        </w:rPr>
        <w:t xml:space="preserve"> DE </w:t>
      </w:r>
      <w:r w:rsidR="00BF385C">
        <w:rPr>
          <w:rFonts w:ascii="Book Antiqua" w:eastAsia="Calibri" w:hAnsi="Book Antiqua" w:cs="Times New Roman"/>
          <w:sz w:val="24"/>
          <w:szCs w:val="24"/>
          <w:lang w:val="es-PR"/>
        </w:rPr>
        <w:t>MAYO</w:t>
      </w:r>
      <w:r w:rsidR="00121739" w:rsidRPr="00121739">
        <w:rPr>
          <w:rFonts w:ascii="Book Antiqua" w:eastAsia="Calibri" w:hAnsi="Book Antiqua" w:cs="Times New Roman"/>
          <w:sz w:val="24"/>
          <w:szCs w:val="24"/>
          <w:lang w:val="es-PR"/>
        </w:rPr>
        <w:t xml:space="preserve"> DE 202</w:t>
      </w:r>
      <w:r w:rsidR="00BF385C">
        <w:rPr>
          <w:rFonts w:ascii="Book Antiqua" w:eastAsia="Calibri" w:hAnsi="Book Antiqua" w:cs="Times New Roman"/>
          <w:sz w:val="24"/>
          <w:szCs w:val="24"/>
          <w:lang w:val="es-PR"/>
        </w:rPr>
        <w:t>5</w:t>
      </w:r>
    </w:p>
    <w:p w14:paraId="1D9CD600" w14:textId="77777777" w:rsidR="004B7857" w:rsidRPr="00121739" w:rsidRDefault="004B7857" w:rsidP="004B7857">
      <w:pPr>
        <w:suppressLineNumbers/>
        <w:spacing w:after="0" w:line="240" w:lineRule="auto"/>
        <w:jc w:val="center"/>
        <w:rPr>
          <w:rFonts w:ascii="Book Antiqua" w:eastAsia="Calibri" w:hAnsi="Book Antiqua" w:cs="Times New Roman"/>
          <w:i/>
          <w:sz w:val="24"/>
          <w:szCs w:val="24"/>
          <w:lang w:val="es-PR"/>
        </w:rPr>
      </w:pPr>
    </w:p>
    <w:p w14:paraId="235EB4C0" w14:textId="0F509B3E" w:rsidR="00323788" w:rsidRDefault="00323788" w:rsidP="00BF385C">
      <w:pPr>
        <w:suppressLineNumbers/>
        <w:spacing w:after="0" w:line="240" w:lineRule="auto"/>
        <w:ind w:left="720" w:hanging="720"/>
        <w:jc w:val="center"/>
        <w:rPr>
          <w:rFonts w:ascii="Book Antiqua" w:hAnsi="Book Antiqua" w:cs="Times New Roman"/>
          <w:sz w:val="24"/>
          <w:szCs w:val="24"/>
          <w:lang w:val="es-ES_tradnl"/>
        </w:rPr>
      </w:pPr>
      <w:r>
        <w:rPr>
          <w:rFonts w:ascii="Book Antiqua" w:hAnsi="Book Antiqua" w:cs="Times New Roman"/>
          <w:sz w:val="24"/>
          <w:szCs w:val="24"/>
          <w:lang w:val="es-ES_tradnl"/>
        </w:rPr>
        <w:t xml:space="preserve">Presentada </w:t>
      </w:r>
      <w:r w:rsidR="00BF385C">
        <w:rPr>
          <w:rFonts w:ascii="Book Antiqua" w:hAnsi="Book Antiqua" w:cs="Times New Roman"/>
          <w:sz w:val="24"/>
          <w:szCs w:val="24"/>
          <w:lang w:val="es-ES_tradnl"/>
        </w:rPr>
        <w:t xml:space="preserve">por el </w:t>
      </w:r>
      <w:r w:rsidR="00154FC2">
        <w:rPr>
          <w:rFonts w:ascii="Book Antiqua" w:hAnsi="Book Antiqua" w:cs="Times New Roman"/>
          <w:sz w:val="24"/>
          <w:szCs w:val="24"/>
          <w:lang w:val="es-ES_tradnl"/>
        </w:rPr>
        <w:t>r</w:t>
      </w:r>
      <w:r w:rsidR="00BF385C">
        <w:rPr>
          <w:rFonts w:ascii="Book Antiqua" w:hAnsi="Book Antiqua" w:cs="Times New Roman"/>
          <w:sz w:val="24"/>
          <w:szCs w:val="24"/>
          <w:lang w:val="es-ES_tradnl"/>
        </w:rPr>
        <w:t>epresentante</w:t>
      </w:r>
      <w:r>
        <w:rPr>
          <w:rFonts w:ascii="Book Antiqua" w:hAnsi="Book Antiqua" w:cs="Times New Roman"/>
          <w:sz w:val="24"/>
          <w:szCs w:val="24"/>
          <w:lang w:val="es-ES_tradnl"/>
        </w:rPr>
        <w:t xml:space="preserve"> </w:t>
      </w:r>
      <w:r>
        <w:rPr>
          <w:rFonts w:ascii="Book Antiqua" w:hAnsi="Book Antiqua" w:cs="Times New Roman"/>
          <w:i/>
          <w:iCs/>
          <w:sz w:val="24"/>
          <w:szCs w:val="24"/>
          <w:lang w:val="es-ES_tradnl"/>
        </w:rPr>
        <w:t>Varela Fernández</w:t>
      </w:r>
    </w:p>
    <w:p w14:paraId="573BD84A" w14:textId="38580258" w:rsidR="00121739" w:rsidRPr="00323788" w:rsidRDefault="00121739" w:rsidP="00323788">
      <w:pPr>
        <w:suppressLineNumbers/>
        <w:spacing w:after="0" w:line="240" w:lineRule="auto"/>
        <w:ind w:left="720" w:hanging="720"/>
        <w:jc w:val="center"/>
        <w:rPr>
          <w:rFonts w:ascii="Book Antiqua" w:eastAsia="Calibri" w:hAnsi="Book Antiqua" w:cs="Times New Roman"/>
          <w:i/>
          <w:sz w:val="24"/>
          <w:szCs w:val="24"/>
          <w:lang w:val="es-ES_tradnl"/>
        </w:rPr>
      </w:pPr>
    </w:p>
    <w:p w14:paraId="2452AAC9" w14:textId="39B2CEA6" w:rsidR="004B7857" w:rsidRPr="00A533CF" w:rsidRDefault="004B7857" w:rsidP="004B7857">
      <w:pPr>
        <w:suppressLineNumbers/>
        <w:spacing w:after="0" w:line="240" w:lineRule="auto"/>
        <w:jc w:val="center"/>
        <w:rPr>
          <w:rFonts w:ascii="Book Antiqua" w:eastAsia="Calibri" w:hAnsi="Book Antiqua" w:cs="Times New Roman"/>
          <w:sz w:val="24"/>
          <w:szCs w:val="24"/>
          <w:lang w:val="es-US"/>
        </w:rPr>
      </w:pPr>
      <w:r w:rsidRPr="00A33477">
        <w:rPr>
          <w:rFonts w:ascii="Book Antiqua" w:eastAsia="Calibri" w:hAnsi="Book Antiqua" w:cs="Times New Roman"/>
          <w:sz w:val="24"/>
          <w:szCs w:val="24"/>
          <w:lang w:val="es-US"/>
        </w:rPr>
        <w:t>Re</w:t>
      </w:r>
      <w:r w:rsidR="00892D4F" w:rsidRPr="00A33477">
        <w:rPr>
          <w:rFonts w:ascii="Book Antiqua" w:eastAsia="Calibri" w:hAnsi="Book Antiqua" w:cs="Times New Roman"/>
          <w:sz w:val="24"/>
          <w:szCs w:val="24"/>
          <w:lang w:val="es-US"/>
        </w:rPr>
        <w:t>ferid</w:t>
      </w:r>
      <w:r w:rsidR="00063DD7" w:rsidRPr="00A33477">
        <w:rPr>
          <w:rFonts w:ascii="Book Antiqua" w:eastAsia="Calibri" w:hAnsi="Book Antiqua" w:cs="Times New Roman"/>
          <w:sz w:val="24"/>
          <w:szCs w:val="24"/>
          <w:lang w:val="es-US"/>
        </w:rPr>
        <w:t>a</w:t>
      </w:r>
      <w:r w:rsidR="00892D4F" w:rsidRPr="00A33477">
        <w:rPr>
          <w:rFonts w:ascii="Book Antiqua" w:eastAsia="Calibri" w:hAnsi="Book Antiqua" w:cs="Times New Roman"/>
          <w:sz w:val="24"/>
          <w:szCs w:val="24"/>
          <w:lang w:val="es-US"/>
        </w:rPr>
        <w:t xml:space="preserve"> a</w:t>
      </w:r>
      <w:r w:rsidR="00A33477" w:rsidRPr="00A33477">
        <w:rPr>
          <w:rFonts w:ascii="Book Antiqua" w:eastAsia="Calibri" w:hAnsi="Book Antiqua" w:cs="Times New Roman"/>
          <w:sz w:val="24"/>
          <w:szCs w:val="24"/>
          <w:lang w:val="es-US"/>
        </w:rPr>
        <w:t xml:space="preserve"> </w:t>
      </w:r>
      <w:r w:rsidR="003F37C7" w:rsidRPr="00A533CF">
        <w:rPr>
          <w:rFonts w:ascii="Book Antiqua" w:eastAsia="Calibri" w:hAnsi="Book Antiqua" w:cs="Times New Roman"/>
          <w:sz w:val="24"/>
          <w:szCs w:val="24"/>
          <w:lang w:val="es-US"/>
        </w:rPr>
        <w:t>la Comisión de Asuntos Internos</w:t>
      </w:r>
    </w:p>
    <w:p w14:paraId="126EB3AB" w14:textId="77777777" w:rsidR="004B7857" w:rsidRPr="00121739" w:rsidRDefault="004B7857" w:rsidP="004B7857">
      <w:pPr>
        <w:suppressLineNumbers/>
        <w:spacing w:after="0" w:line="240" w:lineRule="auto"/>
        <w:jc w:val="center"/>
        <w:rPr>
          <w:rFonts w:ascii="Book Antiqua" w:eastAsia="Calibri" w:hAnsi="Book Antiqua" w:cs="Times New Roman"/>
          <w:sz w:val="24"/>
          <w:szCs w:val="24"/>
          <w:lang w:val="es-US"/>
        </w:rPr>
      </w:pPr>
    </w:p>
    <w:p w14:paraId="3BEF6802" w14:textId="74D24835" w:rsidR="004B7857" w:rsidRPr="00215C0F" w:rsidRDefault="00E236EB" w:rsidP="00EC7FBE">
      <w:pPr>
        <w:suppressLineNumbers/>
        <w:spacing w:after="0" w:line="240" w:lineRule="auto"/>
        <w:jc w:val="center"/>
        <w:rPr>
          <w:rFonts w:ascii="Book Antiqua" w:eastAsia="Calibri" w:hAnsi="Book Antiqua" w:cs="Times New Roman"/>
          <w:b/>
          <w:sz w:val="28"/>
          <w:szCs w:val="24"/>
          <w:lang w:val="es-US"/>
        </w:rPr>
      </w:pPr>
      <w:r w:rsidRPr="00215C0F">
        <w:rPr>
          <w:rFonts w:ascii="Book Antiqua" w:eastAsia="Calibri" w:hAnsi="Book Antiqua" w:cs="Times New Roman"/>
          <w:b/>
          <w:sz w:val="28"/>
          <w:szCs w:val="24"/>
          <w:lang w:val="es-US"/>
        </w:rPr>
        <w:t>RESOLUCIÓ</w:t>
      </w:r>
      <w:r w:rsidR="00892D4F" w:rsidRPr="00215C0F">
        <w:rPr>
          <w:rFonts w:ascii="Book Antiqua" w:eastAsia="Calibri" w:hAnsi="Book Antiqua" w:cs="Times New Roman"/>
          <w:b/>
          <w:sz w:val="28"/>
          <w:szCs w:val="24"/>
          <w:lang w:val="es-US"/>
        </w:rPr>
        <w:t xml:space="preserve">N </w:t>
      </w:r>
      <w:r w:rsidR="00A944F9">
        <w:rPr>
          <w:rFonts w:ascii="Book Antiqua" w:eastAsia="Calibri" w:hAnsi="Book Antiqua" w:cs="Times New Roman"/>
          <w:b/>
          <w:sz w:val="28"/>
          <w:szCs w:val="24"/>
          <w:lang w:val="es-US"/>
        </w:rPr>
        <w:t>CONCURRENTE</w:t>
      </w:r>
    </w:p>
    <w:p w14:paraId="6A75FA1A" w14:textId="77777777" w:rsidR="004B7857" w:rsidRPr="00121739" w:rsidRDefault="004B7857" w:rsidP="00EC7FBE">
      <w:pPr>
        <w:suppressLineNumbers/>
        <w:spacing w:after="0" w:line="240" w:lineRule="auto"/>
        <w:jc w:val="center"/>
        <w:rPr>
          <w:rFonts w:ascii="Book Antiqua" w:eastAsia="Calibri" w:hAnsi="Book Antiqua" w:cs="Times New Roman"/>
          <w:b/>
          <w:sz w:val="24"/>
          <w:szCs w:val="24"/>
          <w:lang w:val="es-US"/>
        </w:rPr>
      </w:pPr>
    </w:p>
    <w:p w14:paraId="4B08AE6E" w14:textId="0B43F083" w:rsidR="004B7857" w:rsidRPr="00121739" w:rsidRDefault="004B7857" w:rsidP="00EC7FBE">
      <w:pPr>
        <w:suppressLineNumbers/>
        <w:spacing w:after="0" w:line="240" w:lineRule="auto"/>
        <w:ind w:left="600" w:hanging="600"/>
        <w:jc w:val="both"/>
        <w:rPr>
          <w:rFonts w:ascii="Book Antiqua" w:eastAsia="Times New Roman" w:hAnsi="Book Antiqua" w:cs="Times New Roman"/>
          <w:sz w:val="24"/>
          <w:szCs w:val="24"/>
          <w:lang w:val="es-US"/>
        </w:rPr>
      </w:pPr>
      <w:r w:rsidRPr="00121739">
        <w:rPr>
          <w:rFonts w:ascii="Book Antiqua" w:eastAsia="Times New Roman" w:hAnsi="Book Antiqua" w:cs="Times New Roman"/>
          <w:sz w:val="24"/>
          <w:szCs w:val="24"/>
          <w:lang w:val="es-US"/>
        </w:rPr>
        <w:t xml:space="preserve">Para </w:t>
      </w:r>
      <w:r w:rsidR="00892D4F" w:rsidRPr="00121739">
        <w:rPr>
          <w:rFonts w:ascii="Book Antiqua" w:eastAsia="Times New Roman" w:hAnsi="Book Antiqua" w:cs="Times New Roman"/>
          <w:sz w:val="24"/>
          <w:szCs w:val="24"/>
          <w:lang w:val="es-US"/>
        </w:rPr>
        <w:t xml:space="preserve">crear </w:t>
      </w:r>
      <w:r w:rsidR="000A4AD2" w:rsidRPr="00121739">
        <w:rPr>
          <w:rFonts w:ascii="Book Antiqua" w:eastAsia="Times New Roman" w:hAnsi="Book Antiqua" w:cs="Times New Roman"/>
          <w:sz w:val="24"/>
          <w:szCs w:val="24"/>
          <w:lang w:val="es-US"/>
        </w:rPr>
        <w:t>la Comisión Especial Conjunta de la Asamblea Legislativa de Puerto Rico sobre Reforma Electoral</w:t>
      </w:r>
      <w:r w:rsidR="00892D4F" w:rsidRPr="00121739">
        <w:rPr>
          <w:rFonts w:ascii="Book Antiqua" w:eastAsia="Times New Roman" w:hAnsi="Book Antiqua" w:cs="Times New Roman"/>
          <w:sz w:val="24"/>
          <w:szCs w:val="24"/>
          <w:lang w:val="es-US"/>
        </w:rPr>
        <w:t>, fijar sus deberes, funciones y facultades</w:t>
      </w:r>
      <w:r w:rsidR="000A4AD2" w:rsidRPr="00121739">
        <w:rPr>
          <w:rFonts w:ascii="Book Antiqua" w:eastAsia="Times New Roman" w:hAnsi="Book Antiqua" w:cs="Times New Roman"/>
          <w:sz w:val="24"/>
          <w:szCs w:val="24"/>
          <w:lang w:val="es-US"/>
        </w:rPr>
        <w:t>, asignar fondos, establecer su vigencia y</w:t>
      </w:r>
      <w:r w:rsidR="00892D4F" w:rsidRPr="00121739">
        <w:rPr>
          <w:rFonts w:ascii="Book Antiqua" w:eastAsia="Times New Roman" w:hAnsi="Book Antiqua" w:cs="Times New Roman"/>
          <w:sz w:val="24"/>
          <w:szCs w:val="24"/>
          <w:lang w:val="es-US"/>
        </w:rPr>
        <w:t xml:space="preserve"> disponer su organización.</w:t>
      </w:r>
    </w:p>
    <w:p w14:paraId="27189CE3" w14:textId="77777777" w:rsidR="004B7857" w:rsidRPr="00EC7FBE" w:rsidRDefault="004B7857" w:rsidP="00EC7FBE">
      <w:pPr>
        <w:suppressLineNumbers/>
        <w:spacing w:after="0" w:line="240" w:lineRule="auto"/>
        <w:ind w:left="600" w:hanging="600"/>
        <w:jc w:val="both"/>
        <w:rPr>
          <w:rFonts w:ascii="Book Antiqua" w:eastAsia="Times New Roman" w:hAnsi="Book Antiqua" w:cs="Times New Roman"/>
          <w:sz w:val="24"/>
          <w:szCs w:val="24"/>
          <w:lang w:val="es-US"/>
        </w:rPr>
      </w:pPr>
    </w:p>
    <w:p w14:paraId="76476BA8" w14:textId="77777777" w:rsidR="004B7857" w:rsidRPr="00A533CF" w:rsidRDefault="004B7857" w:rsidP="00EC7FBE">
      <w:pPr>
        <w:suppressLineNumbers/>
        <w:spacing w:after="0" w:line="240" w:lineRule="auto"/>
        <w:jc w:val="center"/>
        <w:rPr>
          <w:rFonts w:ascii="Book Antiqua" w:eastAsia="Times New Roman" w:hAnsi="Book Antiqua" w:cs="Times New Roman"/>
          <w:sz w:val="24"/>
          <w:szCs w:val="28"/>
          <w:lang w:val="es-US"/>
        </w:rPr>
      </w:pPr>
      <w:r w:rsidRPr="00A533CF">
        <w:rPr>
          <w:rFonts w:ascii="Book Antiqua" w:eastAsia="Times New Roman" w:hAnsi="Book Antiqua" w:cs="Times New Roman"/>
          <w:sz w:val="24"/>
          <w:szCs w:val="28"/>
          <w:lang w:val="es-US"/>
        </w:rPr>
        <w:t>EXPOSICIÓN DE MOTIVOS</w:t>
      </w:r>
    </w:p>
    <w:p w14:paraId="439330B2" w14:textId="6A5E341A" w:rsidR="00CB4360" w:rsidRPr="00EC7FBE" w:rsidRDefault="00AA52FB" w:rsidP="00EC7FBE">
      <w:pPr>
        <w:suppressLineNumbers/>
        <w:tabs>
          <w:tab w:val="left" w:pos="344"/>
        </w:tabs>
        <w:spacing w:after="0" w:line="240" w:lineRule="auto"/>
        <w:rPr>
          <w:rFonts w:ascii="Book Antiqua" w:eastAsia="Times New Roman" w:hAnsi="Book Antiqua" w:cs="Times New Roman"/>
          <w:sz w:val="24"/>
          <w:szCs w:val="24"/>
          <w:lang w:val="es-US"/>
        </w:rPr>
      </w:pPr>
      <w:r w:rsidRPr="00512984">
        <w:rPr>
          <w:rFonts w:ascii="Book Antiqua" w:eastAsia="Times New Roman" w:hAnsi="Book Antiqua" w:cs="Times New Roman"/>
          <w:lang w:val="es-US"/>
        </w:rPr>
        <w:tab/>
      </w:r>
    </w:p>
    <w:p w14:paraId="04E78DAA" w14:textId="77777777" w:rsidR="00CB4360" w:rsidRDefault="00CB4360" w:rsidP="00EC7FBE">
      <w:pPr>
        <w:spacing w:after="0" w:line="240" w:lineRule="auto"/>
        <w:ind w:firstLine="540"/>
        <w:jc w:val="both"/>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El derecho al sufragio es el elemento más sagrado en nuestro ordenamiento jurídico.  La Constitución del Estado Libre Asociado de Puerto Rico establece claramente, en la Sección 2 de su Carta de Derechos, Artículo II, que “(l)as leyes garantizarán la expresión de la voluntad del pueblo mediante el sufragio universal, igual, directo y secreto, y protegerán al ciudadano contra toda coacción en el ejercicio de la prerrogativa electoral.”</w:t>
      </w:r>
    </w:p>
    <w:p w14:paraId="4DE70545" w14:textId="77777777" w:rsidR="00EC7FBE" w:rsidRDefault="00EC7FBE" w:rsidP="00EC7FBE">
      <w:pPr>
        <w:spacing w:after="0" w:line="240" w:lineRule="auto"/>
        <w:ind w:firstLine="540"/>
        <w:jc w:val="both"/>
        <w:rPr>
          <w:rFonts w:ascii="Book Antiqua" w:eastAsia="Times New Roman" w:hAnsi="Book Antiqua" w:cs="Times New Roman"/>
          <w:sz w:val="24"/>
          <w:szCs w:val="24"/>
          <w:lang w:val="es-US"/>
        </w:rPr>
      </w:pPr>
    </w:p>
    <w:p w14:paraId="42326303" w14:textId="7A231A20" w:rsidR="00CB4360" w:rsidRDefault="00CB4360" w:rsidP="00EC7FBE">
      <w:pPr>
        <w:spacing w:after="0" w:line="240" w:lineRule="auto"/>
        <w:ind w:firstLine="540"/>
        <w:jc w:val="both"/>
        <w:rPr>
          <w:rFonts w:ascii="Book Antiqua" w:hAnsi="Book Antiqua"/>
          <w:sz w:val="24"/>
          <w:szCs w:val="24"/>
          <w:lang w:val="es-PR"/>
        </w:rPr>
      </w:pPr>
      <w:r>
        <w:rPr>
          <w:rFonts w:ascii="Book Antiqua" w:eastAsia="Times New Roman" w:hAnsi="Book Antiqua" w:cs="Times New Roman"/>
          <w:sz w:val="24"/>
          <w:szCs w:val="24"/>
          <w:lang w:val="es-US"/>
        </w:rPr>
        <w:t xml:space="preserve">En nuestro País, luego de intensos debates políticos y complejos procesos electorales, cuyo punto álgido se alcanzó con la celebración de las elecciones generales de 1980, </w:t>
      </w:r>
      <w:r w:rsidRPr="00CB4360">
        <w:rPr>
          <w:rFonts w:ascii="Book Antiqua" w:hAnsi="Book Antiqua"/>
          <w:sz w:val="24"/>
          <w:szCs w:val="24"/>
          <w:lang w:val="es-PR"/>
        </w:rPr>
        <w:t xml:space="preserve">con el saldo de una elección cerrada, la Legislatura y un Poder Ejecutivo de diferentes denominaciones políticas y señalamientos de irregularidades en el </w:t>
      </w:r>
      <w:r w:rsidR="00D94926">
        <w:rPr>
          <w:rFonts w:ascii="Book Antiqua" w:hAnsi="Book Antiqua"/>
          <w:sz w:val="24"/>
          <w:szCs w:val="24"/>
          <w:lang w:val="es-PR"/>
        </w:rPr>
        <w:t>proceso</w:t>
      </w:r>
      <w:r w:rsidRPr="00CB4360">
        <w:rPr>
          <w:rFonts w:ascii="Book Antiqua" w:hAnsi="Book Antiqua"/>
          <w:sz w:val="24"/>
          <w:szCs w:val="24"/>
          <w:lang w:val="es-PR"/>
        </w:rPr>
        <w:t>, se acordó la revisión de la</w:t>
      </w:r>
      <w:r>
        <w:rPr>
          <w:rFonts w:ascii="Book Antiqua" w:hAnsi="Book Antiqua"/>
          <w:sz w:val="24"/>
          <w:szCs w:val="24"/>
          <w:lang w:val="es-PR"/>
        </w:rPr>
        <w:t xml:space="preserve"> ley electoral vigente en ese entonces</w:t>
      </w:r>
      <w:r w:rsidRPr="00CB4360">
        <w:rPr>
          <w:rFonts w:ascii="Book Antiqua" w:hAnsi="Book Antiqua"/>
          <w:sz w:val="24"/>
          <w:szCs w:val="24"/>
          <w:lang w:val="es-PR"/>
        </w:rPr>
        <w:t xml:space="preserve"> </w:t>
      </w:r>
      <w:r>
        <w:rPr>
          <w:rFonts w:ascii="Book Antiqua" w:hAnsi="Book Antiqua"/>
          <w:sz w:val="24"/>
          <w:szCs w:val="24"/>
          <w:lang w:val="es-PR"/>
        </w:rPr>
        <w:t>(</w:t>
      </w:r>
      <w:r w:rsidRPr="00CB4360">
        <w:rPr>
          <w:rFonts w:ascii="Book Antiqua" w:hAnsi="Book Antiqua"/>
          <w:sz w:val="24"/>
          <w:szCs w:val="24"/>
          <w:lang w:val="es-PR"/>
        </w:rPr>
        <w:t xml:space="preserve">Ley 4 de </w:t>
      </w:r>
      <w:r>
        <w:rPr>
          <w:rFonts w:ascii="Book Antiqua" w:hAnsi="Book Antiqua"/>
          <w:sz w:val="24"/>
          <w:szCs w:val="24"/>
          <w:lang w:val="es-PR"/>
        </w:rPr>
        <w:t xml:space="preserve">20 de diciembre de </w:t>
      </w:r>
      <w:r w:rsidRPr="00CB4360">
        <w:rPr>
          <w:rFonts w:ascii="Book Antiqua" w:hAnsi="Book Antiqua"/>
          <w:sz w:val="24"/>
          <w:szCs w:val="24"/>
          <w:lang w:val="es-PR"/>
        </w:rPr>
        <w:t>1977</w:t>
      </w:r>
      <w:r>
        <w:rPr>
          <w:rFonts w:ascii="Book Antiqua" w:hAnsi="Book Antiqua"/>
          <w:sz w:val="24"/>
          <w:szCs w:val="24"/>
          <w:lang w:val="es-PR"/>
        </w:rPr>
        <w:t>)</w:t>
      </w:r>
      <w:r w:rsidRPr="00CB4360">
        <w:rPr>
          <w:rFonts w:ascii="Book Antiqua" w:hAnsi="Book Antiqua"/>
          <w:sz w:val="24"/>
          <w:szCs w:val="24"/>
          <w:lang w:val="es-PR"/>
        </w:rPr>
        <w:t xml:space="preserve"> mediante la aprobación de la Resolución Conjunta N</w:t>
      </w:r>
      <w:r>
        <w:rPr>
          <w:rFonts w:ascii="Book Antiqua" w:hAnsi="Book Antiqua"/>
          <w:sz w:val="24"/>
          <w:szCs w:val="24"/>
          <w:lang w:val="es-PR"/>
        </w:rPr>
        <w:t xml:space="preserve">úm. 21 del 2 de julio de 1981. </w:t>
      </w:r>
      <w:r w:rsidRPr="00CB4360">
        <w:rPr>
          <w:rFonts w:ascii="Book Antiqua" w:hAnsi="Book Antiqua"/>
          <w:sz w:val="24"/>
          <w:szCs w:val="24"/>
          <w:lang w:val="es-PR"/>
        </w:rPr>
        <w:t xml:space="preserve">La misma autorizó la creación de una Comisión Especial para la Revisión del Proceso Electoral, la cual estuvo compuesta por los </w:t>
      </w:r>
      <w:r>
        <w:rPr>
          <w:rFonts w:ascii="Book Antiqua" w:hAnsi="Book Antiqua"/>
          <w:sz w:val="24"/>
          <w:szCs w:val="24"/>
          <w:lang w:val="es-PR"/>
        </w:rPr>
        <w:t>c</w:t>
      </w:r>
      <w:r w:rsidRPr="00CB4360">
        <w:rPr>
          <w:rFonts w:ascii="Book Antiqua" w:hAnsi="Book Antiqua"/>
          <w:sz w:val="24"/>
          <w:szCs w:val="24"/>
          <w:lang w:val="es-PR"/>
        </w:rPr>
        <w:t xml:space="preserve">omisionados </w:t>
      </w:r>
      <w:r>
        <w:rPr>
          <w:rFonts w:ascii="Book Antiqua" w:hAnsi="Book Antiqua"/>
          <w:sz w:val="24"/>
          <w:szCs w:val="24"/>
          <w:lang w:val="es-PR"/>
        </w:rPr>
        <w:t>e</w:t>
      </w:r>
      <w:r w:rsidRPr="00CB4360">
        <w:rPr>
          <w:rFonts w:ascii="Book Antiqua" w:hAnsi="Book Antiqua"/>
          <w:sz w:val="24"/>
          <w:szCs w:val="24"/>
          <w:lang w:val="es-PR"/>
        </w:rPr>
        <w:t xml:space="preserve">lectorales de los tres partidos políticos que prevalecieron en las elecciones del año 1980.  Casi un año después, el 17 de mayo de 1982, esa Comisión revisora publicó su informe, el cual dio paso a la Ley Núm. 35 de 3 de octubre de 1983, que enmendó la </w:t>
      </w:r>
      <w:r w:rsidR="00D94926">
        <w:rPr>
          <w:rFonts w:ascii="Book Antiqua" w:hAnsi="Book Antiqua"/>
          <w:sz w:val="24"/>
          <w:szCs w:val="24"/>
          <w:lang w:val="es-PR"/>
        </w:rPr>
        <w:t xml:space="preserve">Ley Electoral vigente </w:t>
      </w:r>
      <w:r w:rsidRPr="00CB4360">
        <w:rPr>
          <w:rFonts w:ascii="Book Antiqua" w:hAnsi="Book Antiqua"/>
          <w:sz w:val="24"/>
          <w:szCs w:val="24"/>
          <w:lang w:val="es-PR"/>
        </w:rPr>
        <w:t xml:space="preserve">entonces.   Este esfuerzo se caracterizó por el logro de consensos básicos, así como una innovadora propuesta de </w:t>
      </w:r>
      <w:r w:rsidRPr="00CB4360">
        <w:rPr>
          <w:rFonts w:ascii="Book Antiqua" w:hAnsi="Book Antiqua"/>
          <w:sz w:val="24"/>
          <w:szCs w:val="24"/>
          <w:lang w:val="es-PR"/>
        </w:rPr>
        <w:lastRenderedPageBreak/>
        <w:t xml:space="preserve">ordenamiento electoral, basada en el principio de “balance electoral” o fiscalización y supervisión cruzada, una reingeniería del proceso y mayores garantías de protección del derecho constitucional al voto.  </w:t>
      </w:r>
      <w:r w:rsidR="00D94926">
        <w:rPr>
          <w:rFonts w:ascii="Book Antiqua" w:hAnsi="Book Antiqua"/>
          <w:sz w:val="24"/>
          <w:szCs w:val="24"/>
          <w:lang w:val="es-PR"/>
        </w:rPr>
        <w:t>Los cambios logrados convirtieron</w:t>
      </w:r>
      <w:r w:rsidRPr="00CB4360">
        <w:rPr>
          <w:rFonts w:ascii="Book Antiqua" w:hAnsi="Book Antiqua"/>
          <w:sz w:val="24"/>
          <w:szCs w:val="24"/>
          <w:lang w:val="es-PR"/>
        </w:rPr>
        <w:t xml:space="preserve"> el </w:t>
      </w:r>
      <w:r>
        <w:rPr>
          <w:rFonts w:ascii="Book Antiqua" w:hAnsi="Book Antiqua"/>
          <w:sz w:val="24"/>
          <w:szCs w:val="24"/>
          <w:lang w:val="es-PR"/>
        </w:rPr>
        <w:t>s</w:t>
      </w:r>
      <w:r w:rsidRPr="00CB4360">
        <w:rPr>
          <w:rFonts w:ascii="Book Antiqua" w:hAnsi="Book Antiqua"/>
          <w:sz w:val="24"/>
          <w:szCs w:val="24"/>
          <w:lang w:val="es-PR"/>
        </w:rPr>
        <w:t xml:space="preserve">istema </w:t>
      </w:r>
      <w:r>
        <w:rPr>
          <w:rFonts w:ascii="Book Antiqua" w:hAnsi="Book Antiqua"/>
          <w:sz w:val="24"/>
          <w:szCs w:val="24"/>
          <w:lang w:val="es-PR"/>
        </w:rPr>
        <w:t>e</w:t>
      </w:r>
      <w:r w:rsidRPr="00CB4360">
        <w:rPr>
          <w:rFonts w:ascii="Book Antiqua" w:hAnsi="Book Antiqua"/>
          <w:sz w:val="24"/>
          <w:szCs w:val="24"/>
          <w:lang w:val="es-PR"/>
        </w:rPr>
        <w:t>lectoral de Puerto Rico en uno de los más estudiados y señalados positivamente en el mundo como referencia obligada de cómo se maneja correctamente un proceso electoral.</w:t>
      </w:r>
    </w:p>
    <w:p w14:paraId="5BF04E7D" w14:textId="77777777" w:rsidR="00EC7FBE" w:rsidRDefault="00EC7FBE" w:rsidP="00EC7FBE">
      <w:pPr>
        <w:spacing w:after="0" w:line="240" w:lineRule="auto"/>
        <w:ind w:firstLine="540"/>
        <w:jc w:val="both"/>
        <w:rPr>
          <w:rFonts w:ascii="Book Antiqua" w:eastAsia="Times New Roman" w:hAnsi="Book Antiqua" w:cs="Times New Roman"/>
          <w:sz w:val="24"/>
          <w:szCs w:val="24"/>
          <w:lang w:val="es-US"/>
        </w:rPr>
      </w:pPr>
    </w:p>
    <w:p w14:paraId="220D4308" w14:textId="663839C1" w:rsidR="00CB4360" w:rsidRDefault="00CB4360" w:rsidP="00EC7FBE">
      <w:pPr>
        <w:spacing w:after="0" w:line="240" w:lineRule="auto"/>
        <w:ind w:firstLine="540"/>
        <w:jc w:val="both"/>
        <w:rPr>
          <w:rFonts w:ascii="Book Antiqua" w:hAnsi="Book Antiqua"/>
          <w:sz w:val="24"/>
          <w:szCs w:val="24"/>
          <w:lang w:val="es-PR"/>
        </w:rPr>
      </w:pPr>
      <w:r w:rsidRPr="00CB4360">
        <w:rPr>
          <w:rFonts w:ascii="Book Antiqua" w:hAnsi="Book Antiqua"/>
          <w:sz w:val="24"/>
          <w:szCs w:val="24"/>
          <w:lang w:val="es-PR"/>
        </w:rPr>
        <w:t xml:space="preserve">No obstante estos adelantos, frutos del consenso, </w:t>
      </w:r>
      <w:r w:rsidR="00D94926">
        <w:rPr>
          <w:rFonts w:ascii="Book Antiqua" w:hAnsi="Book Antiqua"/>
          <w:sz w:val="24"/>
          <w:szCs w:val="24"/>
          <w:lang w:val="es-PR"/>
        </w:rPr>
        <w:t xml:space="preserve">y a la luz de los cambios introducidos al proceso en el año 2020, </w:t>
      </w:r>
      <w:r w:rsidRPr="00CB4360">
        <w:rPr>
          <w:rFonts w:ascii="Book Antiqua" w:hAnsi="Book Antiqua"/>
          <w:sz w:val="24"/>
          <w:szCs w:val="24"/>
          <w:lang w:val="es-PR"/>
        </w:rPr>
        <w:t xml:space="preserve">el país se encuentra nuevamente en la </w:t>
      </w:r>
      <w:r w:rsidR="00D94926">
        <w:rPr>
          <w:rFonts w:ascii="Book Antiqua" w:hAnsi="Book Antiqua"/>
          <w:sz w:val="24"/>
          <w:szCs w:val="24"/>
          <w:lang w:val="es-PR"/>
        </w:rPr>
        <w:t>necesidad</w:t>
      </w:r>
      <w:r w:rsidRPr="00CB4360">
        <w:rPr>
          <w:rFonts w:ascii="Book Antiqua" w:hAnsi="Book Antiqua"/>
          <w:sz w:val="24"/>
          <w:szCs w:val="24"/>
          <w:lang w:val="es-PR"/>
        </w:rPr>
        <w:t xml:space="preserve"> de revisar su ordenamiento electoral.  </w:t>
      </w:r>
    </w:p>
    <w:p w14:paraId="729A34C7" w14:textId="77777777" w:rsidR="00EC7FBE" w:rsidRDefault="00EC7FBE" w:rsidP="00EC7FBE">
      <w:pPr>
        <w:spacing w:after="0" w:line="240" w:lineRule="auto"/>
        <w:ind w:firstLine="540"/>
        <w:jc w:val="both"/>
        <w:rPr>
          <w:rFonts w:ascii="Book Antiqua" w:eastAsia="Times New Roman" w:hAnsi="Book Antiqua" w:cs="Times New Roman"/>
          <w:sz w:val="24"/>
          <w:szCs w:val="24"/>
          <w:lang w:val="es-US"/>
        </w:rPr>
      </w:pPr>
    </w:p>
    <w:p w14:paraId="06AAA20F" w14:textId="3701591D" w:rsidR="00CB4360" w:rsidRDefault="00CB4360" w:rsidP="00EC7FBE">
      <w:pPr>
        <w:spacing w:after="0" w:line="240" w:lineRule="auto"/>
        <w:ind w:firstLine="540"/>
        <w:jc w:val="both"/>
        <w:rPr>
          <w:rFonts w:ascii="Book Antiqua" w:hAnsi="Book Antiqua"/>
          <w:sz w:val="24"/>
          <w:szCs w:val="24"/>
          <w:lang w:val="es-PR"/>
        </w:rPr>
      </w:pPr>
      <w:r>
        <w:rPr>
          <w:rFonts w:ascii="Book Antiqua" w:eastAsia="Times New Roman" w:hAnsi="Book Antiqua" w:cs="Times New Roman"/>
          <w:sz w:val="24"/>
          <w:szCs w:val="24"/>
          <w:lang w:val="es-US"/>
        </w:rPr>
        <w:t xml:space="preserve">En junio de 2020, a poco más de un mes de las primarias y aproximadamente cinco (5) meses antes de las elecciones generales, se aprobó la Ley 58-2020, conocida como “Código Electoral de Puerto Rico 2020” (“Ley 58”).  </w:t>
      </w:r>
      <w:r w:rsidRPr="00CB4360">
        <w:rPr>
          <w:rFonts w:ascii="Book Antiqua" w:hAnsi="Book Antiqua"/>
          <w:sz w:val="24"/>
          <w:szCs w:val="24"/>
          <w:lang w:val="es-PR"/>
        </w:rPr>
        <w:t xml:space="preserve">Si bien es cierto </w:t>
      </w:r>
      <w:r>
        <w:rPr>
          <w:rFonts w:ascii="Book Antiqua" w:hAnsi="Book Antiqua"/>
          <w:sz w:val="24"/>
          <w:szCs w:val="24"/>
          <w:lang w:val="es-PR"/>
        </w:rPr>
        <w:t xml:space="preserve">que dicho </w:t>
      </w:r>
      <w:r w:rsidRPr="00CB4360">
        <w:rPr>
          <w:rFonts w:ascii="Book Antiqua" w:hAnsi="Book Antiqua"/>
          <w:sz w:val="24"/>
          <w:szCs w:val="24"/>
          <w:lang w:val="es-PR"/>
        </w:rPr>
        <w:t>Código Electoral present</w:t>
      </w:r>
      <w:r>
        <w:rPr>
          <w:rFonts w:ascii="Book Antiqua" w:hAnsi="Book Antiqua"/>
          <w:sz w:val="24"/>
          <w:szCs w:val="24"/>
          <w:lang w:val="es-PR"/>
        </w:rPr>
        <w:t>ó</w:t>
      </w:r>
      <w:r w:rsidRPr="00CB4360">
        <w:rPr>
          <w:rFonts w:ascii="Book Antiqua" w:hAnsi="Book Antiqua"/>
          <w:sz w:val="24"/>
          <w:szCs w:val="24"/>
          <w:lang w:val="es-PR"/>
        </w:rPr>
        <w:t xml:space="preserve"> unos elementos importantes de avanzada a favor de facilitar el proceso electoral, así como otras innovaciones, su aprobación sin el consenso de los partidos y movimientos políticos reconocidos en Puerto Rico rompió con una tradición establecida desde el 1983 por la Comisión Revisora Electoral.   Los votos explicativos y expresiones vertidas para el record legislativo en su consideración, tanto en el Senado como en la Cámara de Representantes durante la De</w:t>
      </w:r>
      <w:r w:rsidR="00D94926">
        <w:rPr>
          <w:rFonts w:ascii="Book Antiqua" w:hAnsi="Book Antiqua"/>
          <w:sz w:val="24"/>
          <w:szCs w:val="24"/>
          <w:lang w:val="es-PR"/>
        </w:rPr>
        <w:t>cimoctava Asamblea Legislativa</w:t>
      </w:r>
      <w:r w:rsidRPr="00CB4360">
        <w:rPr>
          <w:rFonts w:ascii="Book Antiqua" w:hAnsi="Book Antiqua"/>
          <w:sz w:val="24"/>
          <w:szCs w:val="24"/>
          <w:lang w:val="es-PR"/>
        </w:rPr>
        <w:t xml:space="preserve"> por las delegaciones parlamentarias de minoría, señalaron elocuentemente los defectos y fall</w:t>
      </w:r>
      <w:r>
        <w:rPr>
          <w:rFonts w:ascii="Book Antiqua" w:hAnsi="Book Antiqua"/>
          <w:sz w:val="24"/>
          <w:szCs w:val="24"/>
          <w:lang w:val="es-PR"/>
        </w:rPr>
        <w:t xml:space="preserve">as en el diseño de dicha medida. </w:t>
      </w:r>
      <w:r w:rsidRPr="00CB4360">
        <w:rPr>
          <w:rFonts w:ascii="Book Antiqua" w:hAnsi="Book Antiqua"/>
          <w:sz w:val="24"/>
          <w:szCs w:val="24"/>
          <w:lang w:val="es-PR"/>
        </w:rPr>
        <w:t>De igual manera, tanto los portavoces de la mayoría de los principales partidos políticos y estudiosos en el proceso coincidieron en los serios defectos de esta medida y advirtieron sobre las consecuencias</w:t>
      </w:r>
      <w:r w:rsidR="00D94926">
        <w:rPr>
          <w:rFonts w:ascii="Book Antiqua" w:hAnsi="Book Antiqua"/>
          <w:sz w:val="24"/>
          <w:szCs w:val="24"/>
          <w:lang w:val="es-PR"/>
        </w:rPr>
        <w:t xml:space="preserve"> negativas en su implantación. </w:t>
      </w:r>
      <w:r w:rsidRPr="00CB4360">
        <w:rPr>
          <w:rFonts w:ascii="Book Antiqua" w:hAnsi="Book Antiqua"/>
          <w:sz w:val="24"/>
          <w:szCs w:val="24"/>
          <w:lang w:val="es-PR"/>
        </w:rPr>
        <w:t xml:space="preserve">Por otro lado, en la Exposición de Motivos de la Ley 58-2020 permea un lenguaje que no es propia del principio de consenso alcanzado desde 1983.  Mucho menos refleja los valores democráticos que distinguen al pueblo puertorriqueño y sus instituciones, así como los importantes logros y avances en el proceso electoral.  </w:t>
      </w:r>
    </w:p>
    <w:p w14:paraId="0FD87366" w14:textId="77777777" w:rsidR="00EC7FBE" w:rsidRPr="00D94926" w:rsidRDefault="00EC7FBE" w:rsidP="00EC7FBE">
      <w:pPr>
        <w:spacing w:after="0" w:line="240" w:lineRule="auto"/>
        <w:ind w:firstLine="540"/>
        <w:jc w:val="both"/>
        <w:rPr>
          <w:rFonts w:ascii="Book Antiqua" w:eastAsia="Times New Roman" w:hAnsi="Book Antiqua" w:cs="Times New Roman"/>
          <w:sz w:val="24"/>
          <w:szCs w:val="24"/>
          <w:lang w:val="es-US"/>
        </w:rPr>
      </w:pPr>
    </w:p>
    <w:p w14:paraId="6BC113AF" w14:textId="77777777" w:rsidR="00AC3EEF" w:rsidRDefault="00AA1E61" w:rsidP="00EC7FBE">
      <w:pPr>
        <w:suppressLineNumbers/>
        <w:suppressAutoHyphens/>
        <w:spacing w:after="0" w:line="240" w:lineRule="auto"/>
        <w:ind w:firstLine="450"/>
        <w:jc w:val="both"/>
        <w:rPr>
          <w:rFonts w:ascii="Book Antiqua" w:hAnsi="Book Antiqua" w:cs="Times New Roman"/>
          <w:sz w:val="24"/>
          <w:szCs w:val="24"/>
          <w:lang w:val="es-US"/>
        </w:rPr>
      </w:pPr>
      <w:r w:rsidRPr="00121739">
        <w:rPr>
          <w:rFonts w:ascii="Book Antiqua" w:hAnsi="Book Antiqua" w:cs="Times New Roman"/>
          <w:sz w:val="24"/>
          <w:szCs w:val="24"/>
          <w:lang w:val="es-US"/>
        </w:rPr>
        <w:t>La Ley 58</w:t>
      </w:r>
      <w:r>
        <w:rPr>
          <w:rFonts w:ascii="Book Antiqua" w:hAnsi="Book Antiqua" w:cs="Times New Roman"/>
          <w:sz w:val="24"/>
          <w:szCs w:val="24"/>
          <w:lang w:val="es-US"/>
        </w:rPr>
        <w:t xml:space="preserve"> introdujo a una Comisión Estatal de Elecciones (“CEE”) que no tenía el tiempo ni los recursos para manejarlos, cambios radicales en los procesos</w:t>
      </w:r>
      <w:r w:rsidRPr="00121739">
        <w:rPr>
          <w:rFonts w:ascii="Book Antiqua" w:hAnsi="Book Antiqua" w:cs="Times New Roman"/>
          <w:sz w:val="24"/>
          <w:szCs w:val="24"/>
          <w:lang w:val="es-US"/>
        </w:rPr>
        <w:t xml:space="preserve"> de voto adelantado, voto ausente, voto a domicilio</w:t>
      </w:r>
      <w:r w:rsidR="00C3276F">
        <w:rPr>
          <w:rFonts w:ascii="Book Antiqua" w:hAnsi="Book Antiqua" w:cs="Times New Roman"/>
          <w:sz w:val="24"/>
          <w:szCs w:val="24"/>
          <w:lang w:val="es-US"/>
        </w:rPr>
        <w:t xml:space="preserve"> y voto por correo</w:t>
      </w:r>
      <w:r>
        <w:rPr>
          <w:rFonts w:ascii="Book Antiqua" w:hAnsi="Book Antiqua" w:cs="Times New Roman"/>
          <w:sz w:val="24"/>
          <w:szCs w:val="24"/>
          <w:lang w:val="es-US"/>
        </w:rPr>
        <w:t>. De igual forma, la Ley 58 introdujo cambios fundamentales a la manera en que se administra la CEE, obviando el principio de que es un cuerpo colegiado de comisionados, y concediéndole a un Presidente que no es uno de los comisionados poderes insospechados sobre el proceso administrativo</w:t>
      </w:r>
      <w:r w:rsidRPr="00121739">
        <w:rPr>
          <w:rFonts w:ascii="Book Antiqua" w:hAnsi="Book Antiqua" w:cs="Times New Roman"/>
          <w:sz w:val="24"/>
          <w:szCs w:val="24"/>
          <w:lang w:val="es-US"/>
        </w:rPr>
        <w:t xml:space="preserve">. </w:t>
      </w:r>
      <w:r>
        <w:rPr>
          <w:rFonts w:ascii="Book Antiqua" w:hAnsi="Book Antiqua" w:cs="Times New Roman"/>
          <w:sz w:val="24"/>
          <w:szCs w:val="24"/>
          <w:lang w:val="es-US"/>
        </w:rPr>
        <w:t xml:space="preserve">¿El resultado? Un proceso de primarias y elecciones atropellado, un proceso de escrutinio y recuento lleno de cuestionamientos sobre su validez, y </w:t>
      </w:r>
      <w:r w:rsidR="00C3276F">
        <w:rPr>
          <w:rFonts w:ascii="Book Antiqua" w:hAnsi="Book Antiqua" w:cs="Times New Roman"/>
          <w:sz w:val="24"/>
          <w:szCs w:val="24"/>
          <w:lang w:val="es-US"/>
        </w:rPr>
        <w:t>un gran número</w:t>
      </w:r>
      <w:r>
        <w:rPr>
          <w:rFonts w:ascii="Book Antiqua" w:hAnsi="Book Antiqua" w:cs="Times New Roman"/>
          <w:sz w:val="24"/>
          <w:szCs w:val="24"/>
          <w:lang w:val="es-US"/>
        </w:rPr>
        <w:t xml:space="preserve"> de procesos legales para dilucidar candidaturas, que se extendieron hasta el momento mismo del cambio de gobierno. </w:t>
      </w:r>
    </w:p>
    <w:p w14:paraId="50E81556" w14:textId="77777777" w:rsidR="00AC3EEF" w:rsidRDefault="00AC3EEF" w:rsidP="00EC7FBE">
      <w:pPr>
        <w:suppressLineNumbers/>
        <w:suppressAutoHyphens/>
        <w:spacing w:after="0" w:line="240" w:lineRule="auto"/>
        <w:ind w:firstLine="450"/>
        <w:jc w:val="both"/>
        <w:rPr>
          <w:rFonts w:ascii="Book Antiqua" w:hAnsi="Book Antiqua" w:cs="Times New Roman"/>
          <w:sz w:val="24"/>
          <w:szCs w:val="24"/>
          <w:lang w:val="es-US"/>
        </w:rPr>
      </w:pPr>
    </w:p>
    <w:p w14:paraId="67913324" w14:textId="25844FC1" w:rsidR="00AC3EEF" w:rsidRDefault="006D6035" w:rsidP="00EC7FBE">
      <w:pPr>
        <w:suppressLineNumbers/>
        <w:suppressAutoHyphens/>
        <w:spacing w:after="0" w:line="240" w:lineRule="auto"/>
        <w:ind w:firstLine="450"/>
        <w:jc w:val="both"/>
        <w:rPr>
          <w:rFonts w:ascii="Book Antiqua" w:hAnsi="Book Antiqua" w:cs="Times New Roman"/>
          <w:sz w:val="24"/>
          <w:szCs w:val="24"/>
          <w:lang w:val="es-US"/>
        </w:rPr>
      </w:pPr>
      <w:r>
        <w:rPr>
          <w:rFonts w:ascii="Book Antiqua" w:hAnsi="Book Antiqua" w:cs="Times New Roman"/>
          <w:sz w:val="24"/>
          <w:szCs w:val="24"/>
          <w:lang w:val="es-US"/>
        </w:rPr>
        <w:t xml:space="preserve">En el cuatrienio entre el 2021 y el 2024, la Comisión para el Estudio </w:t>
      </w:r>
      <w:r w:rsidR="00902E91">
        <w:rPr>
          <w:rFonts w:ascii="Book Antiqua" w:hAnsi="Book Antiqua" w:cs="Times New Roman"/>
          <w:sz w:val="24"/>
          <w:szCs w:val="24"/>
          <w:lang w:val="es-US"/>
        </w:rPr>
        <w:t xml:space="preserve">y Evaluación del Derecho Constitucional Puertorriqueño y de Propuestas de Enmiendas a la </w:t>
      </w:r>
      <w:r w:rsidR="00DA6B3B">
        <w:rPr>
          <w:rFonts w:ascii="Book Antiqua" w:hAnsi="Book Antiqua" w:cs="Times New Roman"/>
          <w:sz w:val="24"/>
          <w:szCs w:val="24"/>
          <w:lang w:val="es-US"/>
        </w:rPr>
        <w:t>Constitució</w:t>
      </w:r>
      <w:r w:rsidR="008B5548">
        <w:rPr>
          <w:rFonts w:ascii="Book Antiqua" w:hAnsi="Book Antiqua" w:cs="Times New Roman"/>
          <w:sz w:val="24"/>
          <w:szCs w:val="24"/>
          <w:lang w:val="es-US"/>
        </w:rPr>
        <w:t>n</w:t>
      </w:r>
      <w:r w:rsidR="00DA6B3B">
        <w:rPr>
          <w:rFonts w:ascii="Book Antiqua" w:hAnsi="Book Antiqua" w:cs="Times New Roman"/>
          <w:sz w:val="24"/>
          <w:szCs w:val="24"/>
          <w:lang w:val="es-US"/>
        </w:rPr>
        <w:t xml:space="preserve"> del Estado Libre Asociado de Puerto Rico y Asuntos Electorales </w:t>
      </w:r>
      <w:r>
        <w:rPr>
          <w:rFonts w:ascii="Book Antiqua" w:hAnsi="Book Antiqua" w:cs="Times New Roman"/>
          <w:sz w:val="24"/>
          <w:szCs w:val="24"/>
          <w:lang w:val="es-US"/>
        </w:rPr>
        <w:t xml:space="preserve">de la </w:t>
      </w:r>
      <w:r w:rsidR="008B5548">
        <w:rPr>
          <w:rFonts w:ascii="Book Antiqua" w:hAnsi="Book Antiqua" w:cs="Times New Roman"/>
          <w:sz w:val="24"/>
          <w:szCs w:val="24"/>
          <w:lang w:val="es-US"/>
        </w:rPr>
        <w:t xml:space="preserve">Cámara de Representantes </w:t>
      </w:r>
      <w:r w:rsidR="001F0D2B">
        <w:rPr>
          <w:rFonts w:ascii="Book Antiqua" w:hAnsi="Book Antiqua" w:cs="Times New Roman"/>
          <w:sz w:val="24"/>
          <w:szCs w:val="24"/>
          <w:lang w:val="es-US"/>
        </w:rPr>
        <w:t xml:space="preserve">llevó a cabo varias investigaciones exhaustivas sobre las irregularidades </w:t>
      </w:r>
      <w:r w:rsidR="001F0D2B">
        <w:rPr>
          <w:rFonts w:ascii="Book Antiqua" w:hAnsi="Book Antiqua" w:cs="Times New Roman"/>
          <w:sz w:val="24"/>
          <w:szCs w:val="24"/>
          <w:lang w:val="es-US"/>
        </w:rPr>
        <w:lastRenderedPageBreak/>
        <w:t xml:space="preserve">ocurridas durante los procesos electorales del 2020, y sobre </w:t>
      </w:r>
      <w:r w:rsidR="0088451B">
        <w:rPr>
          <w:rFonts w:ascii="Book Antiqua" w:hAnsi="Book Antiqua" w:cs="Times New Roman"/>
          <w:sz w:val="24"/>
          <w:szCs w:val="24"/>
          <w:lang w:val="es-US"/>
        </w:rPr>
        <w:t xml:space="preserve">la preparación de la Comisión Estatal de Elecciones para llevar a cabo los procesos electorales de 2024. Además, se </w:t>
      </w:r>
      <w:r>
        <w:rPr>
          <w:rFonts w:ascii="Book Antiqua" w:hAnsi="Book Antiqua" w:cs="Times New Roman"/>
          <w:sz w:val="24"/>
          <w:szCs w:val="24"/>
          <w:lang w:val="es-US"/>
        </w:rPr>
        <w:t>presentaron ante esta Asamblea Legislativa varios proyectos y resoluciones con la idea de lograr cambios para evita</w:t>
      </w:r>
      <w:r w:rsidR="0088451B">
        <w:rPr>
          <w:rFonts w:ascii="Book Antiqua" w:hAnsi="Book Antiqua" w:cs="Times New Roman"/>
          <w:sz w:val="24"/>
          <w:szCs w:val="24"/>
          <w:lang w:val="es-US"/>
        </w:rPr>
        <w:t xml:space="preserve">r </w:t>
      </w:r>
      <w:r w:rsidR="00D225F3">
        <w:rPr>
          <w:rFonts w:ascii="Book Antiqua" w:hAnsi="Book Antiqua" w:cs="Times New Roman"/>
          <w:sz w:val="24"/>
          <w:szCs w:val="24"/>
          <w:lang w:val="es-US"/>
        </w:rPr>
        <w:t xml:space="preserve">los problemas confrontados durante los procesos del 2020. Lamentablemente, la mayoría de las enmiendas propuestas no fueron aprobadas, y </w:t>
      </w:r>
      <w:r w:rsidR="005B0C2D">
        <w:rPr>
          <w:rFonts w:ascii="Book Antiqua" w:hAnsi="Book Antiqua" w:cs="Times New Roman"/>
          <w:sz w:val="24"/>
          <w:szCs w:val="24"/>
          <w:lang w:val="es-US"/>
        </w:rPr>
        <w:t xml:space="preserve">sufrimos otro proceso electoral atropellado y difícil, que nuevamente resultó en un escrutinio </w:t>
      </w:r>
      <w:r w:rsidR="009D37B1">
        <w:rPr>
          <w:rFonts w:ascii="Book Antiqua" w:hAnsi="Book Antiqua" w:cs="Times New Roman"/>
          <w:sz w:val="24"/>
          <w:szCs w:val="24"/>
          <w:lang w:val="es-US"/>
        </w:rPr>
        <w:t xml:space="preserve">que duró hasta pocos días antes del cambio de gobierno. </w:t>
      </w:r>
    </w:p>
    <w:p w14:paraId="4793FEC7" w14:textId="77777777" w:rsidR="006D6035" w:rsidRDefault="006D6035" w:rsidP="00EC7FBE">
      <w:pPr>
        <w:suppressLineNumbers/>
        <w:suppressAutoHyphens/>
        <w:spacing w:after="0" w:line="240" w:lineRule="auto"/>
        <w:ind w:firstLine="450"/>
        <w:jc w:val="both"/>
        <w:rPr>
          <w:rFonts w:ascii="Book Antiqua" w:hAnsi="Book Antiqua" w:cs="Times New Roman"/>
          <w:sz w:val="24"/>
          <w:szCs w:val="24"/>
          <w:lang w:val="es-US"/>
        </w:rPr>
      </w:pPr>
    </w:p>
    <w:p w14:paraId="5587AEAF" w14:textId="05536A6E" w:rsidR="00D94926" w:rsidRDefault="00AA1E61" w:rsidP="00EC7FBE">
      <w:pPr>
        <w:suppressLineNumbers/>
        <w:suppressAutoHyphens/>
        <w:spacing w:after="0" w:line="240" w:lineRule="auto"/>
        <w:ind w:firstLine="450"/>
        <w:jc w:val="both"/>
        <w:rPr>
          <w:rFonts w:ascii="Book Antiqua" w:hAnsi="Book Antiqua" w:cs="Times New Roman"/>
          <w:sz w:val="24"/>
          <w:szCs w:val="24"/>
          <w:lang w:val="es-US"/>
        </w:rPr>
      </w:pPr>
      <w:r>
        <w:rPr>
          <w:rFonts w:ascii="Book Antiqua" w:hAnsi="Book Antiqua" w:cs="Times New Roman"/>
          <w:sz w:val="24"/>
          <w:szCs w:val="24"/>
          <w:lang w:val="es-US"/>
        </w:rPr>
        <w:t xml:space="preserve">Esta Asamblea Legislativa tiene la obligación histórica de hacer lo posible porque no se repita </w:t>
      </w:r>
      <w:r w:rsidR="009D37B1">
        <w:rPr>
          <w:rFonts w:ascii="Book Antiqua" w:hAnsi="Book Antiqua" w:cs="Times New Roman"/>
          <w:sz w:val="24"/>
          <w:szCs w:val="24"/>
          <w:lang w:val="es-US"/>
        </w:rPr>
        <w:t>otro</w:t>
      </w:r>
      <w:r>
        <w:rPr>
          <w:rFonts w:ascii="Book Antiqua" w:hAnsi="Book Antiqua" w:cs="Times New Roman"/>
          <w:sz w:val="24"/>
          <w:szCs w:val="24"/>
          <w:lang w:val="es-US"/>
        </w:rPr>
        <w:t xml:space="preserve"> proceso electoral atropellado y cuestionado como </w:t>
      </w:r>
      <w:r w:rsidR="009D37B1">
        <w:rPr>
          <w:rFonts w:ascii="Book Antiqua" w:hAnsi="Book Antiqua" w:cs="Times New Roman"/>
          <w:sz w:val="24"/>
          <w:szCs w:val="24"/>
          <w:lang w:val="es-US"/>
        </w:rPr>
        <w:t xml:space="preserve">los </w:t>
      </w:r>
      <w:r>
        <w:rPr>
          <w:rFonts w:ascii="Book Antiqua" w:hAnsi="Book Antiqua" w:cs="Times New Roman"/>
          <w:sz w:val="24"/>
          <w:szCs w:val="24"/>
          <w:lang w:val="es-US"/>
        </w:rPr>
        <w:t xml:space="preserve">que nuestro país sufrió en </w:t>
      </w:r>
      <w:r w:rsidR="009D37B1">
        <w:rPr>
          <w:rFonts w:ascii="Book Antiqua" w:hAnsi="Book Antiqua" w:cs="Times New Roman"/>
          <w:sz w:val="24"/>
          <w:szCs w:val="24"/>
          <w:lang w:val="es-US"/>
        </w:rPr>
        <w:t xml:space="preserve">los años 2020 y 2024. </w:t>
      </w:r>
    </w:p>
    <w:p w14:paraId="69F03B3F" w14:textId="77777777" w:rsidR="00D94926" w:rsidRDefault="00D94926" w:rsidP="00EC7FBE">
      <w:pPr>
        <w:suppressLineNumbers/>
        <w:suppressAutoHyphens/>
        <w:spacing w:after="0" w:line="240" w:lineRule="auto"/>
        <w:ind w:firstLine="450"/>
        <w:jc w:val="both"/>
        <w:rPr>
          <w:rFonts w:ascii="Book Antiqua" w:hAnsi="Book Antiqua" w:cs="Times New Roman"/>
          <w:sz w:val="24"/>
          <w:szCs w:val="24"/>
          <w:lang w:val="es-US"/>
        </w:rPr>
      </w:pPr>
    </w:p>
    <w:p w14:paraId="111DFF0E" w14:textId="16E9113E" w:rsidR="004B7857" w:rsidRDefault="00CB4360" w:rsidP="00EC7FBE">
      <w:pPr>
        <w:suppressLineNumbers/>
        <w:suppressAutoHyphens/>
        <w:spacing w:after="0" w:line="240" w:lineRule="auto"/>
        <w:ind w:firstLine="450"/>
        <w:jc w:val="both"/>
        <w:rPr>
          <w:rFonts w:ascii="Book Antiqua" w:hAnsi="Book Antiqua"/>
          <w:sz w:val="24"/>
          <w:szCs w:val="24"/>
          <w:lang w:val="es-PR"/>
        </w:rPr>
      </w:pPr>
      <w:r w:rsidRPr="00CB4360">
        <w:rPr>
          <w:rFonts w:ascii="Book Antiqua" w:hAnsi="Book Antiqua"/>
          <w:sz w:val="24"/>
          <w:szCs w:val="24"/>
          <w:lang w:val="es-PR"/>
        </w:rPr>
        <w:t>Por lo anteriormente expuesto, y en busca de una Ley Electoral basad</w:t>
      </w:r>
      <w:r w:rsidR="00AA1E61">
        <w:rPr>
          <w:rFonts w:ascii="Book Antiqua" w:hAnsi="Book Antiqua"/>
          <w:sz w:val="24"/>
          <w:szCs w:val="24"/>
          <w:lang w:val="es-PR"/>
        </w:rPr>
        <w:t>a</w:t>
      </w:r>
      <w:r w:rsidRPr="00CB4360">
        <w:rPr>
          <w:rFonts w:ascii="Book Antiqua" w:hAnsi="Book Antiqua"/>
          <w:sz w:val="24"/>
          <w:szCs w:val="24"/>
          <w:lang w:val="es-PR"/>
        </w:rPr>
        <w:t xml:space="preserve"> en el consenso, la transparencia, la justicia y la pureza de los procesos electorales, la Asamblea Legislativa del Estado Libre Asociado de Puerto Rico crea, mediante la presente Resolución Concurrente, la Comisión Especial Conjunta de la Asamblea Legislativa de Puerto Rico sobre Reforma Electoral para estudiar, investigar y recomendar una nueva Ley Electoral en o antes del 31 de diciembre de 20</w:t>
      </w:r>
      <w:r w:rsidR="006A2923">
        <w:rPr>
          <w:rFonts w:ascii="Book Antiqua" w:hAnsi="Book Antiqua"/>
          <w:sz w:val="24"/>
          <w:szCs w:val="24"/>
          <w:lang w:val="es-PR"/>
        </w:rPr>
        <w:t>26</w:t>
      </w:r>
      <w:r w:rsidRPr="00CB4360">
        <w:rPr>
          <w:rFonts w:ascii="Book Antiqua" w:hAnsi="Book Antiqua"/>
          <w:sz w:val="24"/>
          <w:szCs w:val="24"/>
          <w:lang w:val="es-PR"/>
        </w:rPr>
        <w:t>.</w:t>
      </w:r>
    </w:p>
    <w:p w14:paraId="401DD4DA" w14:textId="77777777" w:rsidR="00D94926" w:rsidRPr="00D94926" w:rsidRDefault="00D94926" w:rsidP="00D94926">
      <w:pPr>
        <w:suppressLineNumbers/>
        <w:suppressAutoHyphens/>
        <w:spacing w:after="0" w:line="240" w:lineRule="auto"/>
        <w:ind w:firstLine="450"/>
        <w:jc w:val="both"/>
        <w:rPr>
          <w:rFonts w:ascii="Book Antiqua" w:hAnsi="Book Antiqua" w:cs="Times New Roman"/>
          <w:sz w:val="24"/>
          <w:szCs w:val="24"/>
          <w:lang w:val="es-US"/>
        </w:rPr>
      </w:pPr>
    </w:p>
    <w:p w14:paraId="6C01C3BC" w14:textId="77777777" w:rsidR="00704B93" w:rsidRDefault="00704B93" w:rsidP="00704B93">
      <w:pPr>
        <w:suppressLineNumbers/>
        <w:spacing w:after="0" w:line="480" w:lineRule="auto"/>
        <w:jc w:val="both"/>
        <w:rPr>
          <w:rFonts w:ascii="Book Antiqua" w:eastAsia="Times New Roman" w:hAnsi="Book Antiqua" w:cs="Times New Roman"/>
          <w:i/>
          <w:sz w:val="24"/>
          <w:szCs w:val="24"/>
          <w:lang w:val="es-US"/>
        </w:rPr>
        <w:sectPr w:rsidR="00704B93" w:rsidSect="00704B93">
          <w:headerReference w:type="default" r:id="rId8"/>
          <w:headerReference w:type="first" r:id="rId9"/>
          <w:pgSz w:w="12240" w:h="15840"/>
          <w:pgMar w:top="1440" w:right="1440" w:bottom="1440" w:left="1440" w:header="720" w:footer="720" w:gutter="0"/>
          <w:cols w:space="720"/>
          <w:titlePg/>
          <w:docGrid w:linePitch="360"/>
        </w:sectPr>
      </w:pPr>
      <w:r w:rsidRPr="00121739">
        <w:rPr>
          <w:rFonts w:ascii="Book Antiqua" w:eastAsia="Times New Roman" w:hAnsi="Book Antiqua" w:cs="Times New Roman"/>
          <w:i/>
          <w:sz w:val="24"/>
          <w:szCs w:val="24"/>
          <w:lang w:val="es-US"/>
        </w:rPr>
        <w:t>RESUÉ</w:t>
      </w:r>
      <w:r>
        <w:rPr>
          <w:rFonts w:ascii="Book Antiqua" w:eastAsia="Times New Roman" w:hAnsi="Book Antiqua" w:cs="Times New Roman"/>
          <w:i/>
          <w:sz w:val="24"/>
          <w:szCs w:val="24"/>
          <w:lang w:val="es-US"/>
        </w:rPr>
        <w:t>LVE</w:t>
      </w:r>
      <w:r w:rsidRPr="00121739">
        <w:rPr>
          <w:rFonts w:ascii="Book Antiqua" w:eastAsia="Times New Roman" w:hAnsi="Book Antiqua" w:cs="Times New Roman"/>
          <w:i/>
          <w:sz w:val="24"/>
          <w:szCs w:val="24"/>
          <w:lang w:val="es-US"/>
        </w:rPr>
        <w:t>SE POR LA ASAMBLEA LEGISLATIVA DE PUERTO RICO:</w:t>
      </w:r>
    </w:p>
    <w:p w14:paraId="1ABF0394" w14:textId="77777777" w:rsidR="00704B93" w:rsidRPr="008E1722" w:rsidRDefault="00704B93" w:rsidP="00704B93">
      <w:pPr>
        <w:spacing w:after="0" w:line="480" w:lineRule="auto"/>
        <w:ind w:firstLine="720"/>
        <w:jc w:val="both"/>
        <w:rPr>
          <w:rFonts w:ascii="Book Antiqua" w:eastAsia="Times New Roman" w:hAnsi="Book Antiqua" w:cs="Times New Roman"/>
          <w:sz w:val="24"/>
          <w:szCs w:val="24"/>
          <w:lang w:val="es-US"/>
        </w:rPr>
      </w:pPr>
      <w:r w:rsidRPr="008E1722">
        <w:rPr>
          <w:rFonts w:ascii="Book Antiqua" w:eastAsia="Times New Roman" w:hAnsi="Book Antiqua" w:cs="Times New Roman"/>
          <w:sz w:val="24"/>
          <w:szCs w:val="24"/>
          <w:lang w:val="es-US"/>
        </w:rPr>
        <w:t>Sección 1.</w:t>
      </w:r>
      <w:r>
        <w:rPr>
          <w:rFonts w:ascii="Book Antiqua" w:eastAsia="Times New Roman" w:hAnsi="Book Antiqua" w:cs="Times New Roman"/>
          <w:sz w:val="24"/>
          <w:szCs w:val="24"/>
          <w:lang w:val="es-US"/>
        </w:rPr>
        <w:t>-</w:t>
      </w:r>
      <w:r w:rsidRPr="008E1722">
        <w:rPr>
          <w:rFonts w:ascii="Book Antiqua" w:eastAsia="Times New Roman" w:hAnsi="Book Antiqua" w:cs="Times New Roman"/>
          <w:sz w:val="24"/>
          <w:szCs w:val="24"/>
          <w:lang w:val="es-US"/>
        </w:rPr>
        <w:t>Se crea la Comisión Especial Conjunta de la Asamblea Legislativa de Puerto Rico sobre Reforma Electoral.</w:t>
      </w:r>
    </w:p>
    <w:p w14:paraId="2CF8F70B" w14:textId="14CA8426" w:rsidR="00704B93" w:rsidRPr="008E1722" w:rsidRDefault="00704B93" w:rsidP="00704B93">
      <w:pPr>
        <w:spacing w:after="0" w:line="480" w:lineRule="auto"/>
        <w:ind w:firstLine="720"/>
        <w:jc w:val="both"/>
        <w:rPr>
          <w:rFonts w:ascii="Book Antiqua" w:eastAsia="Times New Roman" w:hAnsi="Book Antiqua" w:cs="Times New Roman"/>
          <w:sz w:val="24"/>
          <w:szCs w:val="24"/>
          <w:lang w:val="es-PR"/>
        </w:rPr>
      </w:pPr>
      <w:r w:rsidRPr="008E1722">
        <w:rPr>
          <w:rFonts w:ascii="Book Antiqua" w:eastAsia="Times New Roman" w:hAnsi="Book Antiqua" w:cs="Times New Roman"/>
          <w:sz w:val="24"/>
          <w:szCs w:val="24"/>
          <w:lang w:val="es-US"/>
        </w:rPr>
        <w:t>Sección 2.</w:t>
      </w:r>
      <w:r>
        <w:rPr>
          <w:rFonts w:ascii="Book Antiqua" w:eastAsia="Times New Roman" w:hAnsi="Book Antiqua" w:cs="Times New Roman"/>
          <w:sz w:val="24"/>
          <w:szCs w:val="24"/>
          <w:lang w:val="es-US"/>
        </w:rPr>
        <w:t>-</w:t>
      </w:r>
      <w:r w:rsidRPr="008E1722">
        <w:rPr>
          <w:rFonts w:ascii="Book Antiqua" w:eastAsia="Times New Roman" w:hAnsi="Book Antiqua" w:cs="Times New Roman"/>
          <w:iCs/>
          <w:sz w:val="24"/>
          <w:szCs w:val="24"/>
          <w:lang w:val="es-US"/>
        </w:rPr>
        <w:t>La Comisión Especial Conjunta de la Cámara de Representantes y el Senado del Estado Libre Asociado de Puerto Rico,</w:t>
      </w:r>
      <w:r w:rsidRPr="008E1722">
        <w:rPr>
          <w:rFonts w:ascii="Book Antiqua" w:eastAsia="Times New Roman" w:hAnsi="Book Antiqua" w:cs="Times New Roman"/>
          <w:sz w:val="24"/>
          <w:szCs w:val="24"/>
          <w:lang w:val="es-US"/>
        </w:rPr>
        <w:t xml:space="preserve"> creada mediante la presente Resolución Concurrente, tendrá la facultad y el deber de investigar, redactar y recomendar, para la aprobación de los legisladores electos de la </w:t>
      </w:r>
      <w:r w:rsidR="00F9475F">
        <w:rPr>
          <w:rFonts w:ascii="Book Antiqua" w:eastAsia="Times New Roman" w:hAnsi="Book Antiqua" w:cs="Times New Roman"/>
          <w:sz w:val="24"/>
          <w:szCs w:val="24"/>
          <w:lang w:val="es-US"/>
        </w:rPr>
        <w:t>Vigésima</w:t>
      </w:r>
      <w:r w:rsidRPr="008E1722">
        <w:rPr>
          <w:rFonts w:ascii="Book Antiqua" w:eastAsia="Times New Roman" w:hAnsi="Book Antiqua" w:cs="Times New Roman"/>
          <w:sz w:val="24"/>
          <w:szCs w:val="24"/>
          <w:lang w:val="es-US"/>
        </w:rPr>
        <w:t xml:space="preserve"> Asamblea Legislativa, una nueva Ley Electoral que administre los procesos electorales en Puerto Rico de manera justa, balanceada, transparente y que reduzca al mínimo cualquier posibilidad de fraude electoral. </w:t>
      </w:r>
    </w:p>
    <w:p w14:paraId="662A3643" w14:textId="77777777" w:rsidR="00704B93" w:rsidRPr="008E1722" w:rsidRDefault="00704B93" w:rsidP="00704B93">
      <w:pPr>
        <w:spacing w:after="0" w:line="480" w:lineRule="auto"/>
        <w:ind w:firstLine="720"/>
        <w:jc w:val="both"/>
        <w:rPr>
          <w:rFonts w:ascii="Book Antiqua" w:eastAsia="Times New Roman" w:hAnsi="Book Antiqua" w:cs="Times New Roman"/>
          <w:sz w:val="24"/>
          <w:szCs w:val="24"/>
          <w:lang w:val="es-PR"/>
        </w:rPr>
      </w:pPr>
      <w:r w:rsidRPr="008E1722">
        <w:rPr>
          <w:rFonts w:ascii="Book Antiqua" w:eastAsia="Times New Roman" w:hAnsi="Book Antiqua" w:cs="Times New Roman"/>
          <w:sz w:val="24"/>
          <w:szCs w:val="24"/>
          <w:lang w:val="es-PR"/>
        </w:rPr>
        <w:lastRenderedPageBreak/>
        <w:t>Sección 3.</w:t>
      </w:r>
      <w:r>
        <w:rPr>
          <w:rFonts w:ascii="Book Antiqua" w:eastAsia="Times New Roman" w:hAnsi="Book Antiqua" w:cs="Times New Roman"/>
          <w:sz w:val="24"/>
          <w:szCs w:val="24"/>
          <w:lang w:val="es-PR"/>
        </w:rPr>
        <w:t>-</w:t>
      </w:r>
      <w:r w:rsidRPr="008E1722">
        <w:rPr>
          <w:rFonts w:ascii="Book Antiqua" w:eastAsia="Times New Roman" w:hAnsi="Book Antiqua" w:cs="Times New Roman"/>
          <w:sz w:val="24"/>
          <w:szCs w:val="24"/>
          <w:lang w:val="es-PR"/>
        </w:rPr>
        <w:t xml:space="preserve">La organización y gobierno interno de la Comisión Especial Conjunta se establecerá mediante reglamento, aprobado por la mayoría de sus miembros en propiedad. </w:t>
      </w:r>
    </w:p>
    <w:p w14:paraId="7C709D4D" w14:textId="7ECBE94B" w:rsidR="00704B93" w:rsidRPr="008E1722"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4.-</w:t>
      </w:r>
      <w:r w:rsidRPr="008E1722">
        <w:rPr>
          <w:rFonts w:ascii="Book Antiqua" w:eastAsia="Times New Roman" w:hAnsi="Book Antiqua" w:cs="Times New Roman"/>
          <w:sz w:val="24"/>
          <w:szCs w:val="24"/>
          <w:lang w:val="es-PR"/>
        </w:rPr>
        <w:t xml:space="preserve">La Comisión Especial Conjunta estará compuesta por veinte (20) miembros, </w:t>
      </w:r>
      <w:r w:rsidR="00B57FF8">
        <w:rPr>
          <w:rFonts w:ascii="Book Antiqua" w:eastAsia="Times New Roman" w:hAnsi="Book Antiqua" w:cs="Times New Roman"/>
          <w:sz w:val="24"/>
          <w:szCs w:val="24"/>
          <w:lang w:val="es-PR"/>
        </w:rPr>
        <w:t>onc</w:t>
      </w:r>
      <w:r w:rsidRPr="008E1722">
        <w:rPr>
          <w:rFonts w:ascii="Book Antiqua" w:eastAsia="Times New Roman" w:hAnsi="Book Antiqua" w:cs="Times New Roman"/>
          <w:sz w:val="24"/>
          <w:szCs w:val="24"/>
          <w:lang w:val="es-PR"/>
        </w:rPr>
        <w:t>e (</w:t>
      </w:r>
      <w:r w:rsidR="00B57FF8">
        <w:rPr>
          <w:rFonts w:ascii="Book Antiqua" w:eastAsia="Times New Roman" w:hAnsi="Book Antiqua" w:cs="Times New Roman"/>
          <w:sz w:val="24"/>
          <w:szCs w:val="24"/>
          <w:lang w:val="es-PR"/>
        </w:rPr>
        <w:t>11</w:t>
      </w:r>
      <w:r w:rsidRPr="008E1722">
        <w:rPr>
          <w:rFonts w:ascii="Book Antiqua" w:eastAsia="Times New Roman" w:hAnsi="Book Antiqua" w:cs="Times New Roman"/>
          <w:sz w:val="24"/>
          <w:szCs w:val="24"/>
          <w:lang w:val="es-PR"/>
        </w:rPr>
        <w:t xml:space="preserve">) de la Cámara de Representantes y </w:t>
      </w:r>
      <w:r w:rsidR="00B57FF8">
        <w:rPr>
          <w:rFonts w:ascii="Book Antiqua" w:eastAsia="Times New Roman" w:hAnsi="Book Antiqua" w:cs="Times New Roman"/>
          <w:sz w:val="24"/>
          <w:szCs w:val="24"/>
          <w:lang w:val="es-PR"/>
        </w:rPr>
        <w:t>nueve</w:t>
      </w:r>
      <w:r w:rsidRPr="008E1722">
        <w:rPr>
          <w:rFonts w:ascii="Book Antiqua" w:eastAsia="Times New Roman" w:hAnsi="Book Antiqua" w:cs="Times New Roman"/>
          <w:sz w:val="24"/>
          <w:szCs w:val="24"/>
          <w:lang w:val="es-PR"/>
        </w:rPr>
        <w:t xml:space="preserve"> (</w:t>
      </w:r>
      <w:r w:rsidR="00B57FF8">
        <w:rPr>
          <w:rFonts w:ascii="Book Antiqua" w:eastAsia="Times New Roman" w:hAnsi="Book Antiqua" w:cs="Times New Roman"/>
          <w:sz w:val="24"/>
          <w:szCs w:val="24"/>
          <w:lang w:val="es-PR"/>
        </w:rPr>
        <w:t>9</w:t>
      </w:r>
      <w:r w:rsidRPr="008E1722">
        <w:rPr>
          <w:rFonts w:ascii="Book Antiqua" w:eastAsia="Times New Roman" w:hAnsi="Book Antiqua" w:cs="Times New Roman"/>
          <w:sz w:val="24"/>
          <w:szCs w:val="24"/>
          <w:lang w:val="es-PR"/>
        </w:rPr>
        <w:t xml:space="preserve">) del Senado de Puerto Rico. La Comisión contará con </w:t>
      </w:r>
      <w:r w:rsidR="0001597D">
        <w:rPr>
          <w:rFonts w:ascii="Book Antiqua" w:eastAsia="Times New Roman" w:hAnsi="Book Antiqua" w:cs="Times New Roman"/>
          <w:sz w:val="24"/>
          <w:szCs w:val="24"/>
          <w:lang w:val="es-PR"/>
        </w:rPr>
        <w:t>seis</w:t>
      </w:r>
      <w:r w:rsidRPr="008E1722">
        <w:rPr>
          <w:rFonts w:ascii="Book Antiqua" w:eastAsia="Times New Roman" w:hAnsi="Book Antiqua" w:cs="Times New Roman"/>
          <w:sz w:val="24"/>
          <w:szCs w:val="24"/>
          <w:lang w:val="es-PR"/>
        </w:rPr>
        <w:t xml:space="preserve"> (</w:t>
      </w:r>
      <w:r w:rsidR="0001597D">
        <w:rPr>
          <w:rFonts w:ascii="Book Antiqua" w:eastAsia="Times New Roman" w:hAnsi="Book Antiqua" w:cs="Times New Roman"/>
          <w:sz w:val="24"/>
          <w:szCs w:val="24"/>
          <w:lang w:val="es-PR"/>
        </w:rPr>
        <w:t>6</w:t>
      </w:r>
      <w:r w:rsidRPr="008E1722">
        <w:rPr>
          <w:rFonts w:ascii="Book Antiqua" w:eastAsia="Times New Roman" w:hAnsi="Book Antiqua" w:cs="Times New Roman"/>
          <w:sz w:val="24"/>
          <w:szCs w:val="24"/>
          <w:lang w:val="es-PR"/>
        </w:rPr>
        <w:t xml:space="preserve">) miembros del caucus de la mayoría de la Cámara de Representantes y </w:t>
      </w:r>
      <w:r w:rsidR="0001597D">
        <w:rPr>
          <w:rFonts w:ascii="Book Antiqua" w:eastAsia="Times New Roman" w:hAnsi="Book Antiqua" w:cs="Times New Roman"/>
          <w:sz w:val="24"/>
          <w:szCs w:val="24"/>
          <w:lang w:val="es-PR"/>
        </w:rPr>
        <w:t>cinco</w:t>
      </w:r>
      <w:r w:rsidRPr="008E1722">
        <w:rPr>
          <w:rFonts w:ascii="Book Antiqua" w:eastAsia="Times New Roman" w:hAnsi="Book Antiqua" w:cs="Times New Roman"/>
          <w:sz w:val="24"/>
          <w:szCs w:val="24"/>
          <w:lang w:val="es-PR"/>
        </w:rPr>
        <w:t xml:space="preserve"> (</w:t>
      </w:r>
      <w:r w:rsidR="0001597D">
        <w:rPr>
          <w:rFonts w:ascii="Book Antiqua" w:eastAsia="Times New Roman" w:hAnsi="Book Antiqua" w:cs="Times New Roman"/>
          <w:sz w:val="24"/>
          <w:szCs w:val="24"/>
          <w:lang w:val="es-PR"/>
        </w:rPr>
        <w:t>5</w:t>
      </w:r>
      <w:r w:rsidRPr="008E1722">
        <w:rPr>
          <w:rFonts w:ascii="Book Antiqua" w:eastAsia="Times New Roman" w:hAnsi="Book Antiqua" w:cs="Times New Roman"/>
          <w:sz w:val="24"/>
          <w:szCs w:val="24"/>
          <w:lang w:val="es-PR"/>
        </w:rPr>
        <w:t xml:space="preserve">) miembros de todos los partidos de minoría representados en ese cuerpo; contará además con </w:t>
      </w:r>
      <w:r w:rsidR="004127BB">
        <w:rPr>
          <w:rFonts w:ascii="Book Antiqua" w:eastAsia="Times New Roman" w:hAnsi="Book Antiqua" w:cs="Times New Roman"/>
          <w:sz w:val="24"/>
          <w:szCs w:val="24"/>
          <w:lang w:val="es-PR"/>
        </w:rPr>
        <w:t>cinco</w:t>
      </w:r>
      <w:r w:rsidRPr="008E1722">
        <w:rPr>
          <w:rFonts w:ascii="Book Antiqua" w:eastAsia="Times New Roman" w:hAnsi="Book Antiqua" w:cs="Times New Roman"/>
          <w:sz w:val="24"/>
          <w:szCs w:val="24"/>
          <w:lang w:val="es-PR"/>
        </w:rPr>
        <w:t xml:space="preserve"> (</w:t>
      </w:r>
      <w:r w:rsidR="004127BB">
        <w:rPr>
          <w:rFonts w:ascii="Book Antiqua" w:eastAsia="Times New Roman" w:hAnsi="Book Antiqua" w:cs="Times New Roman"/>
          <w:sz w:val="24"/>
          <w:szCs w:val="24"/>
          <w:lang w:val="es-PR"/>
        </w:rPr>
        <w:t>5</w:t>
      </w:r>
      <w:r w:rsidRPr="008E1722">
        <w:rPr>
          <w:rFonts w:ascii="Book Antiqua" w:eastAsia="Times New Roman" w:hAnsi="Book Antiqua" w:cs="Times New Roman"/>
          <w:sz w:val="24"/>
          <w:szCs w:val="24"/>
          <w:lang w:val="es-PR"/>
        </w:rPr>
        <w:t xml:space="preserve">) miembros del caucus de la mayoría del Senado y </w:t>
      </w:r>
      <w:r w:rsidR="004127BB">
        <w:rPr>
          <w:rFonts w:ascii="Book Antiqua" w:eastAsia="Times New Roman" w:hAnsi="Book Antiqua" w:cs="Times New Roman"/>
          <w:sz w:val="24"/>
          <w:szCs w:val="24"/>
          <w:lang w:val="es-PR"/>
        </w:rPr>
        <w:t>cuatro</w:t>
      </w:r>
      <w:r w:rsidRPr="008E1722">
        <w:rPr>
          <w:rFonts w:ascii="Book Antiqua" w:eastAsia="Times New Roman" w:hAnsi="Book Antiqua" w:cs="Times New Roman"/>
          <w:sz w:val="24"/>
          <w:szCs w:val="24"/>
          <w:lang w:val="es-PR"/>
        </w:rPr>
        <w:t xml:space="preserve"> (</w:t>
      </w:r>
      <w:r w:rsidR="004127BB">
        <w:rPr>
          <w:rFonts w:ascii="Book Antiqua" w:eastAsia="Times New Roman" w:hAnsi="Book Antiqua" w:cs="Times New Roman"/>
          <w:sz w:val="24"/>
          <w:szCs w:val="24"/>
          <w:lang w:val="es-PR"/>
        </w:rPr>
        <w:t>4</w:t>
      </w:r>
      <w:r w:rsidRPr="008E1722">
        <w:rPr>
          <w:rFonts w:ascii="Book Antiqua" w:eastAsia="Times New Roman" w:hAnsi="Book Antiqua" w:cs="Times New Roman"/>
          <w:sz w:val="24"/>
          <w:szCs w:val="24"/>
          <w:lang w:val="es-PR"/>
        </w:rPr>
        <w:t xml:space="preserve">) miembros de todos los partidos de minoría y el senador independiente representados en ese cuerpo. Los copresidentes de la Comisión Especial Conjunta serán nombrados por </w:t>
      </w:r>
      <w:r w:rsidR="004127BB">
        <w:rPr>
          <w:rFonts w:ascii="Book Antiqua" w:eastAsia="Times New Roman" w:hAnsi="Book Antiqua" w:cs="Times New Roman"/>
          <w:sz w:val="24"/>
          <w:szCs w:val="24"/>
          <w:lang w:val="es-PR"/>
        </w:rPr>
        <w:t>los</w:t>
      </w:r>
      <w:r w:rsidRPr="008E1722">
        <w:rPr>
          <w:rFonts w:ascii="Book Antiqua" w:eastAsia="Times New Roman" w:hAnsi="Book Antiqua" w:cs="Times New Roman"/>
          <w:sz w:val="24"/>
          <w:szCs w:val="24"/>
          <w:lang w:val="es-PR"/>
        </w:rPr>
        <w:t xml:space="preserve"> </w:t>
      </w:r>
      <w:r w:rsidR="004127BB">
        <w:rPr>
          <w:rFonts w:ascii="Book Antiqua" w:eastAsia="Times New Roman" w:hAnsi="Book Antiqua" w:cs="Times New Roman"/>
          <w:sz w:val="24"/>
          <w:szCs w:val="24"/>
          <w:lang w:val="es-PR"/>
        </w:rPr>
        <w:t>p</w:t>
      </w:r>
      <w:r w:rsidRPr="008E1722">
        <w:rPr>
          <w:rFonts w:ascii="Book Antiqua" w:eastAsia="Times New Roman" w:hAnsi="Book Antiqua" w:cs="Times New Roman"/>
          <w:sz w:val="24"/>
          <w:szCs w:val="24"/>
          <w:lang w:val="es-PR"/>
        </w:rPr>
        <w:t>residente</w:t>
      </w:r>
      <w:r w:rsidR="004127BB">
        <w:rPr>
          <w:rFonts w:ascii="Book Antiqua" w:eastAsia="Times New Roman" w:hAnsi="Book Antiqua" w:cs="Times New Roman"/>
          <w:sz w:val="24"/>
          <w:szCs w:val="24"/>
          <w:lang w:val="es-PR"/>
        </w:rPr>
        <w:t>s</w:t>
      </w:r>
      <w:r w:rsidRPr="008E1722">
        <w:rPr>
          <w:rFonts w:ascii="Book Antiqua" w:eastAsia="Times New Roman" w:hAnsi="Book Antiqua" w:cs="Times New Roman"/>
          <w:sz w:val="24"/>
          <w:szCs w:val="24"/>
          <w:lang w:val="es-PR"/>
        </w:rPr>
        <w:t xml:space="preserve"> de la Cámara de Representantes y del Senado de Puerto Rico, respectivamente.</w:t>
      </w:r>
    </w:p>
    <w:p w14:paraId="074F8192" w14:textId="77777777" w:rsidR="00704B93" w:rsidRPr="008E1722"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5.-</w:t>
      </w:r>
      <w:r w:rsidRPr="008E1722">
        <w:rPr>
          <w:rFonts w:ascii="Book Antiqua" w:eastAsia="Times New Roman" w:hAnsi="Book Antiqua" w:cs="Times New Roman"/>
          <w:sz w:val="24"/>
          <w:szCs w:val="24"/>
          <w:lang w:val="es-PR"/>
        </w:rPr>
        <w:t>La Comisión Especial Conjunta queda autorizada a ejercer todas las facultades y prerrogativas que sean necesarias para el cumplimiento de sus funciones, incluyendo, pero sin limitarse a, la facultad de celebrar vistas públicas, recibir testimonios, requerir la comparecencia de testigos y la presentación de documentos, entre otros poderes legislativos. La Comisión Especial Conjunta queda facultada para recibir, estudiar y analizar cualquier asunto o medida que se le lleve a su atención.</w:t>
      </w:r>
    </w:p>
    <w:p w14:paraId="102A756A" w14:textId="77777777" w:rsidR="00704B93" w:rsidRPr="008E1722" w:rsidRDefault="00704B93" w:rsidP="00704B93">
      <w:pPr>
        <w:spacing w:after="0" w:line="480" w:lineRule="auto"/>
        <w:ind w:firstLine="720"/>
        <w:jc w:val="both"/>
        <w:rPr>
          <w:rFonts w:ascii="Book Antiqua" w:eastAsia="Times New Roman" w:hAnsi="Book Antiqua" w:cs="Times New Roman"/>
          <w:sz w:val="24"/>
          <w:szCs w:val="24"/>
          <w:lang w:val="es-PR"/>
        </w:rPr>
      </w:pPr>
      <w:r w:rsidRPr="008E1722">
        <w:rPr>
          <w:rFonts w:ascii="Book Antiqua" w:eastAsia="Times New Roman" w:hAnsi="Book Antiqua" w:cs="Times New Roman"/>
          <w:sz w:val="24"/>
          <w:szCs w:val="24"/>
          <w:lang w:val="es-PR"/>
        </w:rPr>
        <w:t>Sección 6</w:t>
      </w:r>
      <w:r>
        <w:rPr>
          <w:rFonts w:ascii="Book Antiqua" w:eastAsia="Times New Roman" w:hAnsi="Book Antiqua" w:cs="Times New Roman"/>
          <w:sz w:val="24"/>
          <w:szCs w:val="24"/>
          <w:lang w:val="es-PR"/>
        </w:rPr>
        <w:t>.-</w:t>
      </w:r>
      <w:r w:rsidRPr="008E1722">
        <w:rPr>
          <w:rFonts w:ascii="Book Antiqua" w:eastAsia="Times New Roman" w:hAnsi="Book Antiqua" w:cs="Times New Roman"/>
          <w:sz w:val="24"/>
          <w:szCs w:val="24"/>
          <w:lang w:val="es-PR"/>
        </w:rPr>
        <w:t xml:space="preserve">La Comisión Especial Conjunta estará facultada para crear grupos de trabajo de ciudadanos, del sector académico y otros diferentes sectores de la sociedad, con el propósito de servir de fuente de conocimiento y asesoría para los asuntos sobre los </w:t>
      </w:r>
      <w:r w:rsidRPr="008E1722">
        <w:rPr>
          <w:rFonts w:ascii="Book Antiqua" w:eastAsia="Times New Roman" w:hAnsi="Book Antiqua" w:cs="Times New Roman"/>
          <w:sz w:val="24"/>
          <w:szCs w:val="24"/>
          <w:lang w:val="es-PR"/>
        </w:rPr>
        <w:lastRenderedPageBreak/>
        <w:t xml:space="preserve">cuales se trabajará. Las personas que integren estos grupos de trabajo desempeñarán sus funciones en carácter </w:t>
      </w:r>
      <w:r w:rsidRPr="00102644">
        <w:rPr>
          <w:rFonts w:ascii="Book Antiqua" w:eastAsia="Times New Roman" w:hAnsi="Book Antiqua" w:cs="Times New Roman"/>
          <w:i/>
          <w:sz w:val="24"/>
          <w:szCs w:val="24"/>
          <w:lang w:val="es-PR"/>
        </w:rPr>
        <w:t>ad honorem</w:t>
      </w:r>
      <w:r w:rsidRPr="008E1722">
        <w:rPr>
          <w:rFonts w:ascii="Book Antiqua" w:eastAsia="Times New Roman" w:hAnsi="Book Antiqua" w:cs="Times New Roman"/>
          <w:sz w:val="24"/>
          <w:szCs w:val="24"/>
          <w:lang w:val="es-PR"/>
        </w:rPr>
        <w:t xml:space="preserve">. </w:t>
      </w:r>
    </w:p>
    <w:p w14:paraId="47E71FE6" w14:textId="77777777" w:rsidR="00704B93" w:rsidRPr="00121739"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7.-</w:t>
      </w:r>
      <w:r w:rsidRPr="00121739">
        <w:rPr>
          <w:rFonts w:ascii="Book Antiqua" w:eastAsia="Times New Roman" w:hAnsi="Book Antiqua" w:cs="Times New Roman"/>
          <w:sz w:val="24"/>
          <w:szCs w:val="24"/>
          <w:lang w:val="es-PR"/>
        </w:rPr>
        <w:t xml:space="preserve">Los copresidentes, por mutuo acuerdo y en coordinación con los Presidentes de la Cámara de Representantes y el Senado de Puerto Rico, tendrán la potestad de nombrar un Director/a Ejecutivo/a para que supervise los trabajos de la Comisión Especial Conjunta, administre </w:t>
      </w:r>
      <w:r>
        <w:rPr>
          <w:rFonts w:ascii="Book Antiqua" w:eastAsia="Times New Roman" w:hAnsi="Book Antiqua" w:cs="Times New Roman"/>
          <w:sz w:val="24"/>
          <w:szCs w:val="24"/>
          <w:lang w:val="es-PR"/>
        </w:rPr>
        <w:t xml:space="preserve">su </w:t>
      </w:r>
      <w:r w:rsidRPr="00121739">
        <w:rPr>
          <w:rFonts w:ascii="Book Antiqua" w:eastAsia="Times New Roman" w:hAnsi="Book Antiqua" w:cs="Times New Roman"/>
          <w:sz w:val="24"/>
          <w:szCs w:val="24"/>
          <w:lang w:val="es-PR"/>
        </w:rPr>
        <w:t>presupuesto</w:t>
      </w:r>
      <w:r>
        <w:rPr>
          <w:rFonts w:ascii="Book Antiqua" w:eastAsia="Times New Roman" w:hAnsi="Book Antiqua" w:cs="Times New Roman"/>
          <w:sz w:val="24"/>
          <w:szCs w:val="24"/>
          <w:lang w:val="es-PR"/>
        </w:rPr>
        <w:t>,</w:t>
      </w:r>
      <w:r w:rsidRPr="00121739">
        <w:rPr>
          <w:rFonts w:ascii="Book Antiqua" w:eastAsia="Times New Roman" w:hAnsi="Book Antiqua" w:cs="Times New Roman"/>
          <w:sz w:val="24"/>
          <w:szCs w:val="24"/>
          <w:lang w:val="es-PR"/>
        </w:rPr>
        <w:t xml:space="preserve"> organice las </w:t>
      </w:r>
      <w:r>
        <w:rPr>
          <w:rFonts w:ascii="Book Antiqua" w:eastAsia="Times New Roman" w:hAnsi="Book Antiqua" w:cs="Times New Roman"/>
          <w:sz w:val="24"/>
          <w:szCs w:val="24"/>
          <w:lang w:val="es-PR"/>
        </w:rPr>
        <w:t>v</w:t>
      </w:r>
      <w:r w:rsidRPr="00121739">
        <w:rPr>
          <w:rFonts w:ascii="Book Antiqua" w:eastAsia="Times New Roman" w:hAnsi="Book Antiqua" w:cs="Times New Roman"/>
          <w:sz w:val="24"/>
          <w:szCs w:val="24"/>
          <w:lang w:val="es-PR"/>
        </w:rPr>
        <w:t xml:space="preserve">istas </w:t>
      </w:r>
      <w:r>
        <w:rPr>
          <w:rFonts w:ascii="Book Antiqua" w:eastAsia="Times New Roman" w:hAnsi="Book Antiqua" w:cs="Times New Roman"/>
          <w:sz w:val="24"/>
          <w:szCs w:val="24"/>
          <w:lang w:val="es-PR"/>
        </w:rPr>
        <w:t>p</w:t>
      </w:r>
      <w:r w:rsidRPr="00121739">
        <w:rPr>
          <w:rFonts w:ascii="Book Antiqua" w:eastAsia="Times New Roman" w:hAnsi="Book Antiqua" w:cs="Times New Roman"/>
          <w:sz w:val="24"/>
          <w:szCs w:val="24"/>
          <w:lang w:val="es-PR"/>
        </w:rPr>
        <w:t xml:space="preserve">úblicas, </w:t>
      </w:r>
      <w:r>
        <w:rPr>
          <w:rFonts w:ascii="Book Antiqua" w:eastAsia="Times New Roman" w:hAnsi="Book Antiqua" w:cs="Times New Roman"/>
          <w:sz w:val="24"/>
          <w:szCs w:val="24"/>
          <w:lang w:val="es-PR"/>
        </w:rPr>
        <w:t>e</w:t>
      </w:r>
      <w:r w:rsidRPr="00121739">
        <w:rPr>
          <w:rFonts w:ascii="Book Antiqua" w:eastAsia="Times New Roman" w:hAnsi="Book Antiqua" w:cs="Times New Roman"/>
          <w:sz w:val="24"/>
          <w:szCs w:val="24"/>
          <w:lang w:val="es-PR"/>
        </w:rPr>
        <w:t xml:space="preserve">jecutivas y </w:t>
      </w:r>
      <w:r>
        <w:rPr>
          <w:rFonts w:ascii="Book Antiqua" w:eastAsia="Times New Roman" w:hAnsi="Book Antiqua" w:cs="Times New Roman"/>
          <w:sz w:val="24"/>
          <w:szCs w:val="24"/>
          <w:lang w:val="es-PR"/>
        </w:rPr>
        <w:t>o</w:t>
      </w:r>
      <w:r w:rsidRPr="00121739">
        <w:rPr>
          <w:rFonts w:ascii="Book Antiqua" w:eastAsia="Times New Roman" w:hAnsi="Book Antiqua" w:cs="Times New Roman"/>
          <w:sz w:val="24"/>
          <w:szCs w:val="24"/>
          <w:lang w:val="es-PR"/>
        </w:rPr>
        <w:t>culares que sean necesarias, redacte informes, s</w:t>
      </w:r>
      <w:r>
        <w:rPr>
          <w:rFonts w:ascii="Book Antiqua" w:eastAsia="Times New Roman" w:hAnsi="Book Antiqua" w:cs="Times New Roman"/>
          <w:sz w:val="24"/>
          <w:szCs w:val="24"/>
          <w:lang w:val="es-PR"/>
        </w:rPr>
        <w:t xml:space="preserve">olicite memoriales explicativos, </w:t>
      </w:r>
      <w:r w:rsidRPr="00121739">
        <w:rPr>
          <w:rFonts w:ascii="Book Antiqua" w:eastAsia="Times New Roman" w:hAnsi="Book Antiqua" w:cs="Times New Roman"/>
          <w:sz w:val="24"/>
          <w:szCs w:val="24"/>
          <w:lang w:val="es-PR"/>
        </w:rPr>
        <w:t xml:space="preserve">contrate al </w:t>
      </w:r>
      <w:r>
        <w:rPr>
          <w:rFonts w:ascii="Book Antiqua" w:eastAsia="Times New Roman" w:hAnsi="Book Antiqua" w:cs="Times New Roman"/>
          <w:sz w:val="24"/>
          <w:szCs w:val="24"/>
          <w:lang w:val="es-PR"/>
        </w:rPr>
        <w:t>personal que entienda necesario</w:t>
      </w:r>
      <w:r w:rsidRPr="00121739">
        <w:rPr>
          <w:rFonts w:ascii="Book Antiqua" w:eastAsia="Times New Roman" w:hAnsi="Book Antiqua" w:cs="Times New Roman"/>
          <w:sz w:val="24"/>
          <w:szCs w:val="24"/>
          <w:lang w:val="es-PR"/>
        </w:rPr>
        <w:t xml:space="preserve"> dentro del presupuesto asignado a la Comisión Especial Conjunta en la Sección </w:t>
      </w:r>
      <w:r>
        <w:rPr>
          <w:rFonts w:ascii="Book Antiqua" w:eastAsia="Times New Roman" w:hAnsi="Book Antiqua" w:cs="Times New Roman"/>
          <w:sz w:val="24"/>
          <w:szCs w:val="24"/>
          <w:lang w:val="es-PR"/>
        </w:rPr>
        <w:t>8</w:t>
      </w:r>
      <w:r w:rsidRPr="00121739">
        <w:rPr>
          <w:rFonts w:ascii="Book Antiqua" w:eastAsia="Times New Roman" w:hAnsi="Book Antiqua" w:cs="Times New Roman"/>
          <w:sz w:val="24"/>
          <w:szCs w:val="24"/>
          <w:lang w:val="es-PR"/>
        </w:rPr>
        <w:t xml:space="preserve"> de esta Resolución Con</w:t>
      </w:r>
      <w:r>
        <w:rPr>
          <w:rFonts w:ascii="Book Antiqua" w:eastAsia="Times New Roman" w:hAnsi="Book Antiqua" w:cs="Times New Roman"/>
          <w:sz w:val="24"/>
          <w:szCs w:val="24"/>
          <w:lang w:val="es-PR"/>
        </w:rPr>
        <w:t>currente, y lleve a cabo cualquier otra función que los copresidentes le asignen</w:t>
      </w:r>
      <w:r w:rsidRPr="00121739">
        <w:rPr>
          <w:rFonts w:ascii="Book Antiqua" w:eastAsia="Times New Roman" w:hAnsi="Book Antiqua" w:cs="Times New Roman"/>
          <w:sz w:val="24"/>
          <w:szCs w:val="24"/>
          <w:lang w:val="es-PR"/>
        </w:rPr>
        <w:t>.</w:t>
      </w:r>
    </w:p>
    <w:p w14:paraId="08BFA3D5" w14:textId="77777777" w:rsidR="00704B93" w:rsidRPr="00121739"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8.-</w:t>
      </w:r>
      <w:r w:rsidRPr="00121739">
        <w:rPr>
          <w:rFonts w:ascii="Book Antiqua" w:eastAsia="Times New Roman" w:hAnsi="Book Antiqua" w:cs="Times New Roman"/>
          <w:sz w:val="24"/>
          <w:szCs w:val="24"/>
          <w:lang w:val="es-PR"/>
        </w:rPr>
        <w:t xml:space="preserve">El presupuesto operacional total de la Comisión </w:t>
      </w:r>
      <w:r>
        <w:rPr>
          <w:rFonts w:ascii="Book Antiqua" w:eastAsia="Times New Roman" w:hAnsi="Book Antiqua" w:cs="Times New Roman"/>
          <w:sz w:val="24"/>
          <w:szCs w:val="24"/>
          <w:lang w:val="es-PR"/>
        </w:rPr>
        <w:t xml:space="preserve">Especial </w:t>
      </w:r>
      <w:r w:rsidRPr="00121739">
        <w:rPr>
          <w:rFonts w:ascii="Book Antiqua" w:eastAsia="Times New Roman" w:hAnsi="Book Antiqua" w:cs="Times New Roman"/>
          <w:sz w:val="24"/>
          <w:szCs w:val="24"/>
          <w:lang w:val="es-PR"/>
        </w:rPr>
        <w:t>Conjunta será de cien mil dólares ($100</w:t>
      </w:r>
      <w:r>
        <w:rPr>
          <w:rFonts w:ascii="Book Antiqua" w:eastAsia="Times New Roman" w:hAnsi="Book Antiqua" w:cs="Times New Roman"/>
          <w:sz w:val="24"/>
          <w:szCs w:val="24"/>
          <w:lang w:val="es-PR"/>
        </w:rPr>
        <w:t xml:space="preserve">,000) por año fiscal, al amparo </w:t>
      </w:r>
      <w:r w:rsidRPr="001C2515">
        <w:rPr>
          <w:rFonts w:ascii="Book Antiqua" w:eastAsia="Times New Roman" w:hAnsi="Book Antiqua" w:cs="Times New Roman"/>
          <w:sz w:val="24"/>
          <w:szCs w:val="24"/>
          <w:lang w:val="es-PR"/>
        </w:rPr>
        <w:t>de</w:t>
      </w:r>
      <w:r>
        <w:rPr>
          <w:rFonts w:ascii="Book Antiqua" w:eastAsia="Times New Roman" w:hAnsi="Book Antiqua" w:cs="Times New Roman"/>
          <w:sz w:val="24"/>
          <w:szCs w:val="24"/>
          <w:lang w:val="es-PR"/>
        </w:rPr>
        <w:t xml:space="preserve"> la Sección 10</w:t>
      </w:r>
      <w:r w:rsidRPr="00121739">
        <w:rPr>
          <w:rFonts w:ascii="Book Antiqua" w:eastAsia="Times New Roman" w:hAnsi="Book Antiqua" w:cs="Times New Roman"/>
          <w:sz w:val="24"/>
          <w:szCs w:val="24"/>
          <w:lang w:val="es-PR"/>
        </w:rPr>
        <w:t xml:space="preserve"> de esta Resolución Con</w:t>
      </w:r>
      <w:r>
        <w:rPr>
          <w:rFonts w:ascii="Book Antiqua" w:eastAsia="Times New Roman" w:hAnsi="Book Antiqua" w:cs="Times New Roman"/>
          <w:sz w:val="24"/>
          <w:szCs w:val="24"/>
          <w:lang w:val="es-PR"/>
        </w:rPr>
        <w:t>currente</w:t>
      </w:r>
      <w:r w:rsidRPr="00121739">
        <w:rPr>
          <w:rFonts w:ascii="Book Antiqua" w:eastAsia="Times New Roman" w:hAnsi="Book Antiqua" w:cs="Times New Roman"/>
          <w:sz w:val="24"/>
          <w:szCs w:val="24"/>
          <w:lang w:val="es-PR"/>
        </w:rPr>
        <w:t>.</w:t>
      </w:r>
    </w:p>
    <w:p w14:paraId="3AFCDDB9" w14:textId="49C92D32" w:rsidR="00704B93" w:rsidRPr="00121739"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9.-</w:t>
      </w:r>
      <w:r w:rsidRPr="00121739">
        <w:rPr>
          <w:rFonts w:ascii="Book Antiqua" w:eastAsia="Times New Roman" w:hAnsi="Book Antiqua" w:cs="Times New Roman"/>
          <w:sz w:val="24"/>
          <w:szCs w:val="24"/>
          <w:lang w:val="es-PR"/>
        </w:rPr>
        <w:t>La Comisión Especial Co</w:t>
      </w:r>
      <w:r>
        <w:rPr>
          <w:rFonts w:ascii="Book Antiqua" w:eastAsia="Times New Roman" w:hAnsi="Book Antiqua" w:cs="Times New Roman"/>
          <w:sz w:val="24"/>
          <w:szCs w:val="24"/>
          <w:lang w:val="es-PR"/>
        </w:rPr>
        <w:t>njunta deberá rendir su informe</w:t>
      </w:r>
      <w:r w:rsidRPr="00121739">
        <w:rPr>
          <w:rFonts w:ascii="Book Antiqua" w:eastAsia="Times New Roman" w:hAnsi="Book Antiqua" w:cs="Times New Roman"/>
          <w:sz w:val="24"/>
          <w:szCs w:val="24"/>
          <w:lang w:val="es-PR"/>
        </w:rPr>
        <w:t xml:space="preserve"> final con sus hallazgos, recomendaciones, conclusiones y propuesta de proyecto de ley sobre un</w:t>
      </w:r>
      <w:r>
        <w:rPr>
          <w:rFonts w:ascii="Book Antiqua" w:eastAsia="Times New Roman" w:hAnsi="Book Antiqua" w:cs="Times New Roman"/>
          <w:sz w:val="24"/>
          <w:szCs w:val="24"/>
          <w:lang w:val="es-PR"/>
        </w:rPr>
        <w:t>a</w:t>
      </w:r>
      <w:r w:rsidRPr="00121739">
        <w:rPr>
          <w:rFonts w:ascii="Book Antiqua" w:eastAsia="Times New Roman" w:hAnsi="Book Antiqua" w:cs="Times New Roman"/>
          <w:sz w:val="24"/>
          <w:szCs w:val="24"/>
          <w:lang w:val="es-PR"/>
        </w:rPr>
        <w:t xml:space="preserve"> nuev</w:t>
      </w:r>
      <w:r>
        <w:rPr>
          <w:rFonts w:ascii="Book Antiqua" w:eastAsia="Times New Roman" w:hAnsi="Book Antiqua" w:cs="Times New Roman"/>
          <w:sz w:val="24"/>
          <w:szCs w:val="24"/>
          <w:lang w:val="es-PR"/>
        </w:rPr>
        <w:t>a</w:t>
      </w:r>
      <w:r w:rsidRPr="00121739">
        <w:rPr>
          <w:rFonts w:ascii="Book Antiqua" w:eastAsia="Times New Roman" w:hAnsi="Book Antiqua" w:cs="Times New Roman"/>
          <w:sz w:val="24"/>
          <w:szCs w:val="24"/>
          <w:lang w:val="es-PR"/>
        </w:rPr>
        <w:t xml:space="preserve"> </w:t>
      </w:r>
      <w:r>
        <w:rPr>
          <w:rFonts w:ascii="Book Antiqua" w:eastAsia="Times New Roman" w:hAnsi="Book Antiqua" w:cs="Times New Roman"/>
          <w:sz w:val="24"/>
          <w:szCs w:val="24"/>
          <w:lang w:val="es-PR"/>
        </w:rPr>
        <w:t>ley</w:t>
      </w:r>
      <w:r w:rsidRPr="00121739">
        <w:rPr>
          <w:rFonts w:ascii="Book Antiqua" w:eastAsia="Times New Roman" w:hAnsi="Book Antiqua" w:cs="Times New Roman"/>
          <w:sz w:val="24"/>
          <w:szCs w:val="24"/>
          <w:lang w:val="es-PR"/>
        </w:rPr>
        <w:t xml:space="preserve"> </w:t>
      </w:r>
      <w:r>
        <w:rPr>
          <w:rFonts w:ascii="Book Antiqua" w:eastAsia="Times New Roman" w:hAnsi="Book Antiqua" w:cs="Times New Roman"/>
          <w:sz w:val="24"/>
          <w:szCs w:val="24"/>
          <w:lang w:val="es-PR"/>
        </w:rPr>
        <w:t>e</w:t>
      </w:r>
      <w:r w:rsidRPr="00121739">
        <w:rPr>
          <w:rFonts w:ascii="Book Antiqua" w:eastAsia="Times New Roman" w:hAnsi="Book Antiqua" w:cs="Times New Roman"/>
          <w:sz w:val="24"/>
          <w:szCs w:val="24"/>
          <w:lang w:val="es-PR"/>
        </w:rPr>
        <w:t>lectoral en las Secretarías de ambos cuerpos legislativos en o antes del 31 de diciembre de</w:t>
      </w:r>
      <w:r>
        <w:rPr>
          <w:rFonts w:ascii="Book Antiqua" w:eastAsia="Times New Roman" w:hAnsi="Book Antiqua" w:cs="Times New Roman"/>
          <w:sz w:val="24"/>
          <w:szCs w:val="24"/>
          <w:lang w:val="es-PR"/>
        </w:rPr>
        <w:t xml:space="preserve"> 202</w:t>
      </w:r>
      <w:r w:rsidR="00AE28F3">
        <w:rPr>
          <w:rFonts w:ascii="Book Antiqua" w:eastAsia="Times New Roman" w:hAnsi="Book Antiqua" w:cs="Times New Roman"/>
          <w:sz w:val="24"/>
          <w:szCs w:val="24"/>
          <w:lang w:val="es-PR"/>
        </w:rPr>
        <w:t>6</w:t>
      </w:r>
      <w:r>
        <w:rPr>
          <w:rFonts w:ascii="Book Antiqua" w:eastAsia="Times New Roman" w:hAnsi="Book Antiqua" w:cs="Times New Roman"/>
          <w:sz w:val="24"/>
          <w:szCs w:val="24"/>
          <w:lang w:val="es-PR"/>
        </w:rPr>
        <w:t>.</w:t>
      </w:r>
    </w:p>
    <w:p w14:paraId="11D2D6A8" w14:textId="5233E774" w:rsidR="00704B93" w:rsidRPr="00121739" w:rsidRDefault="00704B93" w:rsidP="00704B93">
      <w:pPr>
        <w:spacing w:after="0" w:line="480" w:lineRule="auto"/>
        <w:ind w:firstLine="720"/>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Sección 10.-</w:t>
      </w:r>
      <w:r w:rsidRPr="00121739">
        <w:rPr>
          <w:rFonts w:ascii="Book Antiqua" w:eastAsia="Times New Roman" w:hAnsi="Book Antiqua" w:cs="Times New Roman"/>
          <w:sz w:val="24"/>
          <w:szCs w:val="24"/>
          <w:lang w:val="es-PR"/>
        </w:rPr>
        <w:t xml:space="preserve">Se asignan </w:t>
      </w:r>
      <w:r>
        <w:rPr>
          <w:rFonts w:ascii="Book Antiqua" w:eastAsia="Times New Roman" w:hAnsi="Book Antiqua" w:cs="Times New Roman"/>
          <w:sz w:val="24"/>
          <w:szCs w:val="24"/>
          <w:lang w:val="es-PR"/>
        </w:rPr>
        <w:t>cien</w:t>
      </w:r>
      <w:r w:rsidRPr="00121739">
        <w:rPr>
          <w:rFonts w:ascii="Book Antiqua" w:eastAsia="Times New Roman" w:hAnsi="Book Antiqua" w:cs="Times New Roman"/>
          <w:sz w:val="24"/>
          <w:szCs w:val="24"/>
          <w:lang w:val="es-PR"/>
        </w:rPr>
        <w:t xml:space="preserve"> mil dólares ($</w:t>
      </w:r>
      <w:r>
        <w:rPr>
          <w:rFonts w:ascii="Book Antiqua" w:eastAsia="Times New Roman" w:hAnsi="Book Antiqua" w:cs="Times New Roman"/>
          <w:sz w:val="24"/>
          <w:szCs w:val="24"/>
          <w:lang w:val="es-PR"/>
        </w:rPr>
        <w:t>100</w:t>
      </w:r>
      <w:r w:rsidRPr="00121739">
        <w:rPr>
          <w:rFonts w:ascii="Book Antiqua" w:eastAsia="Times New Roman" w:hAnsi="Book Antiqua" w:cs="Times New Roman"/>
          <w:sz w:val="24"/>
          <w:szCs w:val="24"/>
          <w:lang w:val="es-PR"/>
        </w:rPr>
        <w:t>,000) del presupuesto operacional de la Cámara de Representantes y el Senado de Puerto Rico para el</w:t>
      </w:r>
      <w:r>
        <w:rPr>
          <w:rFonts w:ascii="Book Antiqua" w:eastAsia="Times New Roman" w:hAnsi="Book Antiqua" w:cs="Times New Roman"/>
          <w:sz w:val="24"/>
          <w:szCs w:val="24"/>
          <w:lang w:val="es-PR"/>
        </w:rPr>
        <w:t xml:space="preserve"> año fiscal 202</w:t>
      </w:r>
      <w:r w:rsidR="00AE28F3">
        <w:rPr>
          <w:rFonts w:ascii="Book Antiqua" w:eastAsia="Times New Roman" w:hAnsi="Book Antiqua" w:cs="Times New Roman"/>
          <w:sz w:val="24"/>
          <w:szCs w:val="24"/>
          <w:lang w:val="es-PR"/>
        </w:rPr>
        <w:t>5</w:t>
      </w:r>
      <w:r>
        <w:rPr>
          <w:rFonts w:ascii="Book Antiqua" w:eastAsia="Times New Roman" w:hAnsi="Book Antiqua" w:cs="Times New Roman"/>
          <w:sz w:val="24"/>
          <w:szCs w:val="24"/>
          <w:lang w:val="es-PR"/>
        </w:rPr>
        <w:t>-202</w:t>
      </w:r>
      <w:r w:rsidR="00AE28F3">
        <w:rPr>
          <w:rFonts w:ascii="Book Antiqua" w:eastAsia="Times New Roman" w:hAnsi="Book Antiqua" w:cs="Times New Roman"/>
          <w:sz w:val="24"/>
          <w:szCs w:val="24"/>
          <w:lang w:val="es-PR"/>
        </w:rPr>
        <w:t>6</w:t>
      </w:r>
      <w:r w:rsidRPr="00121739">
        <w:rPr>
          <w:rFonts w:ascii="Book Antiqua" w:eastAsia="Times New Roman" w:hAnsi="Book Antiqua" w:cs="Times New Roman"/>
          <w:sz w:val="24"/>
          <w:szCs w:val="24"/>
          <w:lang w:val="es-PR"/>
        </w:rPr>
        <w:t xml:space="preserve"> a la Comisión Especial Conjunta para su funcionamiento y operación. La Cámara de Representantes y el Senado de Puerto Rico, respectivamente, sufragará</w:t>
      </w:r>
      <w:r>
        <w:rPr>
          <w:rFonts w:ascii="Book Antiqua" w:eastAsia="Times New Roman" w:hAnsi="Book Antiqua" w:cs="Times New Roman"/>
          <w:sz w:val="24"/>
          <w:szCs w:val="24"/>
          <w:lang w:val="es-PR"/>
        </w:rPr>
        <w:t>n</w:t>
      </w:r>
      <w:r w:rsidRPr="00121739">
        <w:rPr>
          <w:rFonts w:ascii="Book Antiqua" w:eastAsia="Times New Roman" w:hAnsi="Book Antiqua" w:cs="Times New Roman"/>
          <w:sz w:val="24"/>
          <w:szCs w:val="24"/>
          <w:lang w:val="es-PR"/>
        </w:rPr>
        <w:t xml:space="preserve"> el cincuenta por ciento (50%) del presupuesto asignado a la Comisión Especial Conjunta.</w:t>
      </w:r>
      <w:r>
        <w:rPr>
          <w:rFonts w:ascii="Book Antiqua" w:eastAsia="Times New Roman" w:hAnsi="Book Antiqua" w:cs="Times New Roman"/>
          <w:sz w:val="24"/>
          <w:szCs w:val="24"/>
          <w:lang w:val="es-PR"/>
        </w:rPr>
        <w:t xml:space="preserve"> Ambos cuerpos </w:t>
      </w:r>
      <w:r>
        <w:rPr>
          <w:rFonts w:ascii="Book Antiqua" w:eastAsia="Times New Roman" w:hAnsi="Book Antiqua" w:cs="Times New Roman"/>
          <w:sz w:val="24"/>
          <w:szCs w:val="24"/>
          <w:lang w:val="es-PR"/>
        </w:rPr>
        <w:lastRenderedPageBreak/>
        <w:t xml:space="preserve">legislativos proveerán a la Comisión Especial Conjunta las facilidades, materiales y recursos necesarios para que pueda cumplir con sus propósitos. </w:t>
      </w:r>
    </w:p>
    <w:p w14:paraId="3A15282D" w14:textId="16814ACD" w:rsidR="00B226C7" w:rsidRPr="00121739" w:rsidRDefault="00704B93" w:rsidP="00F9475F">
      <w:pPr>
        <w:spacing w:after="0" w:line="480" w:lineRule="auto"/>
        <w:ind w:firstLine="720"/>
        <w:jc w:val="both"/>
        <w:rPr>
          <w:rFonts w:ascii="Book Antiqua" w:eastAsia="Calibri" w:hAnsi="Book Antiqua" w:cs="Times New Roman"/>
          <w:sz w:val="24"/>
          <w:szCs w:val="24"/>
          <w:lang w:val="es-US"/>
        </w:rPr>
      </w:pPr>
      <w:r w:rsidRPr="00121739">
        <w:rPr>
          <w:rFonts w:ascii="Book Antiqua" w:eastAsia="Times New Roman" w:hAnsi="Book Antiqua" w:cs="Times New Roman"/>
          <w:sz w:val="24"/>
          <w:szCs w:val="24"/>
          <w:lang w:val="es-PR"/>
        </w:rPr>
        <w:t xml:space="preserve">Sección </w:t>
      </w:r>
      <w:r>
        <w:rPr>
          <w:rFonts w:ascii="Book Antiqua" w:eastAsia="Times New Roman" w:hAnsi="Book Antiqua" w:cs="Times New Roman"/>
          <w:sz w:val="24"/>
          <w:szCs w:val="24"/>
          <w:lang w:val="es-PR"/>
        </w:rPr>
        <w:t>11</w:t>
      </w:r>
      <w:r w:rsidRPr="00121739">
        <w:rPr>
          <w:rFonts w:ascii="Book Antiqua" w:eastAsia="Times New Roman" w:hAnsi="Book Antiqua" w:cs="Times New Roman"/>
          <w:sz w:val="24"/>
          <w:szCs w:val="24"/>
          <w:lang w:val="es-PR"/>
        </w:rPr>
        <w:t>.</w:t>
      </w:r>
      <w:r>
        <w:rPr>
          <w:rFonts w:ascii="Book Antiqua" w:eastAsia="Times New Roman" w:hAnsi="Book Antiqua" w:cs="Times New Roman"/>
          <w:sz w:val="24"/>
          <w:szCs w:val="24"/>
          <w:lang w:val="es-PR"/>
        </w:rPr>
        <w:t>-</w:t>
      </w:r>
      <w:r w:rsidRPr="00121739">
        <w:rPr>
          <w:rFonts w:ascii="Book Antiqua" w:eastAsia="Times New Roman" w:hAnsi="Book Antiqua" w:cs="Times New Roman"/>
          <w:sz w:val="24"/>
          <w:szCs w:val="24"/>
          <w:lang w:val="es-PR"/>
        </w:rPr>
        <w:t>Esta Resolución Con</w:t>
      </w:r>
      <w:r>
        <w:rPr>
          <w:rFonts w:ascii="Book Antiqua" w:eastAsia="Times New Roman" w:hAnsi="Book Antiqua" w:cs="Times New Roman"/>
          <w:sz w:val="24"/>
          <w:szCs w:val="24"/>
          <w:lang w:val="es-PR"/>
        </w:rPr>
        <w:t>currente</w:t>
      </w:r>
      <w:r w:rsidRPr="00121739">
        <w:rPr>
          <w:rFonts w:ascii="Book Antiqua" w:eastAsia="Times New Roman" w:hAnsi="Book Antiqua" w:cs="Times New Roman"/>
          <w:sz w:val="24"/>
          <w:szCs w:val="24"/>
          <w:lang w:val="es-PR"/>
        </w:rPr>
        <w:t xml:space="preserve"> comenzará a regir inmediatamente </w:t>
      </w:r>
      <w:r>
        <w:rPr>
          <w:rFonts w:ascii="Book Antiqua" w:eastAsia="Times New Roman" w:hAnsi="Book Antiqua" w:cs="Times New Roman"/>
          <w:sz w:val="24"/>
          <w:szCs w:val="24"/>
          <w:lang w:val="es-PR"/>
        </w:rPr>
        <w:t>sea firmada por los presidentes de ambos cuerpos legislativos.</w:t>
      </w:r>
      <w:r w:rsidRPr="00121739">
        <w:rPr>
          <w:rFonts w:ascii="Book Antiqua" w:eastAsia="Calibri" w:hAnsi="Book Antiqua" w:cs="Times New Roman"/>
          <w:sz w:val="24"/>
          <w:szCs w:val="24"/>
          <w:lang w:val="es-US"/>
        </w:rPr>
        <w:t xml:space="preserve"> </w:t>
      </w:r>
    </w:p>
    <w:sectPr w:rsidR="00B226C7" w:rsidRPr="00121739" w:rsidSect="002147C5">
      <w:headerReference w:type="default" r:id="rId10"/>
      <w:headerReference w:type="first" r:id="rId1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27029" w14:textId="77777777" w:rsidR="00482104" w:rsidRDefault="00482104">
      <w:pPr>
        <w:spacing w:after="0" w:line="240" w:lineRule="auto"/>
      </w:pPr>
      <w:r>
        <w:separator/>
      </w:r>
    </w:p>
  </w:endnote>
  <w:endnote w:type="continuationSeparator" w:id="0">
    <w:p w14:paraId="766E4284" w14:textId="77777777" w:rsidR="00482104" w:rsidRDefault="00482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284E7" w14:textId="77777777" w:rsidR="00482104" w:rsidRDefault="00482104">
      <w:pPr>
        <w:spacing w:after="0" w:line="240" w:lineRule="auto"/>
      </w:pPr>
      <w:r>
        <w:separator/>
      </w:r>
    </w:p>
  </w:footnote>
  <w:footnote w:type="continuationSeparator" w:id="0">
    <w:p w14:paraId="009FE883" w14:textId="77777777" w:rsidR="00482104" w:rsidRDefault="004821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2593C" w14:textId="77777777" w:rsidR="00704B93" w:rsidRDefault="00704B93">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FAAEC" w14:textId="77777777" w:rsidR="00704B93" w:rsidRDefault="00704B93">
    <w:pPr>
      <w:pStyle w:val="Header"/>
    </w:pPr>
    <w:r>
      <w:tab/>
    </w:r>
    <w: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CD8A2" w14:textId="15194A99" w:rsidR="00A83F36" w:rsidRDefault="00A83F36">
    <w:pPr>
      <w:pStyle w:val="Header"/>
      <w:jc w:val="center"/>
    </w:pPr>
    <w:r>
      <w:rPr>
        <w:rStyle w:val="PageNumber"/>
      </w:rPr>
      <w:fldChar w:fldCharType="begin"/>
    </w:r>
    <w:r>
      <w:rPr>
        <w:rStyle w:val="PageNumber"/>
      </w:rPr>
      <w:instrText xml:space="preserve"> PAGE </w:instrText>
    </w:r>
    <w:r>
      <w:rPr>
        <w:rStyle w:val="PageNumber"/>
      </w:rPr>
      <w:fldChar w:fldCharType="separate"/>
    </w:r>
    <w:r w:rsidR="00A533CF">
      <w:rPr>
        <w:rStyle w:val="PageNumber"/>
        <w:noProof/>
      </w:rPr>
      <w:t>4</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9058" w14:textId="77777777" w:rsidR="00A83F36" w:rsidRDefault="00A83F36">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361BD"/>
    <w:multiLevelType w:val="hybridMultilevel"/>
    <w:tmpl w:val="4A82AFF6"/>
    <w:lvl w:ilvl="0" w:tplc="73309A70">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16cid:durableId="1786269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857"/>
    <w:rsid w:val="00012A48"/>
    <w:rsid w:val="0001597D"/>
    <w:rsid w:val="00032217"/>
    <w:rsid w:val="00033D2E"/>
    <w:rsid w:val="000349EC"/>
    <w:rsid w:val="00063DD7"/>
    <w:rsid w:val="000A4AD2"/>
    <w:rsid w:val="000B45E0"/>
    <w:rsid w:val="00121739"/>
    <w:rsid w:val="00154FC2"/>
    <w:rsid w:val="0019205C"/>
    <w:rsid w:val="001F0108"/>
    <w:rsid w:val="001F0D2B"/>
    <w:rsid w:val="001F4D6E"/>
    <w:rsid w:val="001F51B8"/>
    <w:rsid w:val="002147C5"/>
    <w:rsid w:val="00215C0F"/>
    <w:rsid w:val="002437D3"/>
    <w:rsid w:val="002479EA"/>
    <w:rsid w:val="00276D40"/>
    <w:rsid w:val="002B2CD8"/>
    <w:rsid w:val="00307805"/>
    <w:rsid w:val="003120DD"/>
    <w:rsid w:val="00323788"/>
    <w:rsid w:val="00387DAF"/>
    <w:rsid w:val="003A6EED"/>
    <w:rsid w:val="003B2533"/>
    <w:rsid w:val="003C2CFF"/>
    <w:rsid w:val="003F37C7"/>
    <w:rsid w:val="004001C8"/>
    <w:rsid w:val="004127BB"/>
    <w:rsid w:val="004222C7"/>
    <w:rsid w:val="004267CE"/>
    <w:rsid w:val="00432F94"/>
    <w:rsid w:val="00474E16"/>
    <w:rsid w:val="00482104"/>
    <w:rsid w:val="004976CA"/>
    <w:rsid w:val="004A4B6B"/>
    <w:rsid w:val="004B7857"/>
    <w:rsid w:val="004C01CC"/>
    <w:rsid w:val="00504017"/>
    <w:rsid w:val="00510370"/>
    <w:rsid w:val="00512984"/>
    <w:rsid w:val="005160A8"/>
    <w:rsid w:val="00533EBF"/>
    <w:rsid w:val="005453CC"/>
    <w:rsid w:val="00565887"/>
    <w:rsid w:val="005671AF"/>
    <w:rsid w:val="00573C83"/>
    <w:rsid w:val="00590FD4"/>
    <w:rsid w:val="005B0C2D"/>
    <w:rsid w:val="005B3E51"/>
    <w:rsid w:val="005B60A4"/>
    <w:rsid w:val="005F72C8"/>
    <w:rsid w:val="00695936"/>
    <w:rsid w:val="00697F8E"/>
    <w:rsid w:val="006A2923"/>
    <w:rsid w:val="006A52FD"/>
    <w:rsid w:val="006B1E3E"/>
    <w:rsid w:val="006B51EE"/>
    <w:rsid w:val="006C0A5B"/>
    <w:rsid w:val="006C6167"/>
    <w:rsid w:val="006D24DA"/>
    <w:rsid w:val="006D6035"/>
    <w:rsid w:val="00704B93"/>
    <w:rsid w:val="00722FCE"/>
    <w:rsid w:val="0073164C"/>
    <w:rsid w:val="007703EF"/>
    <w:rsid w:val="007C09D2"/>
    <w:rsid w:val="007C0B72"/>
    <w:rsid w:val="007D10BE"/>
    <w:rsid w:val="0080100E"/>
    <w:rsid w:val="0086709A"/>
    <w:rsid w:val="0088451B"/>
    <w:rsid w:val="00892D4F"/>
    <w:rsid w:val="008B5548"/>
    <w:rsid w:val="008D721D"/>
    <w:rsid w:val="00902E91"/>
    <w:rsid w:val="00906E58"/>
    <w:rsid w:val="00937524"/>
    <w:rsid w:val="009463A2"/>
    <w:rsid w:val="009A68FA"/>
    <w:rsid w:val="009D37B1"/>
    <w:rsid w:val="00A33477"/>
    <w:rsid w:val="00A336BF"/>
    <w:rsid w:val="00A533CF"/>
    <w:rsid w:val="00A66738"/>
    <w:rsid w:val="00A82E20"/>
    <w:rsid w:val="00A83F36"/>
    <w:rsid w:val="00A944F9"/>
    <w:rsid w:val="00AA1E61"/>
    <w:rsid w:val="00AA52FB"/>
    <w:rsid w:val="00AA7DF8"/>
    <w:rsid w:val="00AC3EEF"/>
    <w:rsid w:val="00AE28F3"/>
    <w:rsid w:val="00B105AC"/>
    <w:rsid w:val="00B226C7"/>
    <w:rsid w:val="00B57FF8"/>
    <w:rsid w:val="00BA4B2A"/>
    <w:rsid w:val="00BB7BFE"/>
    <w:rsid w:val="00BC2266"/>
    <w:rsid w:val="00BC708B"/>
    <w:rsid w:val="00BF385C"/>
    <w:rsid w:val="00C3276F"/>
    <w:rsid w:val="00C91041"/>
    <w:rsid w:val="00C97CC7"/>
    <w:rsid w:val="00CB4360"/>
    <w:rsid w:val="00CE03A0"/>
    <w:rsid w:val="00D225F3"/>
    <w:rsid w:val="00D460AF"/>
    <w:rsid w:val="00D61714"/>
    <w:rsid w:val="00D94926"/>
    <w:rsid w:val="00DA6B3B"/>
    <w:rsid w:val="00DF4D20"/>
    <w:rsid w:val="00E236EB"/>
    <w:rsid w:val="00E700D7"/>
    <w:rsid w:val="00E86693"/>
    <w:rsid w:val="00EB235B"/>
    <w:rsid w:val="00EC7FBE"/>
    <w:rsid w:val="00EE20E8"/>
    <w:rsid w:val="00F143D1"/>
    <w:rsid w:val="00F229B2"/>
    <w:rsid w:val="00F4387F"/>
    <w:rsid w:val="00F775DE"/>
    <w:rsid w:val="00F9475F"/>
    <w:rsid w:val="00FA0EAD"/>
    <w:rsid w:val="00FC3B18"/>
    <w:rsid w:val="00FE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7F7F2"/>
  <w15:chartTrackingRefBased/>
  <w15:docId w15:val="{9916AF47-3B49-4F6E-8B85-88938F8C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78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7857"/>
  </w:style>
  <w:style w:type="character" w:styleId="PageNumber">
    <w:name w:val="page number"/>
    <w:basedOn w:val="DefaultParagraphFont"/>
    <w:rsid w:val="004B7857"/>
  </w:style>
  <w:style w:type="character" w:styleId="LineNumber">
    <w:name w:val="line number"/>
    <w:basedOn w:val="DefaultParagraphFont"/>
    <w:uiPriority w:val="99"/>
    <w:semiHidden/>
    <w:unhideWhenUsed/>
    <w:rsid w:val="004B7857"/>
  </w:style>
  <w:style w:type="paragraph" w:styleId="BalloonText">
    <w:name w:val="Balloon Text"/>
    <w:basedOn w:val="Normal"/>
    <w:link w:val="BalloonTextChar"/>
    <w:uiPriority w:val="99"/>
    <w:semiHidden/>
    <w:unhideWhenUsed/>
    <w:rsid w:val="008D7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21D"/>
    <w:rPr>
      <w:rFonts w:ascii="Segoe UI" w:hAnsi="Segoe UI" w:cs="Segoe UI"/>
      <w:sz w:val="18"/>
      <w:szCs w:val="18"/>
    </w:rPr>
  </w:style>
  <w:style w:type="paragraph" w:styleId="Title">
    <w:name w:val="Title"/>
    <w:basedOn w:val="Normal"/>
    <w:link w:val="TitleChar"/>
    <w:qFormat/>
    <w:rsid w:val="009463A2"/>
    <w:pPr>
      <w:overflowPunct w:val="0"/>
      <w:autoSpaceDE w:val="0"/>
      <w:autoSpaceDN w:val="0"/>
      <w:adjustRightInd w:val="0"/>
      <w:spacing w:after="0" w:line="480" w:lineRule="auto"/>
      <w:jc w:val="center"/>
      <w:textAlignment w:val="baseline"/>
    </w:pPr>
    <w:rPr>
      <w:rFonts w:ascii="Comic Sans MS" w:eastAsia="SimSun" w:hAnsi="Comic Sans MS" w:cs="Times New Roman"/>
      <w:b/>
      <w:szCs w:val="20"/>
      <w:lang w:val="es-PR"/>
    </w:rPr>
  </w:style>
  <w:style w:type="character" w:customStyle="1" w:styleId="TitleChar">
    <w:name w:val="Title Char"/>
    <w:basedOn w:val="DefaultParagraphFont"/>
    <w:link w:val="Title"/>
    <w:rsid w:val="009463A2"/>
    <w:rPr>
      <w:rFonts w:ascii="Comic Sans MS" w:eastAsia="SimSun" w:hAnsi="Comic Sans MS" w:cs="Times New Roman"/>
      <w:b/>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56763">
      <w:bodyDiv w:val="1"/>
      <w:marLeft w:val="0"/>
      <w:marRight w:val="0"/>
      <w:marTop w:val="0"/>
      <w:marBottom w:val="0"/>
      <w:divBdr>
        <w:top w:val="none" w:sz="0" w:space="0" w:color="auto"/>
        <w:left w:val="none" w:sz="0" w:space="0" w:color="auto"/>
        <w:bottom w:val="none" w:sz="0" w:space="0" w:color="auto"/>
        <w:right w:val="none" w:sz="0" w:space="0" w:color="auto"/>
      </w:divBdr>
    </w:div>
    <w:div w:id="1445149812">
      <w:bodyDiv w:val="1"/>
      <w:marLeft w:val="0"/>
      <w:marRight w:val="0"/>
      <w:marTop w:val="0"/>
      <w:marBottom w:val="0"/>
      <w:divBdr>
        <w:top w:val="none" w:sz="0" w:space="0" w:color="auto"/>
        <w:left w:val="none" w:sz="0" w:space="0" w:color="auto"/>
        <w:bottom w:val="none" w:sz="0" w:space="0" w:color="auto"/>
        <w:right w:val="none" w:sz="0" w:space="0" w:color="auto"/>
      </w:divBdr>
    </w:div>
    <w:div w:id="1879048862">
      <w:bodyDiv w:val="1"/>
      <w:marLeft w:val="0"/>
      <w:marRight w:val="0"/>
      <w:marTop w:val="0"/>
      <w:marBottom w:val="0"/>
      <w:divBdr>
        <w:top w:val="none" w:sz="0" w:space="0" w:color="auto"/>
        <w:left w:val="none" w:sz="0" w:space="0" w:color="auto"/>
        <w:bottom w:val="none" w:sz="0" w:space="0" w:color="auto"/>
        <w:right w:val="none" w:sz="0" w:space="0" w:color="auto"/>
      </w:divBdr>
    </w:div>
    <w:div w:id="206282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A418D-F126-4749-A33F-3B756C30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OFSA Comunidades Especiales PR</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amca</dc:creator>
  <cp:keywords/>
  <dc:description/>
  <cp:lastModifiedBy>Gladys J. Burgos Torres</cp:lastModifiedBy>
  <cp:revision>4</cp:revision>
  <cp:lastPrinted>2025-05-09T18:36:00Z</cp:lastPrinted>
  <dcterms:created xsi:type="dcterms:W3CDTF">2025-05-09T20:48:00Z</dcterms:created>
  <dcterms:modified xsi:type="dcterms:W3CDTF">2025-05-12T14:20:00Z</dcterms:modified>
</cp:coreProperties>
</file>