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0DB1D" w14:textId="5E2C9B45" w:rsidR="00D746FC" w:rsidRPr="00950CB9" w:rsidRDefault="00D746FC" w:rsidP="00E04DA5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950CB9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4BB2B9BB" w14:textId="77777777" w:rsidR="00D746FC" w:rsidRPr="00C82B33" w:rsidRDefault="00D746FC" w:rsidP="00D746FC">
      <w:pPr>
        <w:jc w:val="center"/>
        <w:rPr>
          <w:rFonts w:ascii="Book Antiqua" w:hAnsi="Book Antiqua"/>
          <w:lang w:val="es-ES_tradnl"/>
        </w:rPr>
      </w:pPr>
    </w:p>
    <w:p w14:paraId="228C1EBD" w14:textId="2E4C8906" w:rsidR="00D746FC" w:rsidRPr="00C82B33" w:rsidRDefault="00D746FC" w:rsidP="00D746FC">
      <w:pPr>
        <w:pStyle w:val="Title20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5E456B">
        <w:rPr>
          <w:rFonts w:ascii="Book Antiqua" w:hAnsi="Book Antiqua"/>
          <w:lang w:val="es-ES_tradnl"/>
        </w:rPr>
        <w:t>ma</w:t>
      </w:r>
      <w:r w:rsidRPr="00C82B33">
        <w:rPr>
          <w:rFonts w:ascii="Book Antiqua" w:hAnsi="Book Antiqua"/>
          <w:lang w:val="es-ES_tradnl"/>
        </w:rPr>
        <w:t>. Asamblea</w:t>
      </w:r>
      <w:r w:rsidRPr="00C82B33">
        <w:rPr>
          <w:rFonts w:ascii="Book Antiqua" w:hAnsi="Book Antiqua"/>
          <w:lang w:val="es-ES_tradnl"/>
        </w:rPr>
        <w:tab/>
      </w:r>
      <w:r w:rsidRPr="00C82B33">
        <w:rPr>
          <w:rFonts w:ascii="Book Antiqua" w:hAnsi="Book Antiqua"/>
          <w:lang w:val="es-ES_tradnl"/>
        </w:rPr>
        <w:tab/>
        <w:t xml:space="preserve">                                                                                  </w:t>
      </w:r>
      <w:r>
        <w:rPr>
          <w:rFonts w:ascii="Book Antiqua" w:hAnsi="Book Antiqua"/>
          <w:lang w:val="es-ES_tradnl"/>
        </w:rPr>
        <w:t>1r</w:t>
      </w:r>
      <w:r w:rsidRPr="00C82B33">
        <w:rPr>
          <w:rFonts w:ascii="Book Antiqua" w:hAnsi="Book Antiqua"/>
          <w:lang w:val="es-ES_tradnl"/>
        </w:rPr>
        <w:t>a. Sesión</w:t>
      </w:r>
    </w:p>
    <w:p w14:paraId="74841066" w14:textId="49EDDED7" w:rsidR="00D746FC" w:rsidRPr="00C82B33" w:rsidRDefault="00D746FC" w:rsidP="00D746FC">
      <w:pPr>
        <w:pStyle w:val="Title20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C82B33">
        <w:rPr>
          <w:rFonts w:ascii="Book Antiqua" w:hAnsi="Book Antiqua"/>
          <w:lang w:val="es-ES_tradnl"/>
        </w:rPr>
        <w:t xml:space="preserve">           Legislativa                                                                                                           Ordinaria</w:t>
      </w:r>
    </w:p>
    <w:p w14:paraId="09760DCC" w14:textId="77777777" w:rsidR="00D746FC" w:rsidRPr="00C82B33" w:rsidRDefault="00D746FC" w:rsidP="00D746FC">
      <w:pPr>
        <w:rPr>
          <w:rFonts w:ascii="Book Antiqua" w:hAnsi="Book Antiqua"/>
          <w:lang w:val="es-ES_tradnl"/>
        </w:rPr>
      </w:pPr>
    </w:p>
    <w:p w14:paraId="10FBFE97" w14:textId="77777777" w:rsidR="00D746FC" w:rsidRPr="005E456B" w:rsidRDefault="00D746FC" w:rsidP="00D746FC">
      <w:pPr>
        <w:pStyle w:val="Heading1"/>
        <w:rPr>
          <w:rFonts w:ascii="Book Antiqua" w:hAnsi="Book Antiqua"/>
          <w:b/>
          <w:bCs/>
          <w:spacing w:val="12"/>
          <w:sz w:val="36"/>
          <w:szCs w:val="36"/>
          <w:lang w:val="es-PR"/>
        </w:rPr>
      </w:pPr>
      <w:r w:rsidRPr="005E456B">
        <w:rPr>
          <w:rFonts w:ascii="Book Antiqua" w:hAnsi="Book Antiqua"/>
          <w:b/>
          <w:bCs/>
          <w:spacing w:val="12"/>
          <w:sz w:val="36"/>
          <w:szCs w:val="36"/>
          <w:lang w:val="es-PR"/>
        </w:rPr>
        <w:t>CÁMARA DE REPRESENTANTES</w:t>
      </w:r>
    </w:p>
    <w:p w14:paraId="2E62922A" w14:textId="77777777" w:rsidR="00D746FC" w:rsidRPr="00C82B33" w:rsidRDefault="00D746FC" w:rsidP="00D746FC">
      <w:pPr>
        <w:pStyle w:val="Heading1"/>
        <w:rPr>
          <w:rFonts w:ascii="Book Antiqua" w:hAnsi="Book Antiqua"/>
          <w:b/>
          <w:sz w:val="24"/>
          <w:szCs w:val="24"/>
        </w:rPr>
      </w:pPr>
    </w:p>
    <w:p w14:paraId="168E2EA6" w14:textId="34EC6A35" w:rsidR="00D746FC" w:rsidRPr="005E456B" w:rsidRDefault="00D746FC" w:rsidP="00D746FC">
      <w:pPr>
        <w:pStyle w:val="Heading1"/>
        <w:rPr>
          <w:rFonts w:ascii="Book Antiqua" w:hAnsi="Book Antiqua"/>
          <w:b/>
          <w:bCs/>
          <w:sz w:val="52"/>
          <w:szCs w:val="52"/>
        </w:rPr>
      </w:pPr>
      <w:r w:rsidRPr="005E456B">
        <w:rPr>
          <w:rFonts w:ascii="Book Antiqua" w:hAnsi="Book Antiqua"/>
          <w:b/>
          <w:bCs/>
          <w:sz w:val="52"/>
          <w:szCs w:val="52"/>
        </w:rPr>
        <w:t xml:space="preserve">R. de la C. </w:t>
      </w:r>
      <w:r w:rsidR="005C0FA4" w:rsidRPr="005E456B">
        <w:rPr>
          <w:rFonts w:ascii="Book Antiqua" w:hAnsi="Book Antiqua"/>
          <w:b/>
          <w:bCs/>
          <w:sz w:val="52"/>
          <w:szCs w:val="52"/>
        </w:rPr>
        <w:t>321</w:t>
      </w:r>
    </w:p>
    <w:p w14:paraId="67A06487" w14:textId="77777777" w:rsidR="00D746FC" w:rsidRPr="00C82B33" w:rsidRDefault="00D746FC" w:rsidP="00D746FC">
      <w:pPr>
        <w:rPr>
          <w:rFonts w:ascii="Book Antiqua" w:hAnsi="Book Antiqua"/>
          <w:lang w:val="es-ES_tradnl"/>
        </w:rPr>
      </w:pPr>
    </w:p>
    <w:p w14:paraId="0F3D8129" w14:textId="53943492" w:rsidR="00D746FC" w:rsidRPr="00C82B33" w:rsidRDefault="005E456B" w:rsidP="00D746F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12 DE MAYO DE 2025</w:t>
      </w:r>
    </w:p>
    <w:p w14:paraId="4590CDDF" w14:textId="77777777" w:rsidR="00D746FC" w:rsidRPr="00C82B33" w:rsidRDefault="00D746FC" w:rsidP="00D746FC">
      <w:pPr>
        <w:jc w:val="center"/>
        <w:rPr>
          <w:rFonts w:ascii="Book Antiqua" w:hAnsi="Book Antiqua"/>
          <w:lang w:val="es-ES_tradnl"/>
        </w:rPr>
      </w:pPr>
    </w:p>
    <w:p w14:paraId="5F36C4E4" w14:textId="77777777" w:rsidR="00D746FC" w:rsidRPr="00C82B33" w:rsidRDefault="00D746FC" w:rsidP="00D746FC">
      <w:pPr>
        <w:jc w:val="center"/>
        <w:rPr>
          <w:rFonts w:ascii="Book Antiqua" w:hAnsi="Book Antiqua"/>
          <w:i/>
          <w:lang w:val="es-ES_tradnl"/>
        </w:rPr>
      </w:pPr>
      <w:r w:rsidRPr="00C82B33">
        <w:rPr>
          <w:rFonts w:ascii="Book Antiqua" w:hAnsi="Book Antiqua"/>
          <w:lang w:val="es-ES_tradnl"/>
        </w:rPr>
        <w:t xml:space="preserve">Presentada por el representante </w:t>
      </w:r>
      <w:r w:rsidRPr="002408C3">
        <w:rPr>
          <w:rFonts w:ascii="Book Antiqua" w:hAnsi="Book Antiqua"/>
          <w:i/>
          <w:iCs/>
          <w:lang w:val="es-ES_tradnl"/>
        </w:rPr>
        <w:t>Pérez Cordero</w:t>
      </w:r>
    </w:p>
    <w:p w14:paraId="532C59B6" w14:textId="77777777" w:rsidR="00D746FC" w:rsidRPr="00C82B33" w:rsidRDefault="00D746FC" w:rsidP="00D746FC">
      <w:pPr>
        <w:jc w:val="center"/>
        <w:rPr>
          <w:rFonts w:ascii="Book Antiqua" w:hAnsi="Book Antiqua"/>
          <w:lang w:val="es-ES_tradnl"/>
        </w:rPr>
      </w:pPr>
    </w:p>
    <w:p w14:paraId="677A70C2" w14:textId="3FF48915" w:rsidR="00D746FC" w:rsidRPr="00C82B33" w:rsidRDefault="00D746FC" w:rsidP="00D746FC">
      <w:pPr>
        <w:jc w:val="center"/>
        <w:rPr>
          <w:rFonts w:ascii="Book Antiqua" w:hAnsi="Book Antiqua"/>
          <w:lang w:val="es-ES_tradnl" w:eastAsia="ja-JP"/>
        </w:rPr>
      </w:pPr>
      <w:r w:rsidRPr="00C82B33">
        <w:rPr>
          <w:rFonts w:ascii="Book Antiqua" w:hAnsi="Book Antiqua"/>
          <w:lang w:val="es-ES_tradnl"/>
        </w:rPr>
        <w:t xml:space="preserve">Referida a la Comisión </w:t>
      </w:r>
      <w:bookmarkStart w:id="0" w:name="_Hlk197595178"/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A</w:t>
      </w:r>
      <w:bookmarkEnd w:id="0"/>
      <w:r w:rsidR="002D2F65">
        <w:rPr>
          <w:rFonts w:ascii="Book Antiqua" w:hAnsi="Book Antiqua"/>
          <w:lang w:val="es-ES_tradnl"/>
        </w:rPr>
        <w:t>suntos Internos</w:t>
      </w:r>
    </w:p>
    <w:p w14:paraId="5F44B3EB" w14:textId="77777777" w:rsidR="00D746FC" w:rsidRPr="00C82B33" w:rsidRDefault="00D746FC" w:rsidP="00D746FC">
      <w:pPr>
        <w:jc w:val="both"/>
        <w:rPr>
          <w:rFonts w:ascii="Book Antiqua" w:hAnsi="Book Antiqua"/>
          <w:lang w:val="es-ES_tradnl"/>
        </w:rPr>
      </w:pPr>
    </w:p>
    <w:p w14:paraId="69B7185C" w14:textId="77777777" w:rsidR="00D746FC" w:rsidRPr="00D746FC" w:rsidRDefault="00D746FC" w:rsidP="00D746FC">
      <w:pPr>
        <w:pStyle w:val="Heading2"/>
        <w:tabs>
          <w:tab w:val="center" w:pos="4680"/>
          <w:tab w:val="right" w:pos="9360"/>
        </w:tabs>
        <w:rPr>
          <w:rFonts w:ascii="Book Antiqua" w:hAnsi="Book Antiqua"/>
          <w:b/>
          <w:bCs/>
          <w:sz w:val="28"/>
          <w:lang w:val="es-PR"/>
        </w:rPr>
      </w:pPr>
      <w:r w:rsidRPr="00D746FC">
        <w:rPr>
          <w:rFonts w:ascii="Book Antiqua" w:hAnsi="Book Antiqua"/>
          <w:sz w:val="28"/>
          <w:lang w:val="es-PR"/>
        </w:rPr>
        <w:tab/>
      </w:r>
      <w:r w:rsidRPr="00D746FC">
        <w:rPr>
          <w:rFonts w:ascii="Book Antiqua" w:hAnsi="Book Antiqua"/>
          <w:b/>
          <w:bCs/>
          <w:color w:val="000000" w:themeColor="text1"/>
          <w:sz w:val="28"/>
          <w:szCs w:val="28"/>
          <w:lang w:val="es-PR"/>
        </w:rPr>
        <w:t>RESOLUCIÓN</w:t>
      </w:r>
      <w:r w:rsidRPr="00D746FC">
        <w:rPr>
          <w:rFonts w:ascii="Book Antiqua" w:hAnsi="Book Antiqua"/>
          <w:b/>
          <w:bCs/>
          <w:sz w:val="28"/>
          <w:lang w:val="es-PR"/>
        </w:rPr>
        <w:tab/>
      </w:r>
    </w:p>
    <w:p w14:paraId="346494CE" w14:textId="77777777" w:rsidR="00C00BAB" w:rsidRDefault="00C00BAB" w:rsidP="00C00BAB">
      <w:pPr>
        <w:pStyle w:val="BodyTextIndent2"/>
        <w:spacing w:after="0" w:line="240" w:lineRule="auto"/>
        <w:ind w:left="0"/>
        <w:jc w:val="both"/>
        <w:rPr>
          <w:rFonts w:ascii="Book Antiqua" w:hAnsi="Book Antiqua"/>
          <w:lang w:val="es-PR"/>
        </w:rPr>
      </w:pPr>
    </w:p>
    <w:p w14:paraId="44840DD3" w14:textId="6A18ABBF" w:rsidR="00C00BAB" w:rsidRPr="00950CB9" w:rsidRDefault="00C00BAB" w:rsidP="002C5502">
      <w:pPr>
        <w:pStyle w:val="BodyTextIndent2"/>
        <w:spacing w:after="0" w:line="240" w:lineRule="auto"/>
        <w:ind w:left="720" w:hanging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C82B33">
        <w:rPr>
          <w:rFonts w:ascii="Book Antiqua" w:hAnsi="Book Antiqua"/>
          <w:lang w:val="es-PR"/>
        </w:rPr>
        <w:t>Para ordenar a</w:t>
      </w:r>
      <w:r>
        <w:rPr>
          <w:rFonts w:ascii="Book Antiqua" w:hAnsi="Book Antiqua"/>
          <w:lang w:val="es-PR"/>
        </w:rPr>
        <w:t xml:space="preserve"> la Comisión </w:t>
      </w:r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Adultos Mayores y Bienestar Social</w:t>
      </w:r>
      <w:r w:rsidR="00950CB9">
        <w:rPr>
          <w:rFonts w:ascii="Book Antiqua" w:hAnsi="Book Antiqua"/>
          <w:lang w:val="es-ES_tradnl"/>
        </w:rPr>
        <w:t xml:space="preserve"> </w:t>
      </w:r>
      <w:r w:rsidR="00950CB9">
        <w:rPr>
          <w:rFonts w:ascii="Book Antiqua" w:hAnsi="Book Antiqua"/>
          <w:i/>
          <w:iCs/>
          <w:u w:val="single"/>
          <w:lang w:val="es-ES_tradnl"/>
        </w:rPr>
        <w:t>de la Cámara de Representantes</w:t>
      </w:r>
      <w:r w:rsidR="00FC49D3">
        <w:rPr>
          <w:rFonts w:ascii="Book Antiqua" w:hAnsi="Book Antiqua"/>
          <w:i/>
          <w:iCs/>
          <w:u w:val="single"/>
          <w:lang w:val="es-ES_tradnl"/>
        </w:rPr>
        <w:t xml:space="preserve"> de Puerto Rico,</w:t>
      </w:r>
      <w:r>
        <w:rPr>
          <w:rFonts w:ascii="Book Antiqua" w:hAnsi="Book Antiqua"/>
          <w:lang w:val="es-PR"/>
        </w:rPr>
        <w:t xml:space="preserve"> </w:t>
      </w:r>
      <w:r w:rsidRPr="00FC49D3">
        <w:rPr>
          <w:rFonts w:ascii="Book Antiqua" w:hAnsi="Book Antiqua"/>
          <w:strike/>
          <w:lang w:val="es-PR"/>
        </w:rPr>
        <w:t>a</w:t>
      </w:r>
      <w:r>
        <w:rPr>
          <w:rFonts w:ascii="Book Antiqua" w:hAnsi="Book Antiqua"/>
          <w:lang w:val="es-PR"/>
        </w:rPr>
        <w:t xml:space="preserve"> realizar una investigación exhaustiva sobre las agencias e instrumentalidades del Gobierno de Puerto Rico, </w:t>
      </w:r>
      <w:r w:rsidRPr="00C00BAB">
        <w:rPr>
          <w:rFonts w:ascii="Book Antiqua" w:hAnsi="Book Antiqua"/>
          <w:strike/>
          <w:lang w:val="es-PR"/>
        </w:rPr>
        <w:t>relacionada al cabal cumplimiento con la política pública de facilitar y promover el acceso a la justicia de los adultos mayores,</w:t>
      </w:r>
      <w:r>
        <w:rPr>
          <w:rFonts w:ascii="Book Antiqua" w:hAnsi="Book Antiqua"/>
          <w:lang w:val="es-PR"/>
        </w:rPr>
        <w:t xml:space="preserve"> </w:t>
      </w:r>
      <w:r w:rsidRPr="00950CB9">
        <w:rPr>
          <w:rFonts w:ascii="Book Antiqua" w:hAnsi="Book Antiqua"/>
          <w:i/>
          <w:iCs/>
          <w:u w:val="single"/>
          <w:lang w:val="es-PR"/>
        </w:rPr>
        <w:t>a fin de evaluar el grado de cumplimiento con la política pública establecida para garantizar y promover el acceso</w:t>
      </w:r>
      <w:r w:rsidR="002C5502" w:rsidRPr="00950CB9">
        <w:rPr>
          <w:rFonts w:ascii="Book Antiqua" w:hAnsi="Book Antiqua"/>
          <w:i/>
          <w:iCs/>
          <w:u w:val="single"/>
          <w:lang w:val="es-PR"/>
        </w:rPr>
        <w:t xml:space="preserve"> a la justicia</w:t>
      </w:r>
      <w:r w:rsidRPr="00950CB9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2C5502" w:rsidRPr="00950CB9">
        <w:rPr>
          <w:rFonts w:ascii="Book Antiqua" w:hAnsi="Book Antiqua"/>
          <w:i/>
          <w:iCs/>
          <w:u w:val="single"/>
          <w:lang w:val="es-PR"/>
        </w:rPr>
        <w:t>de las personas adultas mayores asegurando su acceso efectivo a la justicia,</w:t>
      </w:r>
      <w:r w:rsidR="002C5502" w:rsidRPr="00950CB9">
        <w:rPr>
          <w:rFonts w:ascii="Book Antiqua" w:hAnsi="Book Antiqua"/>
          <w:i/>
          <w:iCs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conforme a lo establecido en la Ley 121-2019, según enmendada, conocida como </w:t>
      </w:r>
      <w:r w:rsidRPr="007F24D3">
        <w:rPr>
          <w:rFonts w:ascii="Book Antiqua" w:hAnsi="Book Antiqua"/>
          <w:lang w:val="es-PR"/>
        </w:rPr>
        <w:t>“Carta de Derechos y la Política Pública del Gobierno a favor de los Adultos Mayores</w:t>
      </w:r>
      <w:r>
        <w:rPr>
          <w:rFonts w:ascii="Book Antiqua" w:hAnsi="Book Antiqua"/>
          <w:lang w:val="es-PR"/>
        </w:rPr>
        <w:t>”; y para otros fines relacionados.</w:t>
      </w:r>
    </w:p>
    <w:p w14:paraId="74C5850F" w14:textId="77777777" w:rsidR="00D746FC" w:rsidRPr="00C82B33" w:rsidRDefault="00D746FC" w:rsidP="005E456B">
      <w:pPr>
        <w:jc w:val="both"/>
        <w:rPr>
          <w:rFonts w:ascii="Book Antiqua" w:hAnsi="Book Antiqua"/>
          <w:lang w:val="es-PR"/>
        </w:rPr>
      </w:pPr>
    </w:p>
    <w:p w14:paraId="588E7BAC" w14:textId="77777777" w:rsidR="00D746FC" w:rsidRPr="0050774B" w:rsidRDefault="00D746FC" w:rsidP="005E456B">
      <w:pPr>
        <w:pStyle w:val="Heading2"/>
        <w:spacing w:before="0"/>
        <w:jc w:val="center"/>
        <w:rPr>
          <w:rFonts w:ascii="Book Antiqua" w:hAnsi="Book Antiqua"/>
          <w:bCs/>
          <w:color w:val="000000" w:themeColor="text1"/>
          <w:sz w:val="24"/>
          <w:szCs w:val="24"/>
          <w:lang w:val="es-PR"/>
        </w:rPr>
      </w:pPr>
      <w:r w:rsidRPr="0050774B">
        <w:rPr>
          <w:rFonts w:ascii="Book Antiqua" w:hAnsi="Book Antiqua"/>
          <w:bCs/>
          <w:color w:val="000000" w:themeColor="text1"/>
          <w:sz w:val="24"/>
          <w:szCs w:val="24"/>
          <w:lang w:val="es-PR"/>
        </w:rPr>
        <w:t>EXPOSICIÓN DE MOTIVOS</w:t>
      </w:r>
    </w:p>
    <w:p w14:paraId="6D2B4CA0" w14:textId="77777777" w:rsidR="00D746FC" w:rsidRDefault="00D746FC" w:rsidP="005E456B">
      <w:pPr>
        <w:ind w:firstLine="360"/>
        <w:jc w:val="both"/>
        <w:rPr>
          <w:rFonts w:ascii="Book Antiqua" w:hAnsi="Book Antiqua"/>
          <w:lang w:val="es-PR"/>
        </w:rPr>
      </w:pPr>
    </w:p>
    <w:p w14:paraId="3127797B" w14:textId="76511161" w:rsidR="00D746FC" w:rsidRPr="007F24D3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7F24D3">
        <w:rPr>
          <w:rFonts w:ascii="Book Antiqua" w:hAnsi="Book Antiqua"/>
          <w:lang w:val="es-PR"/>
        </w:rPr>
        <w:t xml:space="preserve">La Ley Núm. 121-2019, según enmendada, conocida como la </w:t>
      </w:r>
      <w:r w:rsidRPr="0050774B">
        <w:rPr>
          <w:rFonts w:ascii="Book Antiqua" w:hAnsi="Book Antiqua"/>
          <w:i/>
          <w:iCs/>
          <w:lang w:val="es-PR"/>
        </w:rPr>
        <w:t>Carta de Derechos y la Política Pública del Gobierno a favor de los Adultos Mayores</w:t>
      </w:r>
      <w:r w:rsidRPr="007F24D3">
        <w:rPr>
          <w:rFonts w:ascii="Book Antiqua" w:hAnsi="Book Antiqua"/>
          <w:lang w:val="es-PR"/>
        </w:rPr>
        <w:t xml:space="preserve">, establece como política pública garantizar a las personas adultas mayores </w:t>
      </w:r>
      <w:r>
        <w:rPr>
          <w:rFonts w:ascii="Book Antiqua" w:hAnsi="Book Antiqua"/>
          <w:lang w:val="es-PR"/>
        </w:rPr>
        <w:t>a partir de los sesenta (60) años</w:t>
      </w:r>
      <w:r w:rsidR="0050774B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7F24D3">
        <w:rPr>
          <w:rFonts w:ascii="Book Antiqua" w:hAnsi="Book Antiqua"/>
          <w:lang w:val="es-PR"/>
        </w:rPr>
        <w:t>el ejercicio pleno de sus derechos fundamentales y promover su bienestar, seguridad y dignidad.</w:t>
      </w:r>
      <w:r>
        <w:rPr>
          <w:rStyle w:val="FootnoteReference"/>
          <w:rFonts w:ascii="Book Antiqua" w:hAnsi="Book Antiqua"/>
          <w:lang w:val="es-PR"/>
        </w:rPr>
        <w:footnoteReference w:id="1"/>
      </w:r>
      <w:r w:rsidRPr="007F24D3">
        <w:rPr>
          <w:rFonts w:ascii="Book Antiqua" w:hAnsi="Book Antiqua"/>
          <w:lang w:val="es-PR"/>
        </w:rPr>
        <w:t xml:space="preserve"> Dicha </w:t>
      </w:r>
      <w:r>
        <w:rPr>
          <w:rFonts w:ascii="Book Antiqua" w:hAnsi="Book Antiqua"/>
          <w:lang w:val="es-PR"/>
        </w:rPr>
        <w:t>L</w:t>
      </w:r>
      <w:r w:rsidRPr="007F24D3">
        <w:rPr>
          <w:rFonts w:ascii="Book Antiqua" w:hAnsi="Book Antiqua"/>
          <w:lang w:val="es-PR"/>
        </w:rPr>
        <w:t xml:space="preserve">ey reconoce que las personas </w:t>
      </w:r>
      <w:r>
        <w:rPr>
          <w:rFonts w:ascii="Book Antiqua" w:hAnsi="Book Antiqua"/>
          <w:lang w:val="es-PR"/>
        </w:rPr>
        <w:t>adultas mayores</w:t>
      </w:r>
      <w:r w:rsidRPr="007F24D3">
        <w:rPr>
          <w:rFonts w:ascii="Book Antiqua" w:hAnsi="Book Antiqua"/>
          <w:lang w:val="es-PR"/>
        </w:rPr>
        <w:t xml:space="preserve"> constituyen un sector esencial de nuestra sociedad</w:t>
      </w:r>
      <w:r>
        <w:rPr>
          <w:rFonts w:ascii="Book Antiqua" w:hAnsi="Book Antiqua"/>
          <w:lang w:val="es-PR"/>
        </w:rPr>
        <w:t>, toda vez que Puerto Rico se encuentra experimentando el envejecimiento de su población.</w:t>
      </w:r>
      <w:r>
        <w:rPr>
          <w:rStyle w:val="FootnoteReference"/>
          <w:rFonts w:ascii="Book Antiqua" w:hAnsi="Book Antiqua"/>
          <w:lang w:val="es-PR"/>
        </w:rPr>
        <w:footnoteReference w:id="2"/>
      </w:r>
      <w:r>
        <w:rPr>
          <w:rFonts w:ascii="Book Antiqua" w:hAnsi="Book Antiqua"/>
          <w:lang w:val="es-PR"/>
        </w:rPr>
        <w:t xml:space="preserve"> </w:t>
      </w:r>
    </w:p>
    <w:p w14:paraId="526C3821" w14:textId="77777777" w:rsidR="00D746FC" w:rsidRPr="007F24D3" w:rsidRDefault="00D746FC" w:rsidP="005E456B">
      <w:pPr>
        <w:ind w:firstLine="360"/>
        <w:jc w:val="both"/>
        <w:rPr>
          <w:rFonts w:ascii="Book Antiqua" w:hAnsi="Book Antiqua"/>
          <w:lang w:val="es-PR"/>
        </w:rPr>
      </w:pPr>
    </w:p>
    <w:p w14:paraId="776900F4" w14:textId="0A85565A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7F24D3">
        <w:rPr>
          <w:rFonts w:ascii="Book Antiqua" w:hAnsi="Book Antiqua"/>
          <w:lang w:val="es-PR"/>
        </w:rPr>
        <w:lastRenderedPageBreak/>
        <w:t xml:space="preserve">El Artículo 2 de dicha Ley </w:t>
      </w:r>
      <w:r>
        <w:rPr>
          <w:rFonts w:ascii="Book Antiqua" w:hAnsi="Book Antiqua"/>
          <w:lang w:val="es-PR"/>
        </w:rPr>
        <w:t>establece</w:t>
      </w:r>
      <w:r w:rsidRPr="007F24D3">
        <w:rPr>
          <w:rFonts w:ascii="Book Antiqua" w:hAnsi="Book Antiqua"/>
          <w:lang w:val="es-PR"/>
        </w:rPr>
        <w:t xml:space="preserve">, entre </w:t>
      </w:r>
      <w:r>
        <w:rPr>
          <w:rFonts w:ascii="Book Antiqua" w:hAnsi="Book Antiqua"/>
          <w:lang w:val="es-PR"/>
        </w:rPr>
        <w:t>otras garantías</w:t>
      </w:r>
      <w:r w:rsidRPr="007F24D3">
        <w:rPr>
          <w:rFonts w:ascii="Book Antiqua" w:hAnsi="Book Antiqua"/>
          <w:lang w:val="es-PR"/>
        </w:rPr>
        <w:t xml:space="preserve">, que el Gobierno de Puerto Rico y sus instrumentalidades </w:t>
      </w:r>
      <w:r>
        <w:rPr>
          <w:rFonts w:ascii="Book Antiqua" w:hAnsi="Book Antiqua"/>
          <w:lang w:val="es-PR"/>
        </w:rPr>
        <w:t>tienen la obligación de</w:t>
      </w:r>
      <w:r w:rsidRPr="007F24D3">
        <w:rPr>
          <w:rFonts w:ascii="Book Antiqua" w:hAnsi="Book Antiqua"/>
          <w:lang w:val="es-PR"/>
        </w:rPr>
        <w:t xml:space="preserve"> facilitar el acceso de los adultos mayores a los servicios y recursos gubernamentales, incluyendo </w:t>
      </w:r>
      <w:r>
        <w:rPr>
          <w:rFonts w:ascii="Book Antiqua" w:hAnsi="Book Antiqua"/>
          <w:lang w:val="es-PR"/>
        </w:rPr>
        <w:t>el</w:t>
      </w:r>
      <w:r w:rsidRPr="007F24D3">
        <w:rPr>
          <w:rFonts w:ascii="Book Antiqua" w:hAnsi="Book Antiqua"/>
          <w:lang w:val="es-PR"/>
        </w:rPr>
        <w:t xml:space="preserve"> acceso efectivo a los mecanismos de</w:t>
      </w:r>
      <w:r>
        <w:rPr>
          <w:rFonts w:ascii="Book Antiqua" w:hAnsi="Book Antiqua"/>
          <w:lang w:val="es-PR"/>
        </w:rPr>
        <w:t xml:space="preserve"> la</w:t>
      </w:r>
      <w:r w:rsidRPr="007F24D3">
        <w:rPr>
          <w:rFonts w:ascii="Book Antiqua" w:hAnsi="Book Antiqua"/>
          <w:lang w:val="es-PR"/>
        </w:rPr>
        <w:t xml:space="preserve"> justicia.</w:t>
      </w:r>
      <w:r>
        <w:rPr>
          <w:rStyle w:val="FootnoteReference"/>
          <w:rFonts w:ascii="Book Antiqua" w:hAnsi="Book Antiqua"/>
          <w:lang w:val="es-PR"/>
        </w:rPr>
        <w:footnoteReference w:id="3"/>
      </w:r>
      <w:r w:rsidRPr="007F24D3">
        <w:rPr>
          <w:rFonts w:ascii="Book Antiqua" w:hAnsi="Book Antiqua"/>
          <w:lang w:val="es-PR"/>
        </w:rPr>
        <w:t xml:space="preserve"> Específicamente, el inciso 6 </w:t>
      </w:r>
      <w:r>
        <w:rPr>
          <w:rFonts w:ascii="Book Antiqua" w:hAnsi="Book Antiqua"/>
          <w:lang w:val="es-PR"/>
        </w:rPr>
        <w:t xml:space="preserve">del citado Artículo </w:t>
      </w:r>
      <w:r w:rsidRPr="007F24D3">
        <w:rPr>
          <w:rFonts w:ascii="Book Antiqua" w:hAnsi="Book Antiqua"/>
          <w:lang w:val="es-PR"/>
        </w:rPr>
        <w:t>establece</w:t>
      </w:r>
      <w:r>
        <w:rPr>
          <w:rFonts w:ascii="Book Antiqua" w:hAnsi="Book Antiqua"/>
          <w:lang w:val="es-PR"/>
        </w:rPr>
        <w:t xml:space="preserve"> que se declara política pública el garantizar que se propicie</w:t>
      </w:r>
      <w:r w:rsidRPr="007F24D3">
        <w:rPr>
          <w:rFonts w:ascii="Book Antiqua" w:hAnsi="Book Antiqua"/>
          <w:lang w:val="es-PR"/>
        </w:rPr>
        <w:t xml:space="preserve"> el acceso para que los adultos mayores puedan hacer uso equitativo de los mecanismos y procesos establecidos para prevenir la violación de sus derechos individuales, resolver controversias y obtener remedios legales.</w:t>
      </w:r>
      <w:r>
        <w:rPr>
          <w:rStyle w:val="FootnoteReference"/>
          <w:rFonts w:ascii="Book Antiqua" w:hAnsi="Book Antiqua"/>
          <w:lang w:val="es-PR"/>
        </w:rPr>
        <w:footnoteReference w:id="4"/>
      </w:r>
    </w:p>
    <w:p w14:paraId="2FC5A9FC" w14:textId="77777777" w:rsidR="005E456B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1DF6E088" w14:textId="114F8471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134067">
        <w:rPr>
          <w:rFonts w:ascii="Book Antiqua" w:hAnsi="Book Antiqua"/>
          <w:lang w:val="es-PR"/>
        </w:rPr>
        <w:t xml:space="preserve">El Artículo 4 de la Ley 121-2019 establece una carta de derechos de los adultos mayores. Entre ellos, se encuentra el ser escuchado, atendido y consultado en los asuntos de interés público sin restricciones, interferencias, coerción, discrimen o represalia; tener acceso real a los beneficios y servicios públicos; recibir protección y seguridad física y social contra abusos físicos, emocionales o presiones psicológicas; poder reclamar cualquier derecho o beneficio estatuido por ley ante cualquier sala del </w:t>
      </w:r>
      <w:r w:rsidR="0050774B" w:rsidRPr="00134067">
        <w:rPr>
          <w:rFonts w:ascii="Book Antiqua" w:hAnsi="Book Antiqua"/>
          <w:lang w:val="es-PR"/>
        </w:rPr>
        <w:t>Tribunal</w:t>
      </w:r>
      <w:r w:rsidRPr="00134067">
        <w:rPr>
          <w:rFonts w:ascii="Book Antiqua" w:hAnsi="Book Antiqua"/>
          <w:lang w:val="es-PR"/>
        </w:rPr>
        <w:t xml:space="preserve"> de Primera Instancia</w:t>
      </w:r>
      <w:r w:rsidR="0050774B">
        <w:rPr>
          <w:rFonts w:ascii="Book Antiqua" w:hAnsi="Book Antiqua"/>
          <w:lang w:val="es-PR"/>
        </w:rPr>
        <w:t>,</w:t>
      </w:r>
      <w:r w:rsidRPr="00134067">
        <w:rPr>
          <w:rFonts w:ascii="Book Antiqua" w:hAnsi="Book Antiqua"/>
          <w:lang w:val="es-PR"/>
        </w:rPr>
        <w:t xml:space="preserve"> y </w:t>
      </w:r>
      <w:r w:rsidR="0050774B">
        <w:rPr>
          <w:rFonts w:ascii="Book Antiqua" w:hAnsi="Book Antiqua"/>
          <w:lang w:val="es-PR"/>
        </w:rPr>
        <w:t xml:space="preserve">tener </w:t>
      </w:r>
      <w:r w:rsidRPr="00134067">
        <w:rPr>
          <w:rFonts w:ascii="Book Antiqua" w:hAnsi="Book Antiqua"/>
          <w:lang w:val="es-PR"/>
        </w:rPr>
        <w:t>acc</w:t>
      </w:r>
      <w:r w:rsidR="0050774B">
        <w:rPr>
          <w:rFonts w:ascii="Book Antiqua" w:hAnsi="Book Antiqua"/>
          <w:lang w:val="es-PR"/>
        </w:rPr>
        <w:t>eso a</w:t>
      </w:r>
      <w:r w:rsidRPr="00134067">
        <w:rPr>
          <w:rFonts w:ascii="Book Antiqua" w:hAnsi="Book Antiqua"/>
          <w:lang w:val="es-PR"/>
        </w:rPr>
        <w:t xml:space="preserve"> los mecanismos de la justicia por ser víctima de maltrato o conducta delictiva; a vivir libre de presiones, coacciones y manipulaciones de empresas del Estado y otras personas con el propósito de explotación financiera o para menoscabar su capacidad y autodeterminación; a recibir atención adecuada y trato preferencial, digno y apropiado en los servicios públicos; entre otros derechos.</w:t>
      </w:r>
      <w:r w:rsidRPr="00134067">
        <w:rPr>
          <w:rStyle w:val="FootnoteReference"/>
          <w:rFonts w:ascii="Book Antiqua" w:hAnsi="Book Antiqua"/>
          <w:lang w:val="es-PR"/>
        </w:rPr>
        <w:footnoteReference w:id="5"/>
      </w:r>
    </w:p>
    <w:p w14:paraId="045C3D51" w14:textId="77777777" w:rsidR="005E456B" w:rsidRPr="00134067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0C0608DD" w14:textId="78D97076" w:rsidR="00AF70D7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134067">
        <w:rPr>
          <w:rFonts w:ascii="Book Antiqua" w:hAnsi="Book Antiqua"/>
          <w:lang w:val="es-PR"/>
        </w:rPr>
        <w:t>Asimismo, los Artículos 7, 8 y 19 enumeran las responsabilidades del Departamento de la Familia y su coordinación con otros componentes del Gobierno para así atender las necesidades de este sector de una manera efectiva y garantizar su acceso a la justicia. Sobre el particular, el Artículo 7 establece que el Departamento de la Familia deberá tomar medidas de prevención y supervisión en conjunto con las dependencias gubernamentales y las familias para supervisar a los adultos mayores en situación de riesgo; intervenir en situaciones de maltrato en sus distintas modalidades; recibir querellas referidas por otras agencias gubernamentales sobre maltrato contra adultos mayores; entre otras responsabilidades.</w:t>
      </w:r>
      <w:r w:rsidRPr="00134067">
        <w:rPr>
          <w:rStyle w:val="FootnoteReference"/>
          <w:rFonts w:ascii="Book Antiqua" w:hAnsi="Book Antiqua"/>
          <w:lang w:val="es-PR"/>
        </w:rPr>
        <w:footnoteReference w:id="6"/>
      </w:r>
      <w:r w:rsidRPr="00134067">
        <w:rPr>
          <w:rFonts w:ascii="Book Antiqua" w:hAnsi="Book Antiqua"/>
          <w:lang w:val="es-PR"/>
        </w:rPr>
        <w:t xml:space="preserve"> Por su parte, el Artículo 8 y 19 disponen que las agencias e instrumentalidades públicas le darán prioridad a todo caso de maltrato hacia una persona adulta mayor tan pronto advengan en conocimiento y deberán informarlo inmediatamente </w:t>
      </w:r>
      <w:r w:rsidRPr="006C0382">
        <w:rPr>
          <w:rFonts w:ascii="Book Antiqua" w:hAnsi="Book Antiqua"/>
          <w:strike/>
          <w:lang w:val="es-PR"/>
        </w:rPr>
        <w:t>al Negociado de</w:t>
      </w:r>
      <w:r w:rsidRPr="00134067">
        <w:rPr>
          <w:rFonts w:ascii="Book Antiqua" w:hAnsi="Book Antiqua"/>
          <w:lang w:val="es-PR"/>
        </w:rPr>
        <w:t xml:space="preserve"> </w:t>
      </w:r>
      <w:r w:rsidR="006C0382">
        <w:rPr>
          <w:rFonts w:ascii="Book Antiqua" w:hAnsi="Book Antiqua"/>
          <w:i/>
          <w:iCs/>
          <w:u w:val="single"/>
          <w:lang w:val="es-PR"/>
        </w:rPr>
        <w:t>a</w:t>
      </w:r>
      <w:r w:rsidR="006C0382">
        <w:rPr>
          <w:rFonts w:ascii="Book Antiqua" w:hAnsi="Book Antiqua"/>
          <w:lang w:val="es-PR"/>
        </w:rPr>
        <w:t xml:space="preserve"> </w:t>
      </w:r>
      <w:r w:rsidRPr="00134067">
        <w:rPr>
          <w:rFonts w:ascii="Book Antiqua" w:hAnsi="Book Antiqua"/>
          <w:lang w:val="es-PR"/>
        </w:rPr>
        <w:t xml:space="preserve">la Policía de Puerto Rico para que se tomen las acciones correspondientes, todo con el propósito de garantizar fiel cumplimiento de la política pública </w:t>
      </w:r>
      <w:r w:rsidR="00AF70D7" w:rsidRPr="00134067">
        <w:rPr>
          <w:rFonts w:ascii="Book Antiqua" w:hAnsi="Book Antiqua"/>
          <w:lang w:val="es-PR"/>
        </w:rPr>
        <w:t>establecida en esta Ley</w:t>
      </w:r>
      <w:r w:rsidRPr="00134067">
        <w:rPr>
          <w:rFonts w:ascii="Book Antiqua" w:hAnsi="Book Antiqua"/>
          <w:lang w:val="es-PR"/>
        </w:rPr>
        <w:t>.</w:t>
      </w:r>
      <w:r w:rsidRPr="00134067">
        <w:rPr>
          <w:rStyle w:val="FootnoteReference"/>
          <w:rFonts w:ascii="Book Antiqua" w:hAnsi="Book Antiqua"/>
          <w:lang w:val="es-PR"/>
        </w:rPr>
        <w:footnoteReference w:id="7"/>
      </w:r>
      <w:r w:rsidRPr="00134067">
        <w:rPr>
          <w:rFonts w:ascii="Book Antiqua" w:hAnsi="Book Antiqua"/>
          <w:lang w:val="es-PR"/>
        </w:rPr>
        <w:t xml:space="preserve"> </w:t>
      </w:r>
    </w:p>
    <w:p w14:paraId="5E37F0AD" w14:textId="77777777" w:rsidR="005E456B" w:rsidRPr="00134067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4B29DF36" w14:textId="1801D441" w:rsidR="00D746FC" w:rsidRDefault="00AF70D7" w:rsidP="005E456B">
      <w:pPr>
        <w:ind w:firstLine="720"/>
        <w:jc w:val="both"/>
        <w:rPr>
          <w:rFonts w:ascii="Book Antiqua" w:hAnsi="Book Antiqua"/>
          <w:lang w:val="es-PR"/>
        </w:rPr>
      </w:pPr>
      <w:r w:rsidRPr="00134067">
        <w:rPr>
          <w:rFonts w:ascii="Book Antiqua" w:hAnsi="Book Antiqua"/>
          <w:lang w:val="es-PR"/>
        </w:rPr>
        <w:lastRenderedPageBreak/>
        <w:t>Además, garantizar el acceso a la justicia</w:t>
      </w:r>
      <w:r w:rsidR="00D746FC" w:rsidRPr="00134067">
        <w:rPr>
          <w:rFonts w:ascii="Book Antiqua" w:hAnsi="Book Antiqua"/>
          <w:lang w:val="es-PR"/>
        </w:rPr>
        <w:t xml:space="preserve"> </w:t>
      </w:r>
      <w:r w:rsidRPr="00134067">
        <w:rPr>
          <w:rFonts w:ascii="Book Antiqua" w:hAnsi="Book Antiqua"/>
          <w:lang w:val="es-PR"/>
        </w:rPr>
        <w:t xml:space="preserve">de los adultos mayores </w:t>
      </w:r>
      <w:r w:rsidR="00D746FC" w:rsidRPr="00134067">
        <w:rPr>
          <w:rFonts w:ascii="Book Antiqua" w:hAnsi="Book Antiqua"/>
          <w:lang w:val="es-PR"/>
        </w:rPr>
        <w:t xml:space="preserve">implica que </w:t>
      </w:r>
      <w:r w:rsidRPr="00134067">
        <w:rPr>
          <w:rFonts w:ascii="Book Antiqua" w:hAnsi="Book Antiqua"/>
          <w:lang w:val="es-PR"/>
        </w:rPr>
        <w:t xml:space="preserve">las agencias o instrumentalidades públicas </w:t>
      </w:r>
      <w:r w:rsidR="00D746FC" w:rsidRPr="00134067">
        <w:rPr>
          <w:rFonts w:ascii="Book Antiqua" w:hAnsi="Book Antiqua"/>
          <w:lang w:val="es-PR"/>
        </w:rPr>
        <w:t>identifiquen e informen situaciones en que exista o se sospeche maltrato o negligencia en sus distintas modalidades para así comenzar investigaciones al respecto; ofrecer protección en situaciones de emergencia; apoyar a las víctimas de maltrato o negligencia; apoyarles en situaciones traumáticas; adoptar protocolos y programas de orientación e intervención para el personal de la agencia sobre maltrato y negligencia; entre otras acciones especificadas por agencia.</w:t>
      </w:r>
      <w:r w:rsidR="00D746FC" w:rsidRPr="00134067">
        <w:rPr>
          <w:rStyle w:val="FootnoteReference"/>
          <w:rFonts w:ascii="Book Antiqua" w:hAnsi="Book Antiqua"/>
          <w:lang w:val="es-PR"/>
        </w:rPr>
        <w:footnoteReference w:id="8"/>
      </w:r>
    </w:p>
    <w:p w14:paraId="71895946" w14:textId="77777777" w:rsidR="005E456B" w:rsidRPr="007F24D3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5B7BE441" w14:textId="41A49609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 w:rsidRPr="007F24D3">
        <w:rPr>
          <w:rFonts w:ascii="Book Antiqua" w:hAnsi="Book Antiqua"/>
          <w:lang w:val="es-PR"/>
        </w:rPr>
        <w:t xml:space="preserve">A tales fines, resulta imperativo examinar si las distintas agencias e instrumentalidades del Gobierno </w:t>
      </w:r>
      <w:r>
        <w:rPr>
          <w:rFonts w:ascii="Book Antiqua" w:hAnsi="Book Antiqua"/>
          <w:lang w:val="es-PR"/>
        </w:rPr>
        <w:t xml:space="preserve">de Puerto Rico </w:t>
      </w:r>
      <w:r w:rsidRPr="007F24D3">
        <w:rPr>
          <w:rFonts w:ascii="Book Antiqua" w:hAnsi="Book Antiqua"/>
          <w:lang w:val="es-PR"/>
        </w:rPr>
        <w:t xml:space="preserve">están cumpliendo cabalmente con </w:t>
      </w:r>
      <w:r>
        <w:rPr>
          <w:rFonts w:ascii="Book Antiqua" w:hAnsi="Book Antiqua"/>
          <w:lang w:val="es-PR"/>
        </w:rPr>
        <w:t>est</w:t>
      </w:r>
      <w:r w:rsidRPr="007F24D3">
        <w:rPr>
          <w:rFonts w:ascii="Book Antiqua" w:hAnsi="Book Antiqua"/>
          <w:lang w:val="es-PR"/>
        </w:rPr>
        <w:t>a política pública. La realidad cotidiana de muchas personas adultas mayores</w:t>
      </w:r>
      <w:r>
        <w:rPr>
          <w:rFonts w:ascii="Book Antiqua" w:hAnsi="Book Antiqua"/>
          <w:lang w:val="es-PR"/>
        </w:rPr>
        <w:t xml:space="preserve">, </w:t>
      </w:r>
      <w:r w:rsidRPr="007F24D3">
        <w:rPr>
          <w:rFonts w:ascii="Book Antiqua" w:hAnsi="Book Antiqua"/>
          <w:lang w:val="es-PR"/>
        </w:rPr>
        <w:t>caracterizada por limitaciones físicas, aislamiento social, barreras económicas, tecnológicas y de transporte</w:t>
      </w:r>
      <w:r>
        <w:rPr>
          <w:rFonts w:ascii="Book Antiqua" w:hAnsi="Book Antiqua"/>
          <w:lang w:val="es-PR"/>
        </w:rPr>
        <w:t>,</w:t>
      </w:r>
      <w:r w:rsidRPr="007F24D3">
        <w:rPr>
          <w:rFonts w:ascii="Book Antiqua" w:hAnsi="Book Antiqua"/>
          <w:lang w:val="es-PR"/>
        </w:rPr>
        <w:t xml:space="preserve"> puede representar un obstáculo significativo para acceder adecuadamente a los procesos judiciales y administrativos. Esta situación coloca a muchas de </w:t>
      </w:r>
      <w:r>
        <w:rPr>
          <w:rFonts w:ascii="Book Antiqua" w:hAnsi="Book Antiqua"/>
          <w:lang w:val="es-PR"/>
        </w:rPr>
        <w:t>estas personas</w:t>
      </w:r>
      <w:r w:rsidRPr="007F24D3">
        <w:rPr>
          <w:rFonts w:ascii="Book Antiqua" w:hAnsi="Book Antiqua"/>
          <w:lang w:val="es-PR"/>
        </w:rPr>
        <w:t xml:space="preserve"> en posición de vulnerabilidad</w:t>
      </w:r>
      <w:r>
        <w:rPr>
          <w:rFonts w:ascii="Book Antiqua" w:hAnsi="Book Antiqua"/>
          <w:lang w:val="es-PR"/>
        </w:rPr>
        <w:t xml:space="preserve"> y desventaja</w:t>
      </w:r>
      <w:r w:rsidRPr="007F24D3">
        <w:rPr>
          <w:rFonts w:ascii="Book Antiqua" w:hAnsi="Book Antiqua"/>
          <w:lang w:val="es-PR"/>
        </w:rPr>
        <w:t xml:space="preserve">, impidiendo que puedan defender sus derechos o reclamar servicios esenciales ante las </w:t>
      </w:r>
      <w:r>
        <w:rPr>
          <w:rFonts w:ascii="Book Antiqua" w:hAnsi="Book Antiqua"/>
          <w:lang w:val="es-PR"/>
        </w:rPr>
        <w:t>agencias</w:t>
      </w:r>
      <w:r w:rsidRPr="007F24D3">
        <w:rPr>
          <w:rFonts w:ascii="Book Antiqua" w:hAnsi="Book Antiqua"/>
          <w:lang w:val="es-PR"/>
        </w:rPr>
        <w:t xml:space="preserve"> correspondientes</w:t>
      </w:r>
      <w:r>
        <w:rPr>
          <w:rFonts w:ascii="Book Antiqua" w:hAnsi="Book Antiqua"/>
          <w:lang w:val="es-PR"/>
        </w:rPr>
        <w:t>.</w:t>
      </w:r>
    </w:p>
    <w:p w14:paraId="6273DAD6" w14:textId="77777777" w:rsidR="005E456B" w:rsidRPr="007F24D3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348DB05B" w14:textId="71A7AA6F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Asimismo, e</w:t>
      </w:r>
      <w:r w:rsidRPr="007F24D3">
        <w:rPr>
          <w:rFonts w:ascii="Book Antiqua" w:hAnsi="Book Antiqua"/>
          <w:lang w:val="es-PR"/>
        </w:rPr>
        <w:t xml:space="preserve">l inciso 3 del </w:t>
      </w:r>
      <w:r>
        <w:rPr>
          <w:rFonts w:ascii="Book Antiqua" w:hAnsi="Book Antiqua"/>
          <w:lang w:val="es-PR"/>
        </w:rPr>
        <w:t>citado</w:t>
      </w:r>
      <w:r w:rsidRPr="007F24D3">
        <w:rPr>
          <w:rFonts w:ascii="Book Antiqua" w:hAnsi="Book Antiqua"/>
          <w:lang w:val="es-PR"/>
        </w:rPr>
        <w:t xml:space="preserve"> Artículo 2 reafirma el compromiso del Estado en propiciar que todo adulto mayor en Puerto Rico logre acceso a aquellos programas gubernamentales que le permitan atender sus necesidades básicas</w:t>
      </w:r>
      <w:r>
        <w:rPr>
          <w:rFonts w:ascii="Book Antiqua" w:hAnsi="Book Antiqua"/>
          <w:lang w:val="es-PR"/>
        </w:rPr>
        <w:t xml:space="preserve"> para su prosperidad y bienestar económico</w:t>
      </w:r>
      <w:r w:rsidRPr="007F24D3">
        <w:rPr>
          <w:rFonts w:ascii="Book Antiqua" w:hAnsi="Book Antiqua"/>
          <w:lang w:val="es-PR"/>
        </w:rPr>
        <w:t>.</w:t>
      </w:r>
      <w:r>
        <w:rPr>
          <w:rStyle w:val="FootnoteReference"/>
          <w:rFonts w:ascii="Book Antiqua" w:hAnsi="Book Antiqua"/>
          <w:lang w:val="es-PR"/>
        </w:rPr>
        <w:footnoteReference w:id="9"/>
      </w:r>
      <w:r w:rsidRPr="007F24D3">
        <w:rPr>
          <w:rFonts w:ascii="Book Antiqua" w:hAnsi="Book Antiqua"/>
          <w:lang w:val="es-PR"/>
        </w:rPr>
        <w:t xml:space="preserve"> En este contexto, el acceso a la justicia no puede desvincularse del acceso a la información,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 xml:space="preserve">orientación legal,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 xml:space="preserve">asistencia y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 xml:space="preserve">representación, especialmente en áreas críticas como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 xml:space="preserve">vivienda, </w:t>
      </w:r>
      <w:r>
        <w:rPr>
          <w:rFonts w:ascii="Book Antiqua" w:hAnsi="Book Antiqua"/>
          <w:lang w:val="es-PR"/>
        </w:rPr>
        <w:t xml:space="preserve">la </w:t>
      </w:r>
      <w:r w:rsidRPr="007F24D3">
        <w:rPr>
          <w:rFonts w:ascii="Book Antiqua" w:hAnsi="Book Antiqua"/>
          <w:lang w:val="es-PR"/>
        </w:rPr>
        <w:t>salud</w:t>
      </w:r>
      <w:r>
        <w:rPr>
          <w:rFonts w:ascii="Book Antiqua" w:hAnsi="Book Antiqua"/>
          <w:lang w:val="es-PR"/>
        </w:rPr>
        <w:t xml:space="preserve"> y las finanzas</w:t>
      </w:r>
      <w:r w:rsidRPr="007F24D3">
        <w:rPr>
          <w:rFonts w:ascii="Book Antiqua" w:hAnsi="Book Antiqua"/>
          <w:lang w:val="es-PR"/>
        </w:rPr>
        <w:t>.</w:t>
      </w:r>
    </w:p>
    <w:p w14:paraId="6F40F174" w14:textId="77777777" w:rsidR="005E456B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1017E8B9" w14:textId="1D46B8BC" w:rsidR="00D746FC" w:rsidRDefault="00D746FC" w:rsidP="005E456B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</w:t>
      </w:r>
      <w:r w:rsidRPr="007F24D3">
        <w:rPr>
          <w:rFonts w:ascii="Book Antiqua" w:hAnsi="Book Antiqua"/>
          <w:lang w:val="es-PR"/>
        </w:rPr>
        <w:t xml:space="preserve"> Asamblea Legislativa tiene el deber de ejercer su función fiscalizadora </w:t>
      </w:r>
      <w:r>
        <w:rPr>
          <w:rFonts w:ascii="Book Antiqua" w:hAnsi="Book Antiqua"/>
          <w:lang w:val="es-PR"/>
        </w:rPr>
        <w:t>de</w:t>
      </w:r>
      <w:r w:rsidRPr="007F24D3">
        <w:rPr>
          <w:rFonts w:ascii="Book Antiqua" w:hAnsi="Book Antiqua"/>
          <w:lang w:val="es-PR"/>
        </w:rPr>
        <w:t xml:space="preserve"> ordenar una investigación exhaustiva para determinar si las </w:t>
      </w:r>
      <w:r>
        <w:rPr>
          <w:rFonts w:ascii="Book Antiqua" w:hAnsi="Book Antiqua"/>
          <w:lang w:val="es-PR"/>
        </w:rPr>
        <w:t>agencias e instrumentalidades</w:t>
      </w:r>
      <w:r w:rsidRPr="007F24D3">
        <w:rPr>
          <w:rFonts w:ascii="Book Antiqua" w:hAnsi="Book Antiqua"/>
          <w:lang w:val="es-PR"/>
        </w:rPr>
        <w:t xml:space="preserve"> gubernamentales están cumpliendo con su mandato legal de garantizar el acceso a la justicia para las personas adultas mayores</w:t>
      </w:r>
      <w:r w:rsidR="0050774B">
        <w:rPr>
          <w:rFonts w:ascii="Book Antiqua" w:hAnsi="Book Antiqua"/>
          <w:lang w:val="es-PR"/>
        </w:rPr>
        <w:t>. Esto,</w:t>
      </w:r>
      <w:r w:rsidRPr="007F24D3">
        <w:rPr>
          <w:rFonts w:ascii="Book Antiqua" w:hAnsi="Book Antiqua"/>
          <w:lang w:val="es-PR"/>
        </w:rPr>
        <w:t xml:space="preserve"> conforme a</w:t>
      </w:r>
      <w:r>
        <w:rPr>
          <w:rFonts w:ascii="Book Antiqua" w:hAnsi="Book Antiqua"/>
          <w:lang w:val="es-PR"/>
        </w:rPr>
        <w:t xml:space="preserve"> las responsabilidades y principios </w:t>
      </w:r>
      <w:r w:rsidRPr="007F24D3">
        <w:rPr>
          <w:rFonts w:ascii="Book Antiqua" w:hAnsi="Book Antiqua"/>
          <w:lang w:val="es-PR"/>
        </w:rPr>
        <w:t>establecid</w:t>
      </w:r>
      <w:r>
        <w:rPr>
          <w:rFonts w:ascii="Book Antiqua" w:hAnsi="Book Antiqua"/>
          <w:lang w:val="es-PR"/>
        </w:rPr>
        <w:t>o</w:t>
      </w:r>
      <w:r w:rsidRPr="007F24D3">
        <w:rPr>
          <w:rFonts w:ascii="Book Antiqua" w:hAnsi="Book Antiqua"/>
          <w:lang w:val="es-PR"/>
        </w:rPr>
        <w:t>s en la Ley 121-2019. Esta investigación permitirá identificar buenas prácticas, deficiencias estructurales y oportunidades de mejora, en aras de robustecer la política pública del Estado hacia est</w:t>
      </w:r>
      <w:r>
        <w:rPr>
          <w:rFonts w:ascii="Book Antiqua" w:hAnsi="Book Antiqua"/>
          <w:lang w:val="es-PR"/>
        </w:rPr>
        <w:t>e sector de la</w:t>
      </w:r>
      <w:r w:rsidRPr="007F24D3">
        <w:rPr>
          <w:rFonts w:ascii="Book Antiqua" w:hAnsi="Book Antiqua"/>
          <w:lang w:val="es-PR"/>
        </w:rPr>
        <w:t xml:space="preserve"> población y asegurar su dignidad, inclusión y </w:t>
      </w:r>
      <w:r>
        <w:rPr>
          <w:rFonts w:ascii="Book Antiqua" w:hAnsi="Book Antiqua"/>
          <w:lang w:val="es-PR"/>
        </w:rPr>
        <w:t>acceso a la justicia.</w:t>
      </w:r>
    </w:p>
    <w:p w14:paraId="0EEDDEEF" w14:textId="77777777" w:rsidR="005E456B" w:rsidRDefault="005E456B" w:rsidP="005E456B">
      <w:pPr>
        <w:ind w:firstLine="720"/>
        <w:jc w:val="both"/>
        <w:rPr>
          <w:rFonts w:ascii="Book Antiqua" w:hAnsi="Book Antiqua"/>
          <w:lang w:val="es-PR"/>
        </w:rPr>
      </w:pPr>
    </w:p>
    <w:p w14:paraId="2A69E84A" w14:textId="0EDB8644" w:rsidR="00DE6938" w:rsidRPr="00DE6938" w:rsidRDefault="00D746FC" w:rsidP="005E456B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Si bien el citado Artículo 8 establece que el Departamento de la Familia es el ente central en asegurarse del cumplimiento de las agencias e instrumentalidades con la Ley 121-2019, se establece además que para ello, el Departamento de la Familia contará con el apoyo y cooperación de éstas, los municipios, los organismos civiles públicos o privados con los cuales se han celebrado convenios</w:t>
      </w:r>
      <w:r w:rsidR="0050774B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y la Rama Judicial</w:t>
      </w:r>
      <w:r w:rsidRPr="007C62D3">
        <w:rPr>
          <w:rFonts w:ascii="Book Antiqua" w:hAnsi="Book Antiqua"/>
          <w:strike/>
          <w:lang w:val="es-PR"/>
        </w:rPr>
        <w:t>.</w:t>
      </w:r>
      <w:r>
        <w:rPr>
          <w:rStyle w:val="FootnoteReference"/>
          <w:rFonts w:ascii="Book Antiqua" w:hAnsi="Book Antiqua"/>
          <w:lang w:val="es-PR"/>
        </w:rPr>
        <w:footnoteReference w:id="10"/>
      </w:r>
      <w:r w:rsidR="007C62D3">
        <w:rPr>
          <w:rFonts w:ascii="Book Antiqua" w:hAnsi="Book Antiqua"/>
          <w:i/>
          <w:u w:val="single"/>
          <w:lang w:val="es-PR"/>
        </w:rPr>
        <w:t xml:space="preserve">, termino utilizado por dicha ley para referirse al Poder Juducial, conforme a lo dispuesto en el Artículo V </w:t>
      </w:r>
      <w:r w:rsidR="007C62D3">
        <w:rPr>
          <w:rFonts w:ascii="Book Antiqua" w:hAnsi="Book Antiqua"/>
          <w:i/>
          <w:u w:val="single"/>
          <w:lang w:val="es-PR"/>
        </w:rPr>
        <w:lastRenderedPageBreak/>
        <w:t>de la Constitución de Puerto Rico.</w:t>
      </w:r>
      <w:r w:rsidR="007C62D3" w:rsidRPr="007C62D3">
        <w:rPr>
          <w:rFonts w:ascii="Book Antiqua" w:hAnsi="Book Antiqua"/>
          <w:i/>
          <w:lang w:val="es-PR"/>
        </w:rPr>
        <w:t xml:space="preserve"> </w:t>
      </w:r>
      <w:r w:rsidRPr="007C62D3">
        <w:rPr>
          <w:rFonts w:ascii="Book Antiqua" w:hAnsi="Book Antiqua"/>
          <w:lang w:val="es-PR"/>
        </w:rPr>
        <w:t xml:space="preserve"> </w:t>
      </w:r>
      <w:r w:rsidR="0050774B">
        <w:rPr>
          <w:rFonts w:ascii="Book Antiqua" w:hAnsi="Book Antiqua"/>
          <w:lang w:val="es-PR"/>
        </w:rPr>
        <w:t xml:space="preserve">Así, </w:t>
      </w:r>
      <w:r>
        <w:rPr>
          <w:rFonts w:ascii="Book Antiqua" w:hAnsi="Book Antiqua"/>
          <w:lang w:val="es-PR"/>
        </w:rPr>
        <w:t>la presente Resolución ordena la investigación del cumplimiento sobre las agencias e instrumentalidades del Gobierno de Puerto Rico</w:t>
      </w:r>
      <w:r w:rsidR="0050774B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y los esfuerzos realizados por el Departamento de la Familia para ello</w:t>
      </w:r>
      <w:r w:rsidR="00DE6938" w:rsidRPr="00DE6938">
        <w:rPr>
          <w:rFonts w:ascii="Book Antiqua" w:hAnsi="Book Antiqua"/>
          <w:lang w:val="es-ES"/>
        </w:rPr>
        <w:t>.</w:t>
      </w:r>
      <w:r w:rsidR="00D02AC6">
        <w:rPr>
          <w:rFonts w:ascii="Book Antiqua" w:hAnsi="Book Antiqua"/>
          <w:lang w:val="es-ES"/>
        </w:rPr>
        <w:t xml:space="preserve"> </w:t>
      </w:r>
    </w:p>
    <w:p w14:paraId="2CC9D636" w14:textId="77777777" w:rsidR="002C5502" w:rsidRDefault="002C5502" w:rsidP="004774C8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21C4D452" w14:textId="0643232B" w:rsidR="005F57E0" w:rsidRPr="006C4A2F" w:rsidRDefault="00D746FC" w:rsidP="004774C8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"/>
        </w:rPr>
        <w:sectPr w:rsidR="005F57E0" w:rsidRPr="006C4A2F" w:rsidSect="001305D5">
          <w:headerReference w:type="even" r:id="rId8"/>
          <w:headerReference w:type="default" r:id="rId9"/>
          <w:headerReference w:type="first" r:id="rId10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ascii="Book Antiqua" w:hAnsi="Book Antiqua"/>
          <w:i/>
          <w:iCs/>
          <w:color w:val="auto"/>
          <w:lang w:val="es-ES"/>
        </w:rPr>
        <w:t>RESUÉLV</w:t>
      </w:r>
      <w:r w:rsidR="00D93B97">
        <w:rPr>
          <w:rFonts w:ascii="Book Antiqua" w:hAnsi="Book Antiqua"/>
          <w:i/>
          <w:iCs/>
          <w:color w:val="auto"/>
          <w:lang w:val="es-ES"/>
        </w:rPr>
        <w:t>E</w:t>
      </w:r>
      <w:r>
        <w:rPr>
          <w:rFonts w:ascii="Book Antiqua" w:hAnsi="Book Antiqua"/>
          <w:i/>
          <w:iCs/>
          <w:color w:val="auto"/>
          <w:lang w:val="es-ES"/>
        </w:rPr>
        <w:t>SE</w:t>
      </w:r>
      <w:r w:rsidR="005F57E0" w:rsidRPr="00586007">
        <w:rPr>
          <w:rFonts w:ascii="Book Antiqua" w:hAnsi="Book Antiqua"/>
          <w:i/>
          <w:iCs/>
          <w:color w:val="auto"/>
          <w:lang w:val="es-ES"/>
        </w:rPr>
        <w:t xml:space="preserve"> POR LA </w:t>
      </w:r>
      <w:r>
        <w:rPr>
          <w:rFonts w:ascii="Book Antiqua" w:hAnsi="Book Antiqua"/>
          <w:i/>
          <w:iCs/>
          <w:color w:val="auto"/>
          <w:lang w:val="es-ES"/>
        </w:rPr>
        <w:t>CÁMARA DE REPRESENTANTES</w:t>
      </w:r>
      <w:r w:rsidR="005F57E0" w:rsidRPr="00586007">
        <w:rPr>
          <w:rFonts w:ascii="Book Antiqua" w:hAnsi="Book Antiqua"/>
          <w:i/>
          <w:iCs/>
          <w:color w:val="auto"/>
          <w:lang w:val="es-ES"/>
        </w:rPr>
        <w:t xml:space="preserve"> DE PUERTO RICO:</w:t>
      </w:r>
    </w:p>
    <w:p w14:paraId="19904FBE" w14:textId="778C0FAA" w:rsidR="002C5502" w:rsidRPr="00D57375" w:rsidRDefault="00D746FC" w:rsidP="00D57375">
      <w:pPr>
        <w:pStyle w:val="BodyTextIndent2"/>
        <w:ind w:left="0" w:firstLine="720"/>
        <w:jc w:val="both"/>
        <w:rPr>
          <w:rFonts w:ascii="Book Antiqua" w:hAnsi="Book Antiqua"/>
          <w:i/>
          <w:u w:val="single"/>
          <w:lang w:val="es-PR"/>
        </w:rPr>
      </w:pPr>
      <w:r w:rsidRPr="00C82B33">
        <w:rPr>
          <w:rFonts w:ascii="Book Antiqua" w:hAnsi="Book Antiqua"/>
          <w:lang w:val="es-PR"/>
        </w:rPr>
        <w:t xml:space="preserve">Sección 1.- </w:t>
      </w:r>
      <w:r>
        <w:rPr>
          <w:rFonts w:ascii="Book Antiqua" w:hAnsi="Book Antiqua"/>
          <w:lang w:val="es-PR"/>
        </w:rPr>
        <w:t>Se ordena</w:t>
      </w:r>
      <w:r w:rsidRPr="00C82B33">
        <w:rPr>
          <w:rFonts w:ascii="Book Antiqua" w:hAnsi="Book Antiqua"/>
          <w:lang w:val="es-PR"/>
        </w:rPr>
        <w:t xml:space="preserve"> a </w:t>
      </w:r>
      <w:r>
        <w:rPr>
          <w:rFonts w:ascii="Book Antiqua" w:hAnsi="Book Antiqua"/>
          <w:lang w:val="es-PR"/>
        </w:rPr>
        <w:t xml:space="preserve">la Comisión </w:t>
      </w:r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Adultos Mayores y Bienestar Social</w:t>
      </w:r>
      <w:r w:rsidR="00E75343">
        <w:rPr>
          <w:rFonts w:ascii="Book Antiqua" w:hAnsi="Book Antiqua"/>
          <w:lang w:val="es-ES_tradnl"/>
        </w:rPr>
        <w:t xml:space="preserve"> </w:t>
      </w:r>
      <w:r w:rsidR="00E75343">
        <w:rPr>
          <w:rFonts w:ascii="Book Antiqua" w:hAnsi="Book Antiqua"/>
          <w:i/>
          <w:iCs/>
          <w:u w:val="single"/>
          <w:lang w:val="es-ES_tradnl"/>
        </w:rPr>
        <w:t>de la Cámara de Representantes de Puerto Rico</w:t>
      </w:r>
      <w:r w:rsidR="008444A8">
        <w:rPr>
          <w:rFonts w:ascii="Book Antiqua" w:hAnsi="Book Antiqua"/>
          <w:i/>
          <w:iCs/>
          <w:u w:val="single"/>
          <w:lang w:val="es-ES_tradnl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8444A8">
        <w:rPr>
          <w:rFonts w:ascii="Book Antiqua" w:hAnsi="Book Antiqua"/>
          <w:strike/>
          <w:lang w:val="es-PR"/>
        </w:rPr>
        <w:t>a</w:t>
      </w:r>
      <w:r>
        <w:rPr>
          <w:rFonts w:ascii="Book Antiqua" w:hAnsi="Book Antiqua"/>
          <w:lang w:val="es-PR"/>
        </w:rPr>
        <w:t xml:space="preserve"> </w:t>
      </w:r>
      <w:r w:rsidRPr="00C82B33">
        <w:rPr>
          <w:rFonts w:ascii="Book Antiqua" w:hAnsi="Book Antiqua"/>
          <w:lang w:val="es-PR"/>
        </w:rPr>
        <w:t>realizar un</w:t>
      </w:r>
      <w:r>
        <w:rPr>
          <w:rFonts w:ascii="Book Antiqua" w:hAnsi="Book Antiqua"/>
          <w:lang w:val="es-PR"/>
        </w:rPr>
        <w:t>a investigación</w:t>
      </w:r>
      <w:r w:rsidRPr="00C82B33">
        <w:rPr>
          <w:rFonts w:ascii="Book Antiqua" w:hAnsi="Book Antiqua"/>
          <w:lang w:val="es-PR"/>
        </w:rPr>
        <w:t xml:space="preserve"> </w:t>
      </w:r>
      <w:r w:rsidRPr="00D57375">
        <w:rPr>
          <w:rFonts w:ascii="Book Antiqua" w:hAnsi="Book Antiqua"/>
          <w:strike/>
          <w:lang w:val="es-PR"/>
        </w:rPr>
        <w:t xml:space="preserve">sobre el cumplimiento del Departamento de la Familia y las demás agencias e instrumentalidades del Gobierno de Puerto Rico </w:t>
      </w:r>
      <w:r w:rsidR="0050774B" w:rsidRPr="00D57375">
        <w:rPr>
          <w:rFonts w:ascii="Book Antiqua" w:hAnsi="Book Antiqua"/>
          <w:strike/>
          <w:lang w:val="es-PR"/>
        </w:rPr>
        <w:t>sobre e</w:t>
      </w:r>
      <w:r w:rsidRPr="00D57375">
        <w:rPr>
          <w:rFonts w:ascii="Book Antiqua" w:hAnsi="Book Antiqua"/>
          <w:strike/>
          <w:lang w:val="es-PR"/>
        </w:rPr>
        <w:t>l acceso a la justicia de las personas adultas mayores, conforme a la Ley 121-2019.</w:t>
      </w:r>
      <w:r>
        <w:rPr>
          <w:rFonts w:ascii="Book Antiqua" w:hAnsi="Book Antiqua"/>
          <w:lang w:val="es-PR"/>
        </w:rPr>
        <w:t xml:space="preserve"> </w:t>
      </w:r>
      <w:r w:rsidR="002C5502" w:rsidRPr="00D57375">
        <w:rPr>
          <w:rFonts w:ascii="Book Antiqua" w:hAnsi="Book Antiqua"/>
          <w:i/>
          <w:u w:val="single"/>
          <w:lang w:val="es-PR"/>
        </w:rPr>
        <w:t>exhaustiva sobre las agencias e instrumentalidades del Gobierno de Puerto Rico</w:t>
      </w:r>
      <w:r w:rsidR="00A52B7C">
        <w:rPr>
          <w:rFonts w:ascii="Book Antiqua" w:hAnsi="Book Antiqua"/>
          <w:i/>
          <w:u w:val="single"/>
          <w:lang w:val="es-PR"/>
        </w:rPr>
        <w:t>,</w:t>
      </w:r>
      <w:r w:rsidR="002C5502" w:rsidRPr="00D57375">
        <w:rPr>
          <w:rFonts w:ascii="Book Antiqua" w:hAnsi="Book Antiqua"/>
          <w:i/>
          <w:u w:val="single"/>
          <w:lang w:val="es-PR"/>
        </w:rPr>
        <w:t xml:space="preserve"> </w:t>
      </w:r>
      <w:r w:rsidR="002C5502" w:rsidRPr="00950CB9">
        <w:rPr>
          <w:rFonts w:ascii="Book Antiqua" w:hAnsi="Book Antiqua"/>
          <w:i/>
          <w:iCs/>
          <w:u w:val="single"/>
          <w:lang w:val="es-PR"/>
        </w:rPr>
        <w:t xml:space="preserve">a fin de evaluar el grado de cumplimiento con la política pública establecida para garantizar y promover el acceso a la justicia de las personas adultas mayores asegurando su acceso efectivo a la justicia, </w:t>
      </w:r>
      <w:r w:rsidR="002C5502" w:rsidRPr="00D57375">
        <w:rPr>
          <w:rFonts w:ascii="Book Antiqua" w:hAnsi="Book Antiqua"/>
          <w:i/>
          <w:u w:val="single"/>
          <w:lang w:val="es-PR"/>
        </w:rPr>
        <w:t>conforme a lo establecido en la Ley 121-2019, según enmendada, conocida como “Carta de Derechos y la Política Pública del Gobierno a favor de los Adultos Mayores”.</w:t>
      </w:r>
    </w:p>
    <w:p w14:paraId="4446E374" w14:textId="6D2E417B" w:rsidR="00D746FC" w:rsidRPr="00C82B33" w:rsidRDefault="00D746FC" w:rsidP="00D746FC">
      <w:pPr>
        <w:pStyle w:val="BodyTextIndent2"/>
        <w:ind w:left="0"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</w:t>
      </w:r>
      <w:r w:rsidRPr="00C82B33">
        <w:rPr>
          <w:rFonts w:ascii="Book Antiqua" w:hAnsi="Book Antiqua"/>
          <w:lang w:val="es-PR"/>
        </w:rPr>
        <w:t xml:space="preserve">La </w:t>
      </w:r>
      <w:r>
        <w:rPr>
          <w:rFonts w:ascii="Book Antiqua" w:hAnsi="Book Antiqua"/>
          <w:lang w:val="es-PR"/>
        </w:rPr>
        <w:t>Comisión rendirá</w:t>
      </w:r>
      <w:r w:rsidRPr="00C82B33">
        <w:rPr>
          <w:rFonts w:ascii="Book Antiqua" w:hAnsi="Book Antiqua"/>
          <w:lang w:val="es-PR"/>
        </w:rPr>
        <w:t xml:space="preserve"> a la Cámara de Representantes un informe con sus hallazgos, conclusiones y recomendaciones, incluyendo las acciones legislativas y administrativas que deban adoptarse con relación al asunto objeto de </w:t>
      </w:r>
      <w:r w:rsidR="00D41D6F">
        <w:rPr>
          <w:rFonts w:ascii="Book Antiqua" w:hAnsi="Book Antiqua"/>
          <w:lang w:val="es-PR"/>
        </w:rPr>
        <w:t>esta investigación</w:t>
      </w:r>
      <w:r w:rsidRPr="00C82B33">
        <w:rPr>
          <w:rFonts w:ascii="Book Antiqua" w:hAnsi="Book Antiqua"/>
          <w:lang w:val="es-PR"/>
        </w:rPr>
        <w:t xml:space="preserve">, en un término de tiempo no mayor de ciento ochenta (180) días, luego de aprobada </w:t>
      </w:r>
      <w:r>
        <w:rPr>
          <w:rFonts w:ascii="Book Antiqua" w:hAnsi="Book Antiqua"/>
          <w:lang w:val="es-PR"/>
        </w:rPr>
        <w:t>la presente</w:t>
      </w:r>
      <w:r w:rsidRPr="00C82B33">
        <w:rPr>
          <w:rFonts w:ascii="Book Antiqua" w:hAnsi="Book Antiqua"/>
          <w:lang w:val="es-PR"/>
        </w:rPr>
        <w:t xml:space="preserve"> Resolución.</w:t>
      </w:r>
    </w:p>
    <w:p w14:paraId="10A44062" w14:textId="514DA995" w:rsidR="00D815EA" w:rsidRPr="00BC6DBC" w:rsidRDefault="00D746FC" w:rsidP="00D746FC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Times-Roman"/>
          <w:iCs/>
          <w:lang w:val="es-PR" w:eastAsia="es-PR"/>
        </w:rPr>
      </w:pPr>
      <w:r w:rsidRPr="00BC0217">
        <w:rPr>
          <w:rFonts w:ascii="Book Antiqua" w:hAnsi="Book Antiqua"/>
          <w:strike/>
          <w:lang w:val="es-PR"/>
        </w:rPr>
        <w:t>Sección 4.-</w:t>
      </w:r>
      <w:r w:rsidRPr="00C82B33">
        <w:rPr>
          <w:rFonts w:ascii="Book Antiqua" w:hAnsi="Book Antiqua"/>
          <w:lang w:val="es-PR"/>
        </w:rPr>
        <w:t xml:space="preserve"> </w:t>
      </w:r>
      <w:r w:rsidR="00BC0217">
        <w:rPr>
          <w:rFonts w:ascii="Book Antiqua" w:hAnsi="Book Antiqua"/>
          <w:i/>
          <w:iCs/>
          <w:u w:val="single"/>
          <w:lang w:val="es-PR"/>
        </w:rPr>
        <w:t>Sección 3.-</w:t>
      </w:r>
      <w:r w:rsidR="00BC0217">
        <w:rPr>
          <w:rFonts w:ascii="Book Antiqua" w:hAnsi="Book Antiqua"/>
          <w:lang w:val="es-PR"/>
        </w:rPr>
        <w:t xml:space="preserve"> </w:t>
      </w:r>
      <w:r w:rsidRPr="00C82B33">
        <w:rPr>
          <w:rFonts w:ascii="Book Antiqua" w:hAnsi="Book Antiqua"/>
          <w:lang w:val="es-PR"/>
        </w:rPr>
        <w:t>Esta Resolución comenzará a regir inmediatamente después de su aprobación</w:t>
      </w:r>
      <w:r w:rsidR="005F57E0" w:rsidRPr="006301FC">
        <w:rPr>
          <w:rFonts w:ascii="Book Antiqua" w:hAnsi="Book Antiqua" w:cs="Times-Roman"/>
          <w:iCs/>
          <w:lang w:val="es-PR" w:eastAsia="es-PR"/>
        </w:rPr>
        <w:t>.</w:t>
      </w:r>
    </w:p>
    <w:sectPr w:rsidR="00D815EA" w:rsidRPr="00BC6DBC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FBFB9" w14:textId="77777777" w:rsidR="002C5502" w:rsidRDefault="002C5502" w:rsidP="00BC294E">
      <w:r>
        <w:separator/>
      </w:r>
    </w:p>
  </w:endnote>
  <w:endnote w:type="continuationSeparator" w:id="0">
    <w:p w14:paraId="77BD28A1" w14:textId="77777777" w:rsidR="002C5502" w:rsidRDefault="002C5502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312D5" w14:textId="77777777" w:rsidR="002C5502" w:rsidRDefault="002C5502" w:rsidP="00BC294E">
      <w:r>
        <w:separator/>
      </w:r>
    </w:p>
  </w:footnote>
  <w:footnote w:type="continuationSeparator" w:id="0">
    <w:p w14:paraId="72032009" w14:textId="77777777" w:rsidR="002C5502" w:rsidRDefault="002C5502" w:rsidP="00BC294E">
      <w:r>
        <w:continuationSeparator/>
      </w:r>
    </w:p>
  </w:footnote>
  <w:footnote w:id="1">
    <w:p w14:paraId="5947969E" w14:textId="77777777" w:rsidR="002C5502" w:rsidRPr="007F24D3" w:rsidRDefault="002C5502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F24D3">
        <w:rPr>
          <w:lang w:val="es-PR"/>
        </w:rPr>
        <w:t xml:space="preserve"> Véase Exposición de Motivos de la Ley 12</w:t>
      </w:r>
      <w:r>
        <w:rPr>
          <w:lang w:val="es-PR"/>
        </w:rPr>
        <w:t>1-2019, según enmendada.</w:t>
      </w:r>
    </w:p>
  </w:footnote>
  <w:footnote w:id="2">
    <w:p w14:paraId="2A6A0983" w14:textId="77777777" w:rsidR="002C5502" w:rsidRPr="000C2C94" w:rsidRDefault="002C5502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0C2C94">
        <w:rPr>
          <w:lang w:val="es-PR"/>
        </w:rPr>
        <w:t xml:space="preserve"> </w:t>
      </w:r>
      <w:r w:rsidRPr="000C2C94">
        <w:rPr>
          <w:i/>
          <w:iCs/>
          <w:lang w:val="es-PR"/>
        </w:rPr>
        <w:t>Id.</w:t>
      </w:r>
    </w:p>
  </w:footnote>
  <w:footnote w:id="3">
    <w:p w14:paraId="40FBADD9" w14:textId="77777777" w:rsidR="002C5502" w:rsidRPr="007F24D3" w:rsidRDefault="002C5502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F24D3">
        <w:rPr>
          <w:lang w:val="es-PR"/>
        </w:rPr>
        <w:t xml:space="preserve"> 8 LPRA § 1512.</w:t>
      </w:r>
    </w:p>
  </w:footnote>
  <w:footnote w:id="4">
    <w:p w14:paraId="12492DB5" w14:textId="77777777" w:rsidR="002C5502" w:rsidRPr="000C2C94" w:rsidRDefault="002C5502" w:rsidP="00D746FC">
      <w:pPr>
        <w:pStyle w:val="FootnoteText"/>
        <w:rPr>
          <w:i/>
          <w:iCs/>
          <w:lang w:val="es-PR"/>
        </w:rPr>
      </w:pPr>
      <w:r>
        <w:rPr>
          <w:rStyle w:val="FootnoteReference"/>
        </w:rPr>
        <w:footnoteRef/>
      </w:r>
      <w:r w:rsidRPr="000C2C94">
        <w:rPr>
          <w:lang w:val="es-PR"/>
        </w:rPr>
        <w:t xml:space="preserve"> </w:t>
      </w:r>
      <w:r w:rsidRPr="000C2C94">
        <w:rPr>
          <w:i/>
          <w:iCs/>
          <w:lang w:val="es-PR"/>
        </w:rPr>
        <w:t xml:space="preserve">Id. </w:t>
      </w:r>
    </w:p>
  </w:footnote>
  <w:footnote w:id="5">
    <w:p w14:paraId="1C6B445C" w14:textId="77777777" w:rsidR="002C5502" w:rsidRPr="00B84988" w:rsidRDefault="002C5502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B84988">
        <w:rPr>
          <w:lang w:val="es-PR"/>
        </w:rPr>
        <w:t xml:space="preserve"> 8 LPRA § 1514.</w:t>
      </w:r>
    </w:p>
  </w:footnote>
  <w:footnote w:id="6">
    <w:p w14:paraId="5A2A3B76" w14:textId="77777777" w:rsidR="002C5502" w:rsidRPr="00B84988" w:rsidRDefault="002C5502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B84988">
        <w:rPr>
          <w:lang w:val="es-PR"/>
        </w:rPr>
        <w:t xml:space="preserve"> 8 LPRA § 1517.</w:t>
      </w:r>
    </w:p>
  </w:footnote>
  <w:footnote w:id="7">
    <w:p w14:paraId="213806FE" w14:textId="77777777" w:rsidR="002C5502" w:rsidRPr="00B84988" w:rsidRDefault="002C5502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B84988">
        <w:rPr>
          <w:lang w:val="es-PR"/>
        </w:rPr>
        <w:t xml:space="preserve"> 8 LPRA § 1518</w:t>
      </w:r>
      <w:r>
        <w:rPr>
          <w:lang w:val="es-PR"/>
        </w:rPr>
        <w:t>; 8 LPRA § 1529</w:t>
      </w:r>
      <w:r w:rsidRPr="00B84988">
        <w:rPr>
          <w:lang w:val="es-PR"/>
        </w:rPr>
        <w:t>.</w:t>
      </w:r>
    </w:p>
  </w:footnote>
  <w:footnote w:id="8">
    <w:p w14:paraId="7D71120A" w14:textId="77777777" w:rsidR="002C5502" w:rsidRPr="00B84988" w:rsidRDefault="002C5502" w:rsidP="00D746FC">
      <w:pPr>
        <w:pStyle w:val="FootnoteText"/>
        <w:rPr>
          <w:i/>
          <w:iCs/>
          <w:lang w:val="es-PR"/>
        </w:rPr>
      </w:pPr>
      <w:r>
        <w:rPr>
          <w:rStyle w:val="FootnoteReference"/>
        </w:rPr>
        <w:footnoteRef/>
      </w:r>
      <w:r w:rsidRPr="00B84988">
        <w:rPr>
          <w:lang w:val="es-PR"/>
        </w:rPr>
        <w:t xml:space="preserve"> </w:t>
      </w:r>
      <w:r w:rsidRPr="00B84988">
        <w:rPr>
          <w:i/>
          <w:iCs/>
          <w:lang w:val="es-PR"/>
        </w:rPr>
        <w:t>Id.</w:t>
      </w:r>
    </w:p>
  </w:footnote>
  <w:footnote w:id="9">
    <w:p w14:paraId="75CE0CAE" w14:textId="77777777" w:rsidR="002C5502" w:rsidRPr="000C2C94" w:rsidRDefault="002C5502" w:rsidP="00D746FC">
      <w:pPr>
        <w:pStyle w:val="FootnoteText"/>
        <w:rPr>
          <w:i/>
          <w:iCs/>
          <w:lang w:val="es-PR"/>
        </w:rPr>
      </w:pPr>
      <w:r>
        <w:rPr>
          <w:rStyle w:val="FootnoteReference"/>
        </w:rPr>
        <w:footnoteRef/>
      </w:r>
      <w:r w:rsidRPr="000C2C94">
        <w:rPr>
          <w:lang w:val="es-PR"/>
        </w:rPr>
        <w:t xml:space="preserve"> </w:t>
      </w:r>
      <w:r w:rsidRPr="007F24D3">
        <w:rPr>
          <w:lang w:val="es-PR"/>
        </w:rPr>
        <w:t>8 LPRA § 1512</w:t>
      </w:r>
      <w:r>
        <w:rPr>
          <w:lang w:val="es-PR"/>
        </w:rPr>
        <w:t>.</w:t>
      </w:r>
    </w:p>
  </w:footnote>
  <w:footnote w:id="10">
    <w:p w14:paraId="7CC96392" w14:textId="77777777" w:rsidR="002C5502" w:rsidRPr="000C2C94" w:rsidRDefault="002C5502" w:rsidP="00D746FC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0C2C94">
        <w:rPr>
          <w:lang w:val="es-PR"/>
        </w:rPr>
        <w:t xml:space="preserve"> </w:t>
      </w:r>
      <w:r w:rsidRPr="000C2C94">
        <w:rPr>
          <w:i/>
          <w:iCs/>
          <w:lang w:val="es-PR"/>
        </w:rPr>
        <w:t>Id</w:t>
      </w:r>
      <w:r w:rsidRPr="000C2C94">
        <w:rPr>
          <w:lang w:val="es-PR"/>
        </w:rPr>
        <w:t>, nota 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82CF2" w14:textId="77777777" w:rsidR="002C5502" w:rsidRDefault="002C55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71212DC2" w14:textId="77777777" w:rsidR="002C5502" w:rsidRDefault="002C55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4B34B" w14:textId="77777777" w:rsidR="002C5502" w:rsidRDefault="002C55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62D3">
      <w:rPr>
        <w:rStyle w:val="PageNumber"/>
        <w:noProof/>
      </w:rPr>
      <w:t>4</w:t>
    </w:r>
    <w:r>
      <w:rPr>
        <w:rStyle w:val="PageNumber"/>
      </w:rPr>
      <w:fldChar w:fldCharType="end"/>
    </w:r>
  </w:p>
  <w:p w14:paraId="1E9F0A62" w14:textId="77777777" w:rsidR="002C5502" w:rsidRDefault="002C55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23627" w14:textId="4BF8EAB8" w:rsidR="002C5502" w:rsidRPr="00D72940" w:rsidRDefault="002C5502" w:rsidP="00D72940">
    <w:pPr>
      <w:pStyle w:val="Header"/>
      <w:jc w:val="center"/>
      <w:rPr>
        <w:rFonts w:ascii="Book Antiqua" w:hAnsi="Book Antiqua"/>
      </w:rPr>
    </w:pPr>
    <w:r w:rsidRPr="00D72940"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897E03"/>
    <w:multiLevelType w:val="hybridMultilevel"/>
    <w:tmpl w:val="9DAEAB18"/>
    <w:lvl w:ilvl="0" w:tplc="02607824">
      <w:start w:val="1"/>
      <w:numFmt w:val="lowerLetter"/>
      <w:lvlText w:val="(%1)"/>
      <w:lvlJc w:val="left"/>
      <w:pPr>
        <w:ind w:left="1080" w:hanging="360"/>
      </w:pPr>
      <w:rPr>
        <w:rFonts w:cs="AngsanaUPC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AF42E8"/>
    <w:multiLevelType w:val="hybridMultilevel"/>
    <w:tmpl w:val="B774897C"/>
    <w:lvl w:ilvl="0" w:tplc="E5BE46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87132C"/>
    <w:multiLevelType w:val="hybridMultilevel"/>
    <w:tmpl w:val="C38A27A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71129D"/>
    <w:multiLevelType w:val="hybridMultilevel"/>
    <w:tmpl w:val="9B220B02"/>
    <w:lvl w:ilvl="0" w:tplc="03CE4586">
      <w:start w:val="1"/>
      <w:numFmt w:val="decimal"/>
      <w:lvlText w:val="(%1)"/>
      <w:lvlJc w:val="left"/>
      <w:pPr>
        <w:ind w:left="145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905713"/>
    <w:multiLevelType w:val="hybridMultilevel"/>
    <w:tmpl w:val="953A5844"/>
    <w:lvl w:ilvl="0" w:tplc="82DA6A82">
      <w:start w:val="1"/>
      <w:numFmt w:val="lowerRoman"/>
      <w:lvlText w:val="%1."/>
      <w:lvlJc w:val="left"/>
      <w:pPr>
        <w:ind w:left="3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0635088">
    <w:abstractNumId w:val="13"/>
  </w:num>
  <w:num w:numId="2" w16cid:durableId="1788232963">
    <w:abstractNumId w:val="21"/>
  </w:num>
  <w:num w:numId="3" w16cid:durableId="439225365">
    <w:abstractNumId w:val="1"/>
  </w:num>
  <w:num w:numId="4" w16cid:durableId="609512739">
    <w:abstractNumId w:val="10"/>
  </w:num>
  <w:num w:numId="5" w16cid:durableId="1568608205">
    <w:abstractNumId w:val="17"/>
  </w:num>
  <w:num w:numId="6" w16cid:durableId="1389259130">
    <w:abstractNumId w:val="18"/>
  </w:num>
  <w:num w:numId="7" w16cid:durableId="863591491">
    <w:abstractNumId w:val="20"/>
  </w:num>
  <w:num w:numId="8" w16cid:durableId="1609436008">
    <w:abstractNumId w:val="6"/>
  </w:num>
  <w:num w:numId="9" w16cid:durableId="506332085">
    <w:abstractNumId w:val="16"/>
  </w:num>
  <w:num w:numId="10" w16cid:durableId="1517042462">
    <w:abstractNumId w:val="12"/>
  </w:num>
  <w:num w:numId="11" w16cid:durableId="1535189595">
    <w:abstractNumId w:val="0"/>
  </w:num>
  <w:num w:numId="12" w16cid:durableId="1633058170">
    <w:abstractNumId w:val="15"/>
  </w:num>
  <w:num w:numId="13" w16cid:durableId="943150414">
    <w:abstractNumId w:val="14"/>
  </w:num>
  <w:num w:numId="14" w16cid:durableId="753358954">
    <w:abstractNumId w:val="19"/>
  </w:num>
  <w:num w:numId="15" w16cid:durableId="37705021">
    <w:abstractNumId w:val="2"/>
  </w:num>
  <w:num w:numId="16" w16cid:durableId="250548724">
    <w:abstractNumId w:val="22"/>
  </w:num>
  <w:num w:numId="17" w16cid:durableId="238640860">
    <w:abstractNumId w:val="9"/>
  </w:num>
  <w:num w:numId="18" w16cid:durableId="1307320169">
    <w:abstractNumId w:val="7"/>
  </w:num>
  <w:num w:numId="19" w16cid:durableId="1057557166">
    <w:abstractNumId w:val="3"/>
  </w:num>
  <w:num w:numId="20" w16cid:durableId="45035567">
    <w:abstractNumId w:val="4"/>
  </w:num>
  <w:num w:numId="21" w16cid:durableId="846285678">
    <w:abstractNumId w:val="8"/>
  </w:num>
  <w:num w:numId="22" w16cid:durableId="1136947874">
    <w:abstractNumId w:val="5"/>
  </w:num>
  <w:num w:numId="23" w16cid:durableId="2292726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7E0"/>
    <w:rsid w:val="00006601"/>
    <w:rsid w:val="00015825"/>
    <w:rsid w:val="0001645A"/>
    <w:rsid w:val="00017E28"/>
    <w:rsid w:val="00026A42"/>
    <w:rsid w:val="0002785B"/>
    <w:rsid w:val="00030968"/>
    <w:rsid w:val="000313F9"/>
    <w:rsid w:val="00045D13"/>
    <w:rsid w:val="00045E05"/>
    <w:rsid w:val="000478CE"/>
    <w:rsid w:val="00051C4B"/>
    <w:rsid w:val="000555EB"/>
    <w:rsid w:val="00061BC3"/>
    <w:rsid w:val="000676F6"/>
    <w:rsid w:val="00070FAC"/>
    <w:rsid w:val="00071F84"/>
    <w:rsid w:val="00072948"/>
    <w:rsid w:val="0007712E"/>
    <w:rsid w:val="000809D9"/>
    <w:rsid w:val="0008135A"/>
    <w:rsid w:val="00081578"/>
    <w:rsid w:val="00083B35"/>
    <w:rsid w:val="000857E7"/>
    <w:rsid w:val="000900CE"/>
    <w:rsid w:val="00091513"/>
    <w:rsid w:val="000923A7"/>
    <w:rsid w:val="00092B42"/>
    <w:rsid w:val="00093E71"/>
    <w:rsid w:val="000959E1"/>
    <w:rsid w:val="00097BD9"/>
    <w:rsid w:val="000A2712"/>
    <w:rsid w:val="000A2768"/>
    <w:rsid w:val="000A3B11"/>
    <w:rsid w:val="000A43F0"/>
    <w:rsid w:val="000A4DDC"/>
    <w:rsid w:val="000B035B"/>
    <w:rsid w:val="000B0390"/>
    <w:rsid w:val="000B0404"/>
    <w:rsid w:val="000B136C"/>
    <w:rsid w:val="000B16AC"/>
    <w:rsid w:val="000B4851"/>
    <w:rsid w:val="000C226B"/>
    <w:rsid w:val="000C3A3C"/>
    <w:rsid w:val="000C3D7F"/>
    <w:rsid w:val="000C52A1"/>
    <w:rsid w:val="000C75D8"/>
    <w:rsid w:val="000D581C"/>
    <w:rsid w:val="000D590F"/>
    <w:rsid w:val="000D65D5"/>
    <w:rsid w:val="000D7D47"/>
    <w:rsid w:val="000E2460"/>
    <w:rsid w:val="000E2A22"/>
    <w:rsid w:val="000E4870"/>
    <w:rsid w:val="000E4DA2"/>
    <w:rsid w:val="000E7590"/>
    <w:rsid w:val="000F1807"/>
    <w:rsid w:val="000F3473"/>
    <w:rsid w:val="000F50F9"/>
    <w:rsid w:val="000F54DF"/>
    <w:rsid w:val="001060A6"/>
    <w:rsid w:val="00112479"/>
    <w:rsid w:val="00113A30"/>
    <w:rsid w:val="001156EB"/>
    <w:rsid w:val="00117052"/>
    <w:rsid w:val="001220F9"/>
    <w:rsid w:val="00122931"/>
    <w:rsid w:val="00125094"/>
    <w:rsid w:val="001305D5"/>
    <w:rsid w:val="00132C05"/>
    <w:rsid w:val="0013399B"/>
    <w:rsid w:val="00134067"/>
    <w:rsid w:val="0013574C"/>
    <w:rsid w:val="0013656E"/>
    <w:rsid w:val="00137185"/>
    <w:rsid w:val="00137FFD"/>
    <w:rsid w:val="0014403A"/>
    <w:rsid w:val="00151ED6"/>
    <w:rsid w:val="00153BC8"/>
    <w:rsid w:val="00154908"/>
    <w:rsid w:val="001554F5"/>
    <w:rsid w:val="00160014"/>
    <w:rsid w:val="001609D7"/>
    <w:rsid w:val="00161369"/>
    <w:rsid w:val="00165219"/>
    <w:rsid w:val="001653EC"/>
    <w:rsid w:val="001664E4"/>
    <w:rsid w:val="0018048E"/>
    <w:rsid w:val="00184BAE"/>
    <w:rsid w:val="00192298"/>
    <w:rsid w:val="00192419"/>
    <w:rsid w:val="001962EA"/>
    <w:rsid w:val="00197AEB"/>
    <w:rsid w:val="001A0603"/>
    <w:rsid w:val="001A2189"/>
    <w:rsid w:val="001A605E"/>
    <w:rsid w:val="001B08D1"/>
    <w:rsid w:val="001B1463"/>
    <w:rsid w:val="001B6C6D"/>
    <w:rsid w:val="001B7241"/>
    <w:rsid w:val="001C2DD2"/>
    <w:rsid w:val="001C33E0"/>
    <w:rsid w:val="001C376D"/>
    <w:rsid w:val="001C5A42"/>
    <w:rsid w:val="001C6BFB"/>
    <w:rsid w:val="001D2967"/>
    <w:rsid w:val="001D55B6"/>
    <w:rsid w:val="001D71B4"/>
    <w:rsid w:val="001E1B20"/>
    <w:rsid w:val="001E452D"/>
    <w:rsid w:val="001E55BC"/>
    <w:rsid w:val="001F558A"/>
    <w:rsid w:val="001F6EDD"/>
    <w:rsid w:val="00201740"/>
    <w:rsid w:val="00210ADE"/>
    <w:rsid w:val="00211E2E"/>
    <w:rsid w:val="00211F63"/>
    <w:rsid w:val="00212DCD"/>
    <w:rsid w:val="00214A47"/>
    <w:rsid w:val="00215A54"/>
    <w:rsid w:val="00217A7C"/>
    <w:rsid w:val="00222494"/>
    <w:rsid w:val="00224324"/>
    <w:rsid w:val="002303BE"/>
    <w:rsid w:val="0023234E"/>
    <w:rsid w:val="00233A20"/>
    <w:rsid w:val="00234038"/>
    <w:rsid w:val="0023418E"/>
    <w:rsid w:val="002368B7"/>
    <w:rsid w:val="0023777A"/>
    <w:rsid w:val="00237A16"/>
    <w:rsid w:val="002419CD"/>
    <w:rsid w:val="00244124"/>
    <w:rsid w:val="00251995"/>
    <w:rsid w:val="0026493A"/>
    <w:rsid w:val="00267BB6"/>
    <w:rsid w:val="002704AD"/>
    <w:rsid w:val="002732DC"/>
    <w:rsid w:val="00273F43"/>
    <w:rsid w:val="00274223"/>
    <w:rsid w:val="00276538"/>
    <w:rsid w:val="002770C4"/>
    <w:rsid w:val="002823B5"/>
    <w:rsid w:val="00284441"/>
    <w:rsid w:val="00284EB8"/>
    <w:rsid w:val="00291919"/>
    <w:rsid w:val="0029582C"/>
    <w:rsid w:val="0029710B"/>
    <w:rsid w:val="002A31CB"/>
    <w:rsid w:val="002A369B"/>
    <w:rsid w:val="002A7439"/>
    <w:rsid w:val="002C5502"/>
    <w:rsid w:val="002D2F65"/>
    <w:rsid w:val="002D58D4"/>
    <w:rsid w:val="002D6291"/>
    <w:rsid w:val="002D7385"/>
    <w:rsid w:val="002E13A4"/>
    <w:rsid w:val="002E2866"/>
    <w:rsid w:val="002E6A8A"/>
    <w:rsid w:val="002F25C9"/>
    <w:rsid w:val="002F2F22"/>
    <w:rsid w:val="002F40C0"/>
    <w:rsid w:val="002F56D0"/>
    <w:rsid w:val="002F62A1"/>
    <w:rsid w:val="002F73C4"/>
    <w:rsid w:val="00301628"/>
    <w:rsid w:val="00302027"/>
    <w:rsid w:val="00314042"/>
    <w:rsid w:val="00315484"/>
    <w:rsid w:val="0031549B"/>
    <w:rsid w:val="00320CC0"/>
    <w:rsid w:val="003258F4"/>
    <w:rsid w:val="00332F53"/>
    <w:rsid w:val="00334582"/>
    <w:rsid w:val="00334E7A"/>
    <w:rsid w:val="00337192"/>
    <w:rsid w:val="0033787A"/>
    <w:rsid w:val="0035469E"/>
    <w:rsid w:val="003648AC"/>
    <w:rsid w:val="00364FC0"/>
    <w:rsid w:val="0036758D"/>
    <w:rsid w:val="003678C7"/>
    <w:rsid w:val="00370467"/>
    <w:rsid w:val="00371C1B"/>
    <w:rsid w:val="00371DE0"/>
    <w:rsid w:val="0037537D"/>
    <w:rsid w:val="003765A8"/>
    <w:rsid w:val="00381202"/>
    <w:rsid w:val="00382592"/>
    <w:rsid w:val="00382CF5"/>
    <w:rsid w:val="00384F6A"/>
    <w:rsid w:val="0039112A"/>
    <w:rsid w:val="00391D50"/>
    <w:rsid w:val="003A26F3"/>
    <w:rsid w:val="003A3581"/>
    <w:rsid w:val="003A3D57"/>
    <w:rsid w:val="003A4791"/>
    <w:rsid w:val="003A5471"/>
    <w:rsid w:val="003B2F2B"/>
    <w:rsid w:val="003B3036"/>
    <w:rsid w:val="003B39D7"/>
    <w:rsid w:val="003B4CA1"/>
    <w:rsid w:val="003B4CE0"/>
    <w:rsid w:val="003C2EEA"/>
    <w:rsid w:val="003C3621"/>
    <w:rsid w:val="003C4D8E"/>
    <w:rsid w:val="003C5344"/>
    <w:rsid w:val="003C59F2"/>
    <w:rsid w:val="003C7019"/>
    <w:rsid w:val="003D2B1D"/>
    <w:rsid w:val="003D4E82"/>
    <w:rsid w:val="003D63D5"/>
    <w:rsid w:val="003D6CCC"/>
    <w:rsid w:val="003D7A5A"/>
    <w:rsid w:val="003D7CE6"/>
    <w:rsid w:val="003E15D3"/>
    <w:rsid w:val="003E43B7"/>
    <w:rsid w:val="003E7F85"/>
    <w:rsid w:val="003F2737"/>
    <w:rsid w:val="003F3B40"/>
    <w:rsid w:val="003F50DC"/>
    <w:rsid w:val="003F51B3"/>
    <w:rsid w:val="00400F6F"/>
    <w:rsid w:val="00402EA3"/>
    <w:rsid w:val="00410C07"/>
    <w:rsid w:val="00412705"/>
    <w:rsid w:val="0041660D"/>
    <w:rsid w:val="004245F0"/>
    <w:rsid w:val="00426F9D"/>
    <w:rsid w:val="00427747"/>
    <w:rsid w:val="00434A8D"/>
    <w:rsid w:val="00442599"/>
    <w:rsid w:val="00454A78"/>
    <w:rsid w:val="0045611D"/>
    <w:rsid w:val="00457053"/>
    <w:rsid w:val="004609B2"/>
    <w:rsid w:val="00462A44"/>
    <w:rsid w:val="00463B70"/>
    <w:rsid w:val="00464431"/>
    <w:rsid w:val="00466CD6"/>
    <w:rsid w:val="004774C8"/>
    <w:rsid w:val="00477801"/>
    <w:rsid w:val="00477CF7"/>
    <w:rsid w:val="00481EDE"/>
    <w:rsid w:val="004828ED"/>
    <w:rsid w:val="004925FF"/>
    <w:rsid w:val="00496155"/>
    <w:rsid w:val="004A2906"/>
    <w:rsid w:val="004A7D60"/>
    <w:rsid w:val="004B0490"/>
    <w:rsid w:val="004B14C3"/>
    <w:rsid w:val="004B3717"/>
    <w:rsid w:val="004C101E"/>
    <w:rsid w:val="004C2DF1"/>
    <w:rsid w:val="004C506D"/>
    <w:rsid w:val="004D0175"/>
    <w:rsid w:val="004D26C3"/>
    <w:rsid w:val="004D39B5"/>
    <w:rsid w:val="004D4349"/>
    <w:rsid w:val="004D463A"/>
    <w:rsid w:val="004D6928"/>
    <w:rsid w:val="004D722E"/>
    <w:rsid w:val="004E21FA"/>
    <w:rsid w:val="004E4C53"/>
    <w:rsid w:val="00501293"/>
    <w:rsid w:val="00502A3C"/>
    <w:rsid w:val="0050347C"/>
    <w:rsid w:val="0050774B"/>
    <w:rsid w:val="00512150"/>
    <w:rsid w:val="00514E9F"/>
    <w:rsid w:val="00517748"/>
    <w:rsid w:val="00525A23"/>
    <w:rsid w:val="005261CF"/>
    <w:rsid w:val="005271C8"/>
    <w:rsid w:val="00527B1A"/>
    <w:rsid w:val="005305B6"/>
    <w:rsid w:val="00532445"/>
    <w:rsid w:val="0053591A"/>
    <w:rsid w:val="00543242"/>
    <w:rsid w:val="005449B4"/>
    <w:rsid w:val="00551EDE"/>
    <w:rsid w:val="0055304F"/>
    <w:rsid w:val="00553C70"/>
    <w:rsid w:val="00554DD2"/>
    <w:rsid w:val="00555951"/>
    <w:rsid w:val="00556542"/>
    <w:rsid w:val="005616E5"/>
    <w:rsid w:val="0056218E"/>
    <w:rsid w:val="00562B8E"/>
    <w:rsid w:val="005644D8"/>
    <w:rsid w:val="00565410"/>
    <w:rsid w:val="00571F33"/>
    <w:rsid w:val="00573332"/>
    <w:rsid w:val="005734AB"/>
    <w:rsid w:val="005851CD"/>
    <w:rsid w:val="00586007"/>
    <w:rsid w:val="0058621F"/>
    <w:rsid w:val="00586713"/>
    <w:rsid w:val="00587166"/>
    <w:rsid w:val="005973EB"/>
    <w:rsid w:val="005A4064"/>
    <w:rsid w:val="005A7D7A"/>
    <w:rsid w:val="005B1F3D"/>
    <w:rsid w:val="005B24D5"/>
    <w:rsid w:val="005B49CF"/>
    <w:rsid w:val="005B7A64"/>
    <w:rsid w:val="005C0FA4"/>
    <w:rsid w:val="005C1258"/>
    <w:rsid w:val="005C2059"/>
    <w:rsid w:val="005C2AEE"/>
    <w:rsid w:val="005C5A72"/>
    <w:rsid w:val="005C701B"/>
    <w:rsid w:val="005C79A7"/>
    <w:rsid w:val="005D39E7"/>
    <w:rsid w:val="005E0BFC"/>
    <w:rsid w:val="005E373A"/>
    <w:rsid w:val="005E42A6"/>
    <w:rsid w:val="005E456B"/>
    <w:rsid w:val="005E630D"/>
    <w:rsid w:val="005E67F2"/>
    <w:rsid w:val="005E6A1C"/>
    <w:rsid w:val="005F02CB"/>
    <w:rsid w:val="005F2567"/>
    <w:rsid w:val="005F57E0"/>
    <w:rsid w:val="005F5989"/>
    <w:rsid w:val="00601BBE"/>
    <w:rsid w:val="00605CCE"/>
    <w:rsid w:val="006143B0"/>
    <w:rsid w:val="006160FD"/>
    <w:rsid w:val="0062021E"/>
    <w:rsid w:val="0062277E"/>
    <w:rsid w:val="0062544B"/>
    <w:rsid w:val="0063018D"/>
    <w:rsid w:val="00631C00"/>
    <w:rsid w:val="006326AB"/>
    <w:rsid w:val="006354D4"/>
    <w:rsid w:val="00637755"/>
    <w:rsid w:val="0064028F"/>
    <w:rsid w:val="006402B3"/>
    <w:rsid w:val="0064114C"/>
    <w:rsid w:val="006435CB"/>
    <w:rsid w:val="00644DA6"/>
    <w:rsid w:val="00645C20"/>
    <w:rsid w:val="00650379"/>
    <w:rsid w:val="006519B7"/>
    <w:rsid w:val="00654AC0"/>
    <w:rsid w:val="006575C7"/>
    <w:rsid w:val="00657A34"/>
    <w:rsid w:val="0066456D"/>
    <w:rsid w:val="00665377"/>
    <w:rsid w:val="00667000"/>
    <w:rsid w:val="00670F4A"/>
    <w:rsid w:val="00671977"/>
    <w:rsid w:val="00671DDB"/>
    <w:rsid w:val="00671EBD"/>
    <w:rsid w:val="0067212A"/>
    <w:rsid w:val="0067252A"/>
    <w:rsid w:val="00672DB0"/>
    <w:rsid w:val="00676A22"/>
    <w:rsid w:val="006775A2"/>
    <w:rsid w:val="0067766B"/>
    <w:rsid w:val="0068039F"/>
    <w:rsid w:val="006819B1"/>
    <w:rsid w:val="00684057"/>
    <w:rsid w:val="00685BFD"/>
    <w:rsid w:val="0069339F"/>
    <w:rsid w:val="00694E43"/>
    <w:rsid w:val="00697372"/>
    <w:rsid w:val="006A5038"/>
    <w:rsid w:val="006A56F6"/>
    <w:rsid w:val="006A5F78"/>
    <w:rsid w:val="006A6CD4"/>
    <w:rsid w:val="006B146A"/>
    <w:rsid w:val="006B3236"/>
    <w:rsid w:val="006B3353"/>
    <w:rsid w:val="006C029C"/>
    <w:rsid w:val="006C0382"/>
    <w:rsid w:val="006C0A0A"/>
    <w:rsid w:val="006C1F3E"/>
    <w:rsid w:val="006C4A2F"/>
    <w:rsid w:val="006C5253"/>
    <w:rsid w:val="006C71C2"/>
    <w:rsid w:val="006E266D"/>
    <w:rsid w:val="006E3140"/>
    <w:rsid w:val="006E590B"/>
    <w:rsid w:val="006E69A9"/>
    <w:rsid w:val="006F0369"/>
    <w:rsid w:val="006F57BF"/>
    <w:rsid w:val="00701FDE"/>
    <w:rsid w:val="00702011"/>
    <w:rsid w:val="0070484E"/>
    <w:rsid w:val="00710C3B"/>
    <w:rsid w:val="00715058"/>
    <w:rsid w:val="00715F2A"/>
    <w:rsid w:val="007160EA"/>
    <w:rsid w:val="007235F6"/>
    <w:rsid w:val="00723E09"/>
    <w:rsid w:val="007242B8"/>
    <w:rsid w:val="00725E8A"/>
    <w:rsid w:val="007270AD"/>
    <w:rsid w:val="00730F83"/>
    <w:rsid w:val="00733701"/>
    <w:rsid w:val="00733C12"/>
    <w:rsid w:val="00742AEB"/>
    <w:rsid w:val="00742DD5"/>
    <w:rsid w:val="007470E2"/>
    <w:rsid w:val="007520BE"/>
    <w:rsid w:val="0075529D"/>
    <w:rsid w:val="007570FD"/>
    <w:rsid w:val="00763458"/>
    <w:rsid w:val="007637A8"/>
    <w:rsid w:val="00764837"/>
    <w:rsid w:val="0076616C"/>
    <w:rsid w:val="00766CEE"/>
    <w:rsid w:val="00770182"/>
    <w:rsid w:val="007740B7"/>
    <w:rsid w:val="00775DE9"/>
    <w:rsid w:val="007772E9"/>
    <w:rsid w:val="00777C18"/>
    <w:rsid w:val="00780B0C"/>
    <w:rsid w:val="00791404"/>
    <w:rsid w:val="0079244E"/>
    <w:rsid w:val="00792674"/>
    <w:rsid w:val="00793B4C"/>
    <w:rsid w:val="00794BE7"/>
    <w:rsid w:val="007955CD"/>
    <w:rsid w:val="007A2AFE"/>
    <w:rsid w:val="007A2CD0"/>
    <w:rsid w:val="007A303F"/>
    <w:rsid w:val="007A314E"/>
    <w:rsid w:val="007A6255"/>
    <w:rsid w:val="007A64DA"/>
    <w:rsid w:val="007B06DF"/>
    <w:rsid w:val="007B5402"/>
    <w:rsid w:val="007B6002"/>
    <w:rsid w:val="007B64B0"/>
    <w:rsid w:val="007C0F9D"/>
    <w:rsid w:val="007C203D"/>
    <w:rsid w:val="007C62D3"/>
    <w:rsid w:val="007D16DA"/>
    <w:rsid w:val="007D20F1"/>
    <w:rsid w:val="007D7C0E"/>
    <w:rsid w:val="00801EB2"/>
    <w:rsid w:val="008028C7"/>
    <w:rsid w:val="0082225E"/>
    <w:rsid w:val="008222A3"/>
    <w:rsid w:val="008265E8"/>
    <w:rsid w:val="00826655"/>
    <w:rsid w:val="00826AB0"/>
    <w:rsid w:val="00831EEE"/>
    <w:rsid w:val="00831F60"/>
    <w:rsid w:val="00836710"/>
    <w:rsid w:val="00841E3A"/>
    <w:rsid w:val="008424DA"/>
    <w:rsid w:val="00843115"/>
    <w:rsid w:val="008444A8"/>
    <w:rsid w:val="00844AAD"/>
    <w:rsid w:val="00844C8D"/>
    <w:rsid w:val="008458AA"/>
    <w:rsid w:val="00854736"/>
    <w:rsid w:val="00855279"/>
    <w:rsid w:val="00855387"/>
    <w:rsid w:val="00857AD5"/>
    <w:rsid w:val="00860DE0"/>
    <w:rsid w:val="00867A79"/>
    <w:rsid w:val="00870244"/>
    <w:rsid w:val="00870658"/>
    <w:rsid w:val="008717A1"/>
    <w:rsid w:val="0087474A"/>
    <w:rsid w:val="00874C2D"/>
    <w:rsid w:val="00875679"/>
    <w:rsid w:val="00875FCF"/>
    <w:rsid w:val="0087601E"/>
    <w:rsid w:val="00876532"/>
    <w:rsid w:val="00882531"/>
    <w:rsid w:val="00884AA4"/>
    <w:rsid w:val="00884CA7"/>
    <w:rsid w:val="008867D3"/>
    <w:rsid w:val="00886B7E"/>
    <w:rsid w:val="008903BB"/>
    <w:rsid w:val="00894E9B"/>
    <w:rsid w:val="00896505"/>
    <w:rsid w:val="008A0E98"/>
    <w:rsid w:val="008A1A1C"/>
    <w:rsid w:val="008A1FE7"/>
    <w:rsid w:val="008A5541"/>
    <w:rsid w:val="008B320C"/>
    <w:rsid w:val="008B3CAA"/>
    <w:rsid w:val="008B525B"/>
    <w:rsid w:val="008B69F9"/>
    <w:rsid w:val="008B7C65"/>
    <w:rsid w:val="008C0C56"/>
    <w:rsid w:val="008C0D67"/>
    <w:rsid w:val="008C3245"/>
    <w:rsid w:val="008C38B8"/>
    <w:rsid w:val="008C6576"/>
    <w:rsid w:val="008D1CF6"/>
    <w:rsid w:val="008D51D0"/>
    <w:rsid w:val="008D7D23"/>
    <w:rsid w:val="008E13CB"/>
    <w:rsid w:val="008E1DA0"/>
    <w:rsid w:val="008E2E41"/>
    <w:rsid w:val="008E4423"/>
    <w:rsid w:val="008E6F4E"/>
    <w:rsid w:val="008E7191"/>
    <w:rsid w:val="008F0C07"/>
    <w:rsid w:val="008F2990"/>
    <w:rsid w:val="008F4066"/>
    <w:rsid w:val="008F438F"/>
    <w:rsid w:val="008F6CF8"/>
    <w:rsid w:val="008F7233"/>
    <w:rsid w:val="00907E55"/>
    <w:rsid w:val="0091548C"/>
    <w:rsid w:val="00916070"/>
    <w:rsid w:val="009240A3"/>
    <w:rsid w:val="00924220"/>
    <w:rsid w:val="00926379"/>
    <w:rsid w:val="009272DC"/>
    <w:rsid w:val="00930938"/>
    <w:rsid w:val="00931B07"/>
    <w:rsid w:val="00933CE6"/>
    <w:rsid w:val="00935078"/>
    <w:rsid w:val="0094435B"/>
    <w:rsid w:val="00944FFF"/>
    <w:rsid w:val="00945050"/>
    <w:rsid w:val="00945835"/>
    <w:rsid w:val="009468AA"/>
    <w:rsid w:val="00946F8E"/>
    <w:rsid w:val="00947EA8"/>
    <w:rsid w:val="00950ABC"/>
    <w:rsid w:val="00950CB9"/>
    <w:rsid w:val="00951B05"/>
    <w:rsid w:val="009564C1"/>
    <w:rsid w:val="009564CE"/>
    <w:rsid w:val="009623A7"/>
    <w:rsid w:val="009626C6"/>
    <w:rsid w:val="009668C5"/>
    <w:rsid w:val="0097447E"/>
    <w:rsid w:val="00980600"/>
    <w:rsid w:val="00980CFF"/>
    <w:rsid w:val="009852B2"/>
    <w:rsid w:val="009906C6"/>
    <w:rsid w:val="00994105"/>
    <w:rsid w:val="009A13DA"/>
    <w:rsid w:val="009A1D67"/>
    <w:rsid w:val="009A3367"/>
    <w:rsid w:val="009A38E3"/>
    <w:rsid w:val="009A441B"/>
    <w:rsid w:val="009B3DA2"/>
    <w:rsid w:val="009B4093"/>
    <w:rsid w:val="009B4D0A"/>
    <w:rsid w:val="009B5144"/>
    <w:rsid w:val="009B6011"/>
    <w:rsid w:val="009C2DF8"/>
    <w:rsid w:val="009C40AD"/>
    <w:rsid w:val="009C4AD3"/>
    <w:rsid w:val="009C536C"/>
    <w:rsid w:val="009C5EE1"/>
    <w:rsid w:val="009D27CA"/>
    <w:rsid w:val="009D2EA6"/>
    <w:rsid w:val="009D34F6"/>
    <w:rsid w:val="009D4500"/>
    <w:rsid w:val="009D5EE7"/>
    <w:rsid w:val="009D6973"/>
    <w:rsid w:val="009E20FE"/>
    <w:rsid w:val="009E437F"/>
    <w:rsid w:val="009E7B46"/>
    <w:rsid w:val="009F0043"/>
    <w:rsid w:val="009F0B09"/>
    <w:rsid w:val="009F1271"/>
    <w:rsid w:val="009F22DE"/>
    <w:rsid w:val="009F63DF"/>
    <w:rsid w:val="00A00B03"/>
    <w:rsid w:val="00A01EAF"/>
    <w:rsid w:val="00A02F09"/>
    <w:rsid w:val="00A15DFB"/>
    <w:rsid w:val="00A160E3"/>
    <w:rsid w:val="00A21856"/>
    <w:rsid w:val="00A22BBC"/>
    <w:rsid w:val="00A235F7"/>
    <w:rsid w:val="00A25C35"/>
    <w:rsid w:val="00A30481"/>
    <w:rsid w:val="00A3335A"/>
    <w:rsid w:val="00A3517F"/>
    <w:rsid w:val="00A37A69"/>
    <w:rsid w:val="00A42654"/>
    <w:rsid w:val="00A44B7C"/>
    <w:rsid w:val="00A51B58"/>
    <w:rsid w:val="00A52B7C"/>
    <w:rsid w:val="00A541EE"/>
    <w:rsid w:val="00A544ED"/>
    <w:rsid w:val="00A5479F"/>
    <w:rsid w:val="00A548C0"/>
    <w:rsid w:val="00A57DBF"/>
    <w:rsid w:val="00A6211F"/>
    <w:rsid w:val="00A638BF"/>
    <w:rsid w:val="00A66328"/>
    <w:rsid w:val="00A671CB"/>
    <w:rsid w:val="00A7003B"/>
    <w:rsid w:val="00A731F5"/>
    <w:rsid w:val="00A746B4"/>
    <w:rsid w:val="00A7583B"/>
    <w:rsid w:val="00A823E4"/>
    <w:rsid w:val="00A834E2"/>
    <w:rsid w:val="00A83B62"/>
    <w:rsid w:val="00A83C1C"/>
    <w:rsid w:val="00A84142"/>
    <w:rsid w:val="00A841B1"/>
    <w:rsid w:val="00A848FA"/>
    <w:rsid w:val="00A870D1"/>
    <w:rsid w:val="00A873FB"/>
    <w:rsid w:val="00A90752"/>
    <w:rsid w:val="00A929C9"/>
    <w:rsid w:val="00A92B0F"/>
    <w:rsid w:val="00A94962"/>
    <w:rsid w:val="00A958E3"/>
    <w:rsid w:val="00A9590F"/>
    <w:rsid w:val="00AA0754"/>
    <w:rsid w:val="00AA1ECD"/>
    <w:rsid w:val="00AA60F1"/>
    <w:rsid w:val="00AB3EBB"/>
    <w:rsid w:val="00AB4C5C"/>
    <w:rsid w:val="00AB7735"/>
    <w:rsid w:val="00AB78D7"/>
    <w:rsid w:val="00AC2D4A"/>
    <w:rsid w:val="00AC31B4"/>
    <w:rsid w:val="00AC3977"/>
    <w:rsid w:val="00AD4074"/>
    <w:rsid w:val="00AD51E6"/>
    <w:rsid w:val="00AD5D1A"/>
    <w:rsid w:val="00AE0D44"/>
    <w:rsid w:val="00AE1370"/>
    <w:rsid w:val="00AE1C70"/>
    <w:rsid w:val="00AE4373"/>
    <w:rsid w:val="00AE773B"/>
    <w:rsid w:val="00AE7926"/>
    <w:rsid w:val="00AE7AC2"/>
    <w:rsid w:val="00AF0934"/>
    <w:rsid w:val="00AF1AC7"/>
    <w:rsid w:val="00AF70D7"/>
    <w:rsid w:val="00B00782"/>
    <w:rsid w:val="00B01095"/>
    <w:rsid w:val="00B01A52"/>
    <w:rsid w:val="00B03745"/>
    <w:rsid w:val="00B076F8"/>
    <w:rsid w:val="00B106F8"/>
    <w:rsid w:val="00B11AE7"/>
    <w:rsid w:val="00B130D5"/>
    <w:rsid w:val="00B145B4"/>
    <w:rsid w:val="00B148C8"/>
    <w:rsid w:val="00B157E4"/>
    <w:rsid w:val="00B159D1"/>
    <w:rsid w:val="00B15F7A"/>
    <w:rsid w:val="00B216F0"/>
    <w:rsid w:val="00B222D9"/>
    <w:rsid w:val="00B23E1E"/>
    <w:rsid w:val="00B241E7"/>
    <w:rsid w:val="00B25D12"/>
    <w:rsid w:val="00B2621A"/>
    <w:rsid w:val="00B2729F"/>
    <w:rsid w:val="00B308C0"/>
    <w:rsid w:val="00B34C8F"/>
    <w:rsid w:val="00B36652"/>
    <w:rsid w:val="00B37E2E"/>
    <w:rsid w:val="00B4057C"/>
    <w:rsid w:val="00B43FE6"/>
    <w:rsid w:val="00B447B3"/>
    <w:rsid w:val="00B44BB4"/>
    <w:rsid w:val="00B4661E"/>
    <w:rsid w:val="00B52A42"/>
    <w:rsid w:val="00B538A6"/>
    <w:rsid w:val="00B56A49"/>
    <w:rsid w:val="00B5728D"/>
    <w:rsid w:val="00B618CC"/>
    <w:rsid w:val="00B62F8F"/>
    <w:rsid w:val="00B63B58"/>
    <w:rsid w:val="00B64421"/>
    <w:rsid w:val="00B708D8"/>
    <w:rsid w:val="00B74D7B"/>
    <w:rsid w:val="00B75774"/>
    <w:rsid w:val="00B768BA"/>
    <w:rsid w:val="00B778D9"/>
    <w:rsid w:val="00B77FA2"/>
    <w:rsid w:val="00B80C31"/>
    <w:rsid w:val="00B821C8"/>
    <w:rsid w:val="00B8551D"/>
    <w:rsid w:val="00B906B3"/>
    <w:rsid w:val="00B92BE3"/>
    <w:rsid w:val="00B93448"/>
    <w:rsid w:val="00B939DF"/>
    <w:rsid w:val="00B93B19"/>
    <w:rsid w:val="00B93F9E"/>
    <w:rsid w:val="00B9612A"/>
    <w:rsid w:val="00B974A4"/>
    <w:rsid w:val="00BA6CF2"/>
    <w:rsid w:val="00BB18FD"/>
    <w:rsid w:val="00BB3B06"/>
    <w:rsid w:val="00BB5FB9"/>
    <w:rsid w:val="00BC0217"/>
    <w:rsid w:val="00BC1F30"/>
    <w:rsid w:val="00BC294E"/>
    <w:rsid w:val="00BC6DBC"/>
    <w:rsid w:val="00BD4BAA"/>
    <w:rsid w:val="00BD5C03"/>
    <w:rsid w:val="00BD6031"/>
    <w:rsid w:val="00BD7ED9"/>
    <w:rsid w:val="00BE0A8A"/>
    <w:rsid w:val="00BE0E5A"/>
    <w:rsid w:val="00BE13DD"/>
    <w:rsid w:val="00BE217E"/>
    <w:rsid w:val="00BE3209"/>
    <w:rsid w:val="00BE4AC9"/>
    <w:rsid w:val="00BF087F"/>
    <w:rsid w:val="00BF2128"/>
    <w:rsid w:val="00BF6204"/>
    <w:rsid w:val="00BF79CD"/>
    <w:rsid w:val="00C00BAB"/>
    <w:rsid w:val="00C025C6"/>
    <w:rsid w:val="00C0611B"/>
    <w:rsid w:val="00C103E8"/>
    <w:rsid w:val="00C106E7"/>
    <w:rsid w:val="00C21A4B"/>
    <w:rsid w:val="00C225BA"/>
    <w:rsid w:val="00C233C8"/>
    <w:rsid w:val="00C24119"/>
    <w:rsid w:val="00C27258"/>
    <w:rsid w:val="00C339B3"/>
    <w:rsid w:val="00C4355D"/>
    <w:rsid w:val="00C445F8"/>
    <w:rsid w:val="00C47D9B"/>
    <w:rsid w:val="00C71693"/>
    <w:rsid w:val="00C74998"/>
    <w:rsid w:val="00C838C7"/>
    <w:rsid w:val="00C838D1"/>
    <w:rsid w:val="00C87F68"/>
    <w:rsid w:val="00C906A4"/>
    <w:rsid w:val="00C92CA0"/>
    <w:rsid w:val="00C92E35"/>
    <w:rsid w:val="00C9402B"/>
    <w:rsid w:val="00C958B8"/>
    <w:rsid w:val="00C95C9F"/>
    <w:rsid w:val="00C96658"/>
    <w:rsid w:val="00CA0CD2"/>
    <w:rsid w:val="00CA3008"/>
    <w:rsid w:val="00CA321F"/>
    <w:rsid w:val="00CA4887"/>
    <w:rsid w:val="00CA5BA8"/>
    <w:rsid w:val="00CB547E"/>
    <w:rsid w:val="00CC074D"/>
    <w:rsid w:val="00CC10F9"/>
    <w:rsid w:val="00CC377E"/>
    <w:rsid w:val="00CC49BC"/>
    <w:rsid w:val="00CC782F"/>
    <w:rsid w:val="00CD540A"/>
    <w:rsid w:val="00CF0407"/>
    <w:rsid w:val="00CF0CF0"/>
    <w:rsid w:val="00CF59A7"/>
    <w:rsid w:val="00D02AC6"/>
    <w:rsid w:val="00D063DF"/>
    <w:rsid w:val="00D071C9"/>
    <w:rsid w:val="00D10747"/>
    <w:rsid w:val="00D130ED"/>
    <w:rsid w:val="00D14713"/>
    <w:rsid w:val="00D14D8A"/>
    <w:rsid w:val="00D21AC1"/>
    <w:rsid w:val="00D22886"/>
    <w:rsid w:val="00D24768"/>
    <w:rsid w:val="00D26115"/>
    <w:rsid w:val="00D27A54"/>
    <w:rsid w:val="00D326BF"/>
    <w:rsid w:val="00D348C4"/>
    <w:rsid w:val="00D36AA1"/>
    <w:rsid w:val="00D412AA"/>
    <w:rsid w:val="00D41D6F"/>
    <w:rsid w:val="00D431E3"/>
    <w:rsid w:val="00D4574F"/>
    <w:rsid w:val="00D46DA0"/>
    <w:rsid w:val="00D51853"/>
    <w:rsid w:val="00D532D5"/>
    <w:rsid w:val="00D5394A"/>
    <w:rsid w:val="00D561D4"/>
    <w:rsid w:val="00D57375"/>
    <w:rsid w:val="00D57E41"/>
    <w:rsid w:val="00D61210"/>
    <w:rsid w:val="00D644DF"/>
    <w:rsid w:val="00D6590F"/>
    <w:rsid w:val="00D66A8E"/>
    <w:rsid w:val="00D701E8"/>
    <w:rsid w:val="00D70A0D"/>
    <w:rsid w:val="00D72940"/>
    <w:rsid w:val="00D746FC"/>
    <w:rsid w:val="00D815EA"/>
    <w:rsid w:val="00D84578"/>
    <w:rsid w:val="00D85189"/>
    <w:rsid w:val="00D8675F"/>
    <w:rsid w:val="00D87F75"/>
    <w:rsid w:val="00D9124C"/>
    <w:rsid w:val="00D913C4"/>
    <w:rsid w:val="00D92A13"/>
    <w:rsid w:val="00D92ABA"/>
    <w:rsid w:val="00D93B97"/>
    <w:rsid w:val="00D9535D"/>
    <w:rsid w:val="00D95F3B"/>
    <w:rsid w:val="00DA03BE"/>
    <w:rsid w:val="00DA24CC"/>
    <w:rsid w:val="00DA3CEC"/>
    <w:rsid w:val="00DA3F73"/>
    <w:rsid w:val="00DA4B47"/>
    <w:rsid w:val="00DA5439"/>
    <w:rsid w:val="00DA6985"/>
    <w:rsid w:val="00DB2172"/>
    <w:rsid w:val="00DB3527"/>
    <w:rsid w:val="00DB3705"/>
    <w:rsid w:val="00DB4011"/>
    <w:rsid w:val="00DB6B33"/>
    <w:rsid w:val="00DC20A8"/>
    <w:rsid w:val="00DC2C4A"/>
    <w:rsid w:val="00DC4C34"/>
    <w:rsid w:val="00DC52E3"/>
    <w:rsid w:val="00DC71FC"/>
    <w:rsid w:val="00DC7D89"/>
    <w:rsid w:val="00DD101E"/>
    <w:rsid w:val="00DD2B83"/>
    <w:rsid w:val="00DD5AFC"/>
    <w:rsid w:val="00DD706C"/>
    <w:rsid w:val="00DE280A"/>
    <w:rsid w:val="00DE3676"/>
    <w:rsid w:val="00DE4C73"/>
    <w:rsid w:val="00DE6938"/>
    <w:rsid w:val="00DE6ED1"/>
    <w:rsid w:val="00DF3119"/>
    <w:rsid w:val="00DF372C"/>
    <w:rsid w:val="00DF5B30"/>
    <w:rsid w:val="00E00634"/>
    <w:rsid w:val="00E03737"/>
    <w:rsid w:val="00E04DA5"/>
    <w:rsid w:val="00E05399"/>
    <w:rsid w:val="00E07179"/>
    <w:rsid w:val="00E07336"/>
    <w:rsid w:val="00E12820"/>
    <w:rsid w:val="00E131DF"/>
    <w:rsid w:val="00E133FD"/>
    <w:rsid w:val="00E14C4C"/>
    <w:rsid w:val="00E24041"/>
    <w:rsid w:val="00E27481"/>
    <w:rsid w:val="00E30227"/>
    <w:rsid w:val="00E33EC3"/>
    <w:rsid w:val="00E350C8"/>
    <w:rsid w:val="00E407B7"/>
    <w:rsid w:val="00E508DE"/>
    <w:rsid w:val="00E610FB"/>
    <w:rsid w:val="00E62153"/>
    <w:rsid w:val="00E640C3"/>
    <w:rsid w:val="00E64769"/>
    <w:rsid w:val="00E70E47"/>
    <w:rsid w:val="00E70EBE"/>
    <w:rsid w:val="00E71CD1"/>
    <w:rsid w:val="00E71D0C"/>
    <w:rsid w:val="00E75343"/>
    <w:rsid w:val="00E80EF8"/>
    <w:rsid w:val="00E93714"/>
    <w:rsid w:val="00E9444E"/>
    <w:rsid w:val="00E94A2E"/>
    <w:rsid w:val="00E95101"/>
    <w:rsid w:val="00E97D22"/>
    <w:rsid w:val="00EA4685"/>
    <w:rsid w:val="00EA4DEF"/>
    <w:rsid w:val="00EA7998"/>
    <w:rsid w:val="00EB2BC9"/>
    <w:rsid w:val="00EB3EAA"/>
    <w:rsid w:val="00EB441E"/>
    <w:rsid w:val="00EB581E"/>
    <w:rsid w:val="00EC307D"/>
    <w:rsid w:val="00EC3924"/>
    <w:rsid w:val="00EC5BE2"/>
    <w:rsid w:val="00ED6F18"/>
    <w:rsid w:val="00ED7347"/>
    <w:rsid w:val="00EE31AD"/>
    <w:rsid w:val="00EE3C78"/>
    <w:rsid w:val="00EE4EE5"/>
    <w:rsid w:val="00EF039E"/>
    <w:rsid w:val="00EF2967"/>
    <w:rsid w:val="00EF5AA7"/>
    <w:rsid w:val="00EF6A51"/>
    <w:rsid w:val="00EF742A"/>
    <w:rsid w:val="00F022A3"/>
    <w:rsid w:val="00F03A39"/>
    <w:rsid w:val="00F1299D"/>
    <w:rsid w:val="00F1705F"/>
    <w:rsid w:val="00F20DA9"/>
    <w:rsid w:val="00F20F91"/>
    <w:rsid w:val="00F23F3F"/>
    <w:rsid w:val="00F2471B"/>
    <w:rsid w:val="00F24EA0"/>
    <w:rsid w:val="00F30C62"/>
    <w:rsid w:val="00F32968"/>
    <w:rsid w:val="00F33EA2"/>
    <w:rsid w:val="00F35C81"/>
    <w:rsid w:val="00F37F09"/>
    <w:rsid w:val="00F4194A"/>
    <w:rsid w:val="00F51188"/>
    <w:rsid w:val="00F5297E"/>
    <w:rsid w:val="00F52CE1"/>
    <w:rsid w:val="00F531CD"/>
    <w:rsid w:val="00F55977"/>
    <w:rsid w:val="00F56AF9"/>
    <w:rsid w:val="00F57486"/>
    <w:rsid w:val="00F57892"/>
    <w:rsid w:val="00F668E4"/>
    <w:rsid w:val="00F669A6"/>
    <w:rsid w:val="00F71679"/>
    <w:rsid w:val="00F74AD1"/>
    <w:rsid w:val="00F751E7"/>
    <w:rsid w:val="00F848AC"/>
    <w:rsid w:val="00F907BD"/>
    <w:rsid w:val="00FA4BFE"/>
    <w:rsid w:val="00FA7190"/>
    <w:rsid w:val="00FB227D"/>
    <w:rsid w:val="00FB52F4"/>
    <w:rsid w:val="00FC1BB8"/>
    <w:rsid w:val="00FC2E49"/>
    <w:rsid w:val="00FC49D3"/>
    <w:rsid w:val="00FC5232"/>
    <w:rsid w:val="00FC74BC"/>
    <w:rsid w:val="00FC7989"/>
    <w:rsid w:val="00FD020E"/>
    <w:rsid w:val="00FD20A7"/>
    <w:rsid w:val="00FD213A"/>
    <w:rsid w:val="00FD47E9"/>
    <w:rsid w:val="00FD5503"/>
    <w:rsid w:val="00FD5EEF"/>
    <w:rsid w:val="00FD7228"/>
    <w:rsid w:val="00FE14F8"/>
    <w:rsid w:val="00FE17D3"/>
    <w:rsid w:val="00FE4301"/>
    <w:rsid w:val="00FE76C1"/>
    <w:rsid w:val="00FE7F4E"/>
    <w:rsid w:val="00FF22AD"/>
    <w:rsid w:val="00FF4DA1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D976B0"/>
  <w15:docId w15:val="{CAB38D64-E8E8-49DF-95A4-F3052AC7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46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Header">
    <w:name w:val="header"/>
    <w:basedOn w:val="Normal"/>
    <w:link w:val="HeaderCh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5F57E0"/>
  </w:style>
  <w:style w:type="paragraph" w:styleId="BodyTextIndent2">
    <w:name w:val="Body Text Indent 2"/>
    <w:basedOn w:val="Normal"/>
    <w:link w:val="BodyTextIndent2Ch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5F57E0"/>
  </w:style>
  <w:style w:type="paragraph" w:styleId="Footer">
    <w:name w:val="footer"/>
    <w:basedOn w:val="Normal"/>
    <w:link w:val="FooterChar"/>
    <w:uiPriority w:val="99"/>
    <w:unhideWhenUsed/>
    <w:rsid w:val="006354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4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A4"/>
    <w:rPr>
      <w:rFonts w:ascii="Tahoma" w:eastAsia="Times New Roman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3EBB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3EBB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3EBB"/>
    <w:rPr>
      <w:vertAlign w:val="superscript"/>
    </w:rPr>
  </w:style>
  <w:style w:type="paragraph" w:styleId="NormalWeb">
    <w:name w:val="Normal (Web)"/>
    <w:basedOn w:val="Normal"/>
    <w:unhideWhenUsed/>
    <w:rsid w:val="00586007"/>
    <w:pPr>
      <w:spacing w:before="100" w:beforeAutospacing="1" w:after="100" w:afterAutospacing="1"/>
    </w:pPr>
    <w:rPr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46F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itle20">
    <w:name w:val="Title2"/>
    <w:basedOn w:val="Normal"/>
    <w:next w:val="Normal"/>
    <w:rsid w:val="00D746FC"/>
    <w:pPr>
      <w:tabs>
        <w:tab w:val="left" w:pos="648"/>
        <w:tab w:val="right" w:pos="7776"/>
        <w:tab w:val="left" w:pos="7848"/>
      </w:tabs>
    </w:pPr>
    <w:rPr>
      <w:rFonts w:eastAsia="MS Mincho"/>
    </w:rPr>
  </w:style>
  <w:style w:type="character" w:styleId="Emphasis">
    <w:name w:val="Emphasis"/>
    <w:basedOn w:val="DefaultParagraphFont"/>
    <w:uiPriority w:val="20"/>
    <w:qFormat/>
    <w:rsid w:val="00C00B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0497E9-26EC-9848-B052-E5DD22A0C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1381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Hernandez</dc:creator>
  <cp:lastModifiedBy>Miguel A. Candelario Piñeiro</cp:lastModifiedBy>
  <cp:revision>18</cp:revision>
  <cp:lastPrinted>2025-05-13T13:36:00Z</cp:lastPrinted>
  <dcterms:created xsi:type="dcterms:W3CDTF">2025-10-05T23:15:00Z</dcterms:created>
  <dcterms:modified xsi:type="dcterms:W3CDTF">2025-10-06T13:57:00Z</dcterms:modified>
</cp:coreProperties>
</file>